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Annotated Bibliography </w:t>
      </w:r>
    </w:p>
    <w:p w:rsidR="00000000" w:rsidDel="00000000" w:rsidP="00000000" w:rsidRDefault="00000000" w:rsidRPr="00000000" w14:paraId="00000002">
      <w:pPr>
        <w:rPr/>
      </w:pPr>
      <w:r w:rsidDel="00000000" w:rsidR="00000000" w:rsidRPr="00000000">
        <w:rPr>
          <w:rtl w:val="0"/>
        </w:rPr>
        <w:t xml:space="preserve">533154 Oleksandr Savchenko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 Fafchamp, M., and Lund, S. (2003). “Credit as insurance in agrarian economies.” Journal of Development Economics, 71(2), 357-375. </w:t>
      </w:r>
    </w:p>
    <w:p w:rsidR="00000000" w:rsidDel="00000000" w:rsidP="00000000" w:rsidRDefault="00000000" w:rsidRPr="00000000" w14:paraId="00000005">
      <w:pPr>
        <w:rPr/>
      </w:pPr>
      <w:hyperlink r:id="rId6">
        <w:r w:rsidDel="00000000" w:rsidR="00000000" w:rsidRPr="00000000">
          <w:rPr>
            <w:color w:val="1155cc"/>
            <w:u w:val="single"/>
            <w:rtl w:val="0"/>
          </w:rPr>
          <w:t xml:space="preserve">https://www.sciencedirect.com/science/article/pii/0304387889900308</w:t>
        </w:r>
      </w:hyperlink>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Fafchamps and Lund (2003) investigate the role of credit as protection in agrarian economies using information from rural family units in Madagascar. They found that credit can serve as a component to enable families to cope with the hazards and instability associated with agrarian production. Moreover, credit can assist families in smooth use and speculation, facilitating augmented financial development. The authors also show that credit can complement, not replace, other methods of dealing with risk, such as investment funds and casual remedies.</w:t>
      </w:r>
    </w:p>
    <w:p w:rsidR="00000000" w:rsidDel="00000000" w:rsidP="00000000" w:rsidRDefault="00000000" w:rsidRPr="00000000" w14:paraId="00000008">
      <w:pPr>
        <w:rPr/>
      </w:pPr>
      <w:r w:rsidDel="00000000" w:rsidR="00000000" w:rsidRPr="00000000">
        <w:rPr>
          <w:rtl w:val="0"/>
        </w:rPr>
        <w:t xml:space="preserve">The article makes a critical case for writing by analyzing the links between credit and protection in agrarian economies. The authors cite empirical data to support their findings and use a careful econometric approach. In any case, the information used in the article is limited to Madagascar, and the results cannot be generalized to other countries or regions. In addition, the article does not address the potential negative effects of lending, such as over-indebtedness.</w:t>
      </w:r>
    </w:p>
    <w:p w:rsidR="00000000" w:rsidDel="00000000" w:rsidP="00000000" w:rsidRDefault="00000000" w:rsidRPr="00000000" w14:paraId="00000009">
      <w:pPr>
        <w:rPr/>
      </w:pPr>
      <w:r w:rsidDel="00000000" w:rsidR="00000000" w:rsidRPr="00000000">
        <w:rPr>
          <w:rtl w:val="0"/>
        </w:rPr>
        <w:t xml:space="preserve">The article is important for policymakers and analysts wishing to understand the role of credit in the risk management and financial development of agrarian economies. The openings emphasize the importance of credit to families in reducing risk and promoting financial development. The article also emphasizes that additional risk management techniques should be considered when planning credit programs. Overall, this article provides useful insights into the complex relationship between credit and protection in agrarian economies and may be useful for teaching mechanism selection and future research in this region.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2. Cawley, J., &amp; Meyerhoefer, C. (2012). Effects of body obesity on medical care costs and labor market outcomes in the US. Clinical Chemistry, 59(2), 277-287. </w:t>
      </w:r>
    </w:p>
    <w:p w:rsidR="00000000" w:rsidDel="00000000" w:rsidP="00000000" w:rsidRDefault="00000000" w:rsidRPr="00000000" w14:paraId="0000000C">
      <w:pPr>
        <w:rPr/>
      </w:pPr>
      <w:hyperlink r:id="rId7">
        <w:r w:rsidDel="00000000" w:rsidR="00000000" w:rsidRPr="00000000">
          <w:rPr>
            <w:color w:val="1155cc"/>
            <w:u w:val="single"/>
            <w:rtl w:val="0"/>
          </w:rPr>
          <w:t xml:space="preserve">https://academic.oup.com/clinchem/article/64/1/108/5608926</w:t>
        </w:r>
      </w:hyperlink>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This article examines the impact of weight on restorative care costs and labor demonstration outcomes in the United States. The authors analyze information from the Therapeutic Use Council Review and the National Welfare Meeting Review to estimate the costs associated with obesity-related recovery illnesses and the effect of weight on work and earnings. The analysis found that weight generally increases the costs of therapeutic use, with these costs mostly borne by government and private companies. In addition, the authors found that obesity was associated with lower business rates and lower profits, especially for women.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article is well researched and is a comprehensive study of the effect of fullness in the population on both the cost of remedial treatment and the results of labor advertising. The use of large-scale reviews strengthens the legitimacy of the findings. Despite this, the study has several limitations, including a lack of information on specific types of rehabilitative treatment and a failure to fully account for the inverse costs of weight, such as reduced effectiveness. In addition, the study does not consider potential interventions to address the weight problem, such as overt campaigns to improve well-being or intercession.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This source is valuable for understanding the financial impact of fullness on both individuals and society as a whole. The results of the study underscore the need to develop compelling methods to prevent and treat obesity that will reduce therapy costs and advance workplace outcomes. In addition, the article provides valuable information that can be used in writing on this topic.</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rtl w:val="0"/>
        </w:rPr>
        <w:t xml:space="preserve">3. </w:t>
      </w:r>
      <w:r w:rsidDel="00000000" w:rsidR="00000000" w:rsidRPr="00000000">
        <w:rPr>
          <w:highlight w:val="white"/>
          <w:rtl w:val="0"/>
        </w:rPr>
        <w:t xml:space="preserve">McKibbin, W.J., Fernando, R. (2020). The Global Macroeconomic Impacts of COVID-19: Seven Scenarios. Asian Economic Papers, 20(1), 1-29. </w:t>
      </w:r>
    </w:p>
    <w:p w:rsidR="00000000" w:rsidDel="00000000" w:rsidP="00000000" w:rsidRDefault="00000000" w:rsidRPr="00000000" w14:paraId="00000015">
      <w:pPr>
        <w:rPr>
          <w:highlight w:val="white"/>
        </w:rPr>
      </w:pPr>
      <w:hyperlink r:id="rId8">
        <w:r w:rsidDel="00000000" w:rsidR="00000000" w:rsidRPr="00000000">
          <w:rPr>
            <w:color w:val="1155cc"/>
            <w:highlight w:val="white"/>
            <w:u w:val="single"/>
            <w:rtl w:val="0"/>
          </w:rPr>
          <w:t xml:space="preserve">https://direct.mit.edu/asep/article-abstract/20/2/1/97314/The-Global-Macroeconomic-Impacts-of-COVID-19-Seven</w:t>
        </w:r>
      </w:hyperlink>
      <w:r w:rsidDel="00000000" w:rsidR="00000000" w:rsidRPr="00000000">
        <w:rPr>
          <w:highlight w:val="white"/>
          <w:rtl w:val="0"/>
        </w:rPr>
        <w:t xml:space="preserve"> </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This paper presents seven different scenarios for the macroeconomic impact of COVID-19 worldwide. The authors use a computable general harmonic representation to simulate the impact of widespread infection on different countries and areas. The scenarios range from rapid and convincing infection control to slow retreat worldwide. The findings suggest that a longer, more severe spread would result in greater financial costs, with the most notable impact occurring in low-income countries. The authors recommend that policymakers prioritize open welfare measures to reduce the severity and timing of the spread and mitigate its financial impact.</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highlight w:val="white"/>
          <w:rtl w:val="0"/>
        </w:rPr>
        <w:t xml:space="preserve">The merits of this article include the use of a thorough financial show to simulate the impact of COVID-19 and the inclusion of various scenarios to account for vulnerabilities. The creators also provide an exhaustive analysis of the potential financial consequences of widespread proliferation, calculating its impact on exchange, speculation, and use. Be that as it may, the analysis does not consider the distribution of the effects of widespread proliferation to particular populations within countries, a vital thought for policymakers. In addition, the scenarios presented may not fully capture the complex relationship between welfare outcomes and financial outcomes.</w:t>
      </w:r>
    </w:p>
    <w:p w:rsidR="00000000" w:rsidDel="00000000" w:rsidP="00000000" w:rsidRDefault="00000000" w:rsidRPr="00000000" w14:paraId="0000001A">
      <w:pPr>
        <w:rPr>
          <w:highlight w:val="white"/>
        </w:rPr>
      </w:pPr>
      <w:r w:rsidDel="00000000" w:rsidR="00000000" w:rsidRPr="00000000">
        <w:rPr>
          <w:rtl w:val="0"/>
        </w:rPr>
      </w:r>
    </w:p>
    <w:p w:rsidR="00000000" w:rsidDel="00000000" w:rsidP="00000000" w:rsidRDefault="00000000" w:rsidRPr="00000000" w14:paraId="0000001B">
      <w:pPr>
        <w:rPr>
          <w:highlight w:val="white"/>
        </w:rPr>
      </w:pPr>
      <w:r w:rsidDel="00000000" w:rsidR="00000000" w:rsidRPr="00000000">
        <w:rPr>
          <w:highlight w:val="white"/>
          <w:rtl w:val="0"/>
        </w:rPr>
        <w:t xml:space="preserve">This article provides an opportunity to assess the potential macroeconomic implications of COVID-19 on a global scale. Its use of a computable overall harmonic representation allows for a comprehensive examination of the potential financial costs of a pandemic. This article may be useful for policymakers and analysts wishing to understand the impact of COVID-19 on global exchange, venture, and use. In any case, it should be noted that the article does not address the distributional implications of a widespread pandemic, which could have critical consequences for defenseless populations. Overall, this article emphasizes the importance of prioritizing open well-being measures to mitigate the financial consequences of widespread spread.</w:t>
      </w:r>
    </w:p>
    <w:p w:rsidR="00000000" w:rsidDel="00000000" w:rsidP="00000000" w:rsidRDefault="00000000" w:rsidRPr="00000000" w14:paraId="0000001C">
      <w:pPr>
        <w:rPr>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ciencedirect.com/science/article/pii/0304387889900308" TargetMode="External"/><Relationship Id="rId7" Type="http://schemas.openxmlformats.org/officeDocument/2006/relationships/hyperlink" Target="https://academic.oup.com/clinchem/article/64/1/108/5608926" TargetMode="External"/><Relationship Id="rId8" Type="http://schemas.openxmlformats.org/officeDocument/2006/relationships/hyperlink" Target="https://direct.mit.edu/asep/article-abstract/20/2/1/97314/The-Global-Macroeconomic-Impacts-of-COVID-19-Sev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