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090AB" w14:textId="1E92BEA1" w:rsidR="008E0B9F" w:rsidRPr="003E7086" w:rsidRDefault="008E0B9F" w:rsidP="007A306E">
      <w:pPr>
        <w:spacing w:line="360" w:lineRule="auto"/>
        <w:jc w:val="center"/>
        <w:rPr>
          <w:rFonts w:ascii="Times New Roman" w:hAnsi="Times New Roman"/>
          <w:b/>
          <w:bCs/>
          <w:sz w:val="24"/>
          <w:szCs w:val="24"/>
        </w:rPr>
      </w:pPr>
      <w:r w:rsidRPr="003E7086">
        <w:rPr>
          <w:rFonts w:ascii="Times New Roman" w:hAnsi="Times New Roman"/>
          <w:b/>
          <w:bCs/>
          <w:sz w:val="24"/>
          <w:szCs w:val="24"/>
        </w:rPr>
        <w:t xml:space="preserve">The </w:t>
      </w:r>
      <w:r w:rsidR="002E18C7">
        <w:rPr>
          <w:rFonts w:ascii="Times New Roman" w:hAnsi="Times New Roman"/>
          <w:b/>
          <w:bCs/>
          <w:sz w:val="24"/>
          <w:szCs w:val="24"/>
        </w:rPr>
        <w:t>F</w:t>
      </w:r>
      <w:r w:rsidRPr="003E7086">
        <w:rPr>
          <w:rFonts w:ascii="Times New Roman" w:hAnsi="Times New Roman"/>
          <w:b/>
          <w:bCs/>
          <w:sz w:val="24"/>
          <w:szCs w:val="24"/>
        </w:rPr>
        <w:t xml:space="preserve">orensic </w:t>
      </w:r>
      <w:r w:rsidR="002E18C7">
        <w:rPr>
          <w:rFonts w:ascii="Times New Roman" w:hAnsi="Times New Roman"/>
          <w:b/>
          <w:bCs/>
          <w:sz w:val="24"/>
          <w:szCs w:val="24"/>
        </w:rPr>
        <w:t>A</w:t>
      </w:r>
      <w:r w:rsidRPr="003E7086">
        <w:rPr>
          <w:rFonts w:ascii="Times New Roman" w:hAnsi="Times New Roman"/>
          <w:b/>
          <w:bCs/>
          <w:sz w:val="24"/>
          <w:szCs w:val="24"/>
        </w:rPr>
        <w:t xml:space="preserve">ccounting and </w:t>
      </w:r>
      <w:r w:rsidR="002E18C7">
        <w:rPr>
          <w:rFonts w:ascii="Times New Roman" w:hAnsi="Times New Roman"/>
          <w:b/>
          <w:bCs/>
          <w:sz w:val="24"/>
          <w:szCs w:val="24"/>
        </w:rPr>
        <w:t>C</w:t>
      </w:r>
      <w:r w:rsidRPr="003E7086">
        <w:rPr>
          <w:rFonts w:ascii="Times New Roman" w:hAnsi="Times New Roman"/>
          <w:b/>
          <w:bCs/>
          <w:sz w:val="24"/>
          <w:szCs w:val="24"/>
        </w:rPr>
        <w:t xml:space="preserve">orporate </w:t>
      </w:r>
      <w:r w:rsidR="002E18C7">
        <w:rPr>
          <w:rFonts w:ascii="Times New Roman" w:hAnsi="Times New Roman"/>
          <w:b/>
          <w:bCs/>
          <w:sz w:val="24"/>
          <w:szCs w:val="24"/>
        </w:rPr>
        <w:t>F</w:t>
      </w:r>
      <w:r w:rsidRPr="003E7086">
        <w:rPr>
          <w:rFonts w:ascii="Times New Roman" w:hAnsi="Times New Roman"/>
          <w:b/>
          <w:bCs/>
          <w:sz w:val="24"/>
          <w:szCs w:val="24"/>
        </w:rPr>
        <w:t>raud</w:t>
      </w:r>
    </w:p>
    <w:p w14:paraId="6E2AE695" w14:textId="587C9951" w:rsidR="008E0B9F" w:rsidRPr="003E7086" w:rsidRDefault="008E0B9F" w:rsidP="007A306E">
      <w:pPr>
        <w:spacing w:line="360" w:lineRule="auto"/>
        <w:rPr>
          <w:rFonts w:ascii="Times New Roman" w:hAnsi="Times New Roman"/>
          <w:b/>
          <w:bCs/>
          <w:sz w:val="24"/>
          <w:szCs w:val="24"/>
        </w:rPr>
      </w:pPr>
      <w:r w:rsidRPr="003E7086">
        <w:rPr>
          <w:rFonts w:ascii="Times New Roman" w:hAnsi="Times New Roman"/>
          <w:b/>
          <w:bCs/>
          <w:sz w:val="24"/>
          <w:szCs w:val="24"/>
        </w:rPr>
        <w:t>Introduction</w:t>
      </w:r>
    </w:p>
    <w:p w14:paraId="7EDCC2B5" w14:textId="77777777" w:rsidR="008E0B9F" w:rsidRPr="003E7086" w:rsidRDefault="008E0B9F" w:rsidP="007A306E">
      <w:pPr>
        <w:spacing w:line="360" w:lineRule="auto"/>
        <w:rPr>
          <w:rFonts w:ascii="Times New Roman" w:hAnsi="Times New Roman"/>
          <w:sz w:val="24"/>
          <w:szCs w:val="24"/>
        </w:rPr>
      </w:pPr>
      <w:r w:rsidRPr="003E7086">
        <w:rPr>
          <w:rFonts w:ascii="Times New Roman" w:hAnsi="Times New Roman"/>
          <w:sz w:val="24"/>
          <w:szCs w:val="24"/>
        </w:rPr>
        <w:t>Corporate fraud has become a major issue in the business world. Fraudulent activities by companies can result in significant financial losses, reputational damage, and legal issues. Forensic accounting is a specialized field of accounting that deals with investigating financial fraud and misconduct. The aims are to provide a comprehensive idea of the role of forensic accounting in corporate fraud. The review examines the various approaches to detecting and preventing corporate fraud and the importance of forensic accounting in corporate governance. I discuss the key challenges forensic accountants face in combating corporate fraud.</w:t>
      </w:r>
    </w:p>
    <w:p w14:paraId="76269F33" w14:textId="21895890" w:rsidR="008E0B9F" w:rsidRPr="003E7086" w:rsidRDefault="008E0B9F" w:rsidP="007A306E">
      <w:pPr>
        <w:spacing w:line="360" w:lineRule="auto"/>
        <w:rPr>
          <w:rFonts w:ascii="Times New Roman" w:hAnsi="Times New Roman"/>
          <w:b/>
          <w:bCs/>
          <w:sz w:val="24"/>
          <w:szCs w:val="24"/>
        </w:rPr>
      </w:pPr>
      <w:r w:rsidRPr="003E7086">
        <w:rPr>
          <w:rFonts w:ascii="Times New Roman" w:hAnsi="Times New Roman"/>
          <w:b/>
          <w:bCs/>
          <w:sz w:val="24"/>
          <w:szCs w:val="24"/>
        </w:rPr>
        <w:t>Literature Review</w:t>
      </w:r>
    </w:p>
    <w:p w14:paraId="1AFF8B4F" w14:textId="67931A94" w:rsidR="00BD0C48" w:rsidRPr="007A306E" w:rsidRDefault="008E0B9F" w:rsidP="007A306E">
      <w:pPr>
        <w:spacing w:line="360" w:lineRule="auto"/>
        <w:rPr>
          <w:rFonts w:ascii="Times New Roman" w:hAnsi="Times New Roman"/>
          <w:b/>
          <w:bCs/>
          <w:sz w:val="24"/>
          <w:szCs w:val="24"/>
        </w:rPr>
      </w:pPr>
      <w:r w:rsidRPr="003E7086">
        <w:rPr>
          <w:rFonts w:ascii="Times New Roman" w:hAnsi="Times New Roman"/>
          <w:sz w:val="24"/>
          <w:szCs w:val="24"/>
        </w:rPr>
        <w:t>Forensic accounting is a combination of accounting, auditing, and investigative skills used to detect, investigate, and prevent financial fraud</w:t>
      </w:r>
      <w:r w:rsidR="006735C2">
        <w:rPr>
          <w:rFonts w:ascii="Times New Roman" w:hAnsi="Times New Roman"/>
          <w:sz w:val="24"/>
          <w:szCs w:val="24"/>
        </w:rPr>
        <w:t xml:space="preserve">. </w:t>
      </w:r>
      <w:r w:rsidRPr="003E7086">
        <w:rPr>
          <w:rFonts w:ascii="Times New Roman" w:hAnsi="Times New Roman"/>
          <w:sz w:val="24"/>
          <w:szCs w:val="24"/>
        </w:rPr>
        <w:t>Forensic accountants are trained to identify and investigate financial irregularities and present the evidence in court. Forensic accounting has become increasingly important in recent years due to the rise in financial fraud and the need for more stringent financial regulation.</w:t>
      </w:r>
      <w:r w:rsidR="00513EDA">
        <w:rPr>
          <w:rFonts w:ascii="Times New Roman" w:hAnsi="Times New Roman"/>
          <w:b/>
          <w:bCs/>
          <w:sz w:val="24"/>
          <w:szCs w:val="24"/>
        </w:rPr>
        <w:t xml:space="preserve"> </w:t>
      </w:r>
      <w:r w:rsidR="002326FB">
        <w:rPr>
          <w:rFonts w:ascii="Times New Roman" w:hAnsi="Times New Roman"/>
          <w:sz w:val="24"/>
          <w:szCs w:val="24"/>
        </w:rPr>
        <w:t>Moreover</w:t>
      </w:r>
      <w:r w:rsidR="00BD0C48" w:rsidRPr="00BD0C48">
        <w:rPr>
          <w:rFonts w:ascii="Times New Roman" w:hAnsi="Times New Roman"/>
          <w:sz w:val="24"/>
          <w:szCs w:val="24"/>
        </w:rPr>
        <w:t xml:space="preserve">, corporate fraud is defined as the intentional misrepresentation, concealment, or manipulation of financial information by individuals within an organization for personal gain. It can </w:t>
      </w:r>
      <w:r w:rsidR="00470DF4">
        <w:rPr>
          <w:rFonts w:ascii="Times New Roman" w:hAnsi="Times New Roman"/>
          <w:sz w:val="24"/>
          <w:szCs w:val="24"/>
        </w:rPr>
        <w:t xml:space="preserve">take </w:t>
      </w:r>
      <w:r w:rsidR="0084526A">
        <w:rPr>
          <w:rFonts w:ascii="Times New Roman" w:hAnsi="Times New Roman"/>
          <w:sz w:val="24"/>
          <w:szCs w:val="24"/>
        </w:rPr>
        <w:t>many</w:t>
      </w:r>
      <w:r w:rsidR="00BD0C48" w:rsidRPr="00BD0C48">
        <w:rPr>
          <w:rFonts w:ascii="Times New Roman" w:hAnsi="Times New Roman"/>
          <w:sz w:val="24"/>
          <w:szCs w:val="24"/>
        </w:rPr>
        <w:t xml:space="preserve"> forms, </w:t>
      </w:r>
      <w:r w:rsidR="00470DF4">
        <w:rPr>
          <w:rFonts w:ascii="Times New Roman" w:hAnsi="Times New Roman"/>
          <w:sz w:val="24"/>
          <w:szCs w:val="24"/>
        </w:rPr>
        <w:t>including</w:t>
      </w:r>
      <w:r w:rsidR="00BD0C48" w:rsidRPr="00BD0C48">
        <w:rPr>
          <w:rFonts w:ascii="Times New Roman" w:hAnsi="Times New Roman"/>
          <w:sz w:val="24"/>
          <w:szCs w:val="24"/>
        </w:rPr>
        <w:t xml:space="preserve"> financial statement fraud, insider trading, embezzlement, bribery, and kickbacks</w:t>
      </w:r>
      <w:r w:rsidR="00470DF4">
        <w:rPr>
          <w:rFonts w:ascii="Times New Roman" w:hAnsi="Times New Roman"/>
          <w:sz w:val="24"/>
          <w:szCs w:val="24"/>
        </w:rPr>
        <w:t xml:space="preserve">  </w:t>
      </w:r>
      <w:r w:rsidR="00470DF4">
        <w:rPr>
          <w:rFonts w:ascii="Times New Roman" w:hAnsi="Times New Roman"/>
          <w:sz w:val="24"/>
          <w:szCs w:val="24"/>
        </w:rPr>
        <w:fldChar w:fldCharType="begin"/>
      </w:r>
      <w:r w:rsidR="00470DF4">
        <w:rPr>
          <w:rFonts w:ascii="Times New Roman" w:hAnsi="Times New Roman"/>
          <w:sz w:val="24"/>
          <w:szCs w:val="24"/>
        </w:rPr>
        <w:instrText xml:space="preserve"> ADDIN ZOTERO_ITEM CSL_CITATION {"citationID":"yHfj7cbg","properties":{"formattedCitation":"(Albrecht et al., 2018)","plainCitation":"(Albrecht et al., 2018)","noteIndex":0},"citationItems":[{"id":1,"uris":["http://zotero.org/users/local/edH5odoP/items/593ZUHFA"],"itemData":{"id":1,"type":"book","abstract":"Learn to identify, detect, investigate and prevent financial fraud today with Albrecht/Albrecht/Albrecht/Zimbelman's FRAUD EXAMINATION, 6E. Develop the skills to detect fraud skills and become a better interviewer, a stronger and more skeptical document examiner, a more effective technology user and more informed decision maker. You gain a strong understanding of the types of fraud and nature of fraud investigation today with current business examples and numerous actual fraud cases, delivered first-hand from the authors' experience. FRAUD EXAMINATION presents today's most important fraud concepts with an emphasis on ebusiness and cyber fraud. Significant discussion familiarizes you with forensic analysis as well as legal options for victims of fraud. New coverage also highlights how experts use technology to accomplish fraud and detect fraud.Important Notice: Media content referenced within the product description or the product text may not be available in the ebook version.","ISBN":"978-1-337-67098-2","language":"en","number-of-pages":"682","publisher":"Cengage Learning","source":"Google Books","title":"Fraud Examination","author":[{"family":"Albrecht","given":"W. Steve"},{"family":"Albrecht","given":"Chad O."},{"family":"Albrecht","given":"Conan C."},{"family":"Zimbelman","given":"Mark F."}],"issued":{"date-parts":[["2018",10,3]]}}}],"schema":"https://github.com/citation-style-language/schema/raw/master/csl-citation.json"} </w:instrText>
      </w:r>
      <w:r w:rsidR="00470DF4">
        <w:rPr>
          <w:rFonts w:ascii="Times New Roman" w:hAnsi="Times New Roman"/>
          <w:sz w:val="24"/>
          <w:szCs w:val="24"/>
        </w:rPr>
        <w:fldChar w:fldCharType="separate"/>
      </w:r>
      <w:r w:rsidR="00470DF4" w:rsidRPr="00945378">
        <w:rPr>
          <w:rFonts w:ascii="Times New Roman" w:hAnsi="Times New Roman"/>
          <w:sz w:val="24"/>
        </w:rPr>
        <w:t>(Albrecht et al., 2018)</w:t>
      </w:r>
      <w:r w:rsidR="00470DF4">
        <w:rPr>
          <w:rFonts w:ascii="Times New Roman" w:hAnsi="Times New Roman"/>
          <w:sz w:val="24"/>
          <w:szCs w:val="24"/>
        </w:rPr>
        <w:fldChar w:fldCharType="end"/>
      </w:r>
      <w:r w:rsidR="007F77ED">
        <w:rPr>
          <w:rFonts w:ascii="Times New Roman" w:hAnsi="Times New Roman"/>
          <w:sz w:val="24"/>
          <w:szCs w:val="24"/>
        </w:rPr>
        <w:t xml:space="preserve">. </w:t>
      </w:r>
      <w:r w:rsidR="00BD0C48" w:rsidRPr="00BD0C48">
        <w:rPr>
          <w:rFonts w:ascii="Times New Roman" w:hAnsi="Times New Roman"/>
          <w:sz w:val="24"/>
          <w:szCs w:val="24"/>
        </w:rPr>
        <w:t>The impact of corporate fraud on organizations can be devastating, resulting in financial losses, reputational damage, legal penalties, and even bankruptcy</w:t>
      </w:r>
      <w:r w:rsidR="007F77ED" w:rsidRPr="00BD0C48">
        <w:rPr>
          <w:rFonts w:ascii="Times New Roman" w:hAnsi="Times New Roman"/>
          <w:sz w:val="24"/>
          <w:szCs w:val="24"/>
        </w:rPr>
        <w:t>.</w:t>
      </w:r>
      <w:r w:rsidR="007A306E">
        <w:rPr>
          <w:rFonts w:ascii="Times New Roman" w:hAnsi="Times New Roman"/>
          <w:b/>
          <w:bCs/>
          <w:sz w:val="24"/>
          <w:szCs w:val="24"/>
        </w:rPr>
        <w:t xml:space="preserve"> </w:t>
      </w:r>
      <w:r w:rsidR="00A51777">
        <w:rPr>
          <w:rFonts w:ascii="Times New Roman" w:hAnsi="Times New Roman"/>
          <w:sz w:val="24"/>
          <w:szCs w:val="24"/>
        </w:rPr>
        <w:t>I</w:t>
      </w:r>
      <w:r w:rsidR="00BD0C48" w:rsidRPr="00BD0C48">
        <w:rPr>
          <w:rFonts w:ascii="Times New Roman" w:hAnsi="Times New Roman"/>
          <w:sz w:val="24"/>
          <w:szCs w:val="24"/>
        </w:rPr>
        <w:t xml:space="preserve">n order to identify and stop corporate fraud, forensic accounting is essential. </w:t>
      </w:r>
      <w:r w:rsidR="00A51777">
        <w:rPr>
          <w:rFonts w:ascii="Times New Roman" w:hAnsi="Times New Roman"/>
          <w:sz w:val="24"/>
          <w:szCs w:val="24"/>
        </w:rPr>
        <w:t xml:space="preserve">However, </w:t>
      </w:r>
      <w:r w:rsidR="00BD0C48" w:rsidRPr="00BD0C48">
        <w:rPr>
          <w:rFonts w:ascii="Times New Roman" w:hAnsi="Times New Roman"/>
          <w:sz w:val="24"/>
          <w:szCs w:val="24"/>
        </w:rPr>
        <w:t>forensic accounting involves the application of accounting and auditing expertise to investigate financial fraud, misappropriation of assets, and other financial irregularities. Forensic accountants employ various strategies, including data analysis, interviews, and document review, to uncover fraudulent activities. The findings of forensic accounting investigations can be utilized to press criminal charges against perpetrators, recover stolen assets, and prevent future fraud</w:t>
      </w:r>
      <w:r w:rsidR="0007346B">
        <w:rPr>
          <w:rFonts w:ascii="Times New Roman" w:hAnsi="Times New Roman"/>
          <w:sz w:val="24"/>
          <w:szCs w:val="24"/>
        </w:rPr>
        <w:t xml:space="preserve"> </w:t>
      </w:r>
      <w:r w:rsidR="0007346B">
        <w:rPr>
          <w:rFonts w:ascii="Times New Roman" w:hAnsi="Times New Roman"/>
          <w:sz w:val="24"/>
          <w:szCs w:val="24"/>
        </w:rPr>
        <w:fldChar w:fldCharType="begin"/>
      </w:r>
      <w:r w:rsidR="0007346B">
        <w:rPr>
          <w:rFonts w:ascii="Times New Roman" w:hAnsi="Times New Roman"/>
          <w:sz w:val="24"/>
          <w:szCs w:val="24"/>
        </w:rPr>
        <w:instrText xml:space="preserve"> ADDIN ZOTERO_ITEM CSL_CITATION {"citationID":"XVeMeo1S","properties":{"formattedCitation":"(Imoniana et al., 2013)","plainCitation":"(Imoniana et al., 2013)","noteIndex":0},"citationItems":[{"id":3,"uris":["http://zotero.org/users/local/edH5odoP/items/TYITM748"],"itemData":{"id":3,"type":"article-journal","abstract":"This study is aimed at analyzing the characteristics of forensic accounting services performed by accounting firms in Brazil, using an exploratory approach. At the end of the study, there is a discourse analysis of a speech made by the CEO of one of the key players in forensic accounting services (Kroll) in Brazil. In order to guide this reflection, we pose the following question: what is the characteristic of forensic accounting that substantiates professional accountants' innovation to curb corporate accounting malpractices? In this intent, we accept the premise that the bone of contention in some unhealthy business environments is the inability of an auditor to track frauds. We used the icons (categories and/or nodes) that dynamically represent formalism in the theory of self re-production to explain the patterns found in the speech. Our findings make us conclude that the idea that frauds have been least detected by auditors begins to gain shape as auditors are more adequately trained to detect frauds instead of emphasizing the traditional segregation of duties and safeguard of assets.","container-title":"JISTEM - Journal of Information Systems and Technology Management","DOI":"10.1590/S1807-17752013000100008","ISSN":"1807-1775","journalAbbreviation":"JISTEM J.Inf.Syst. Technol. Manag.","language":"en","note":"publisher: TECSI Laboratório de Tecnologia e Sistemas de Informação - FEA/USP","page":"119-144","source":"SciELO","title":"The forensic accounting and corporate fraud","volume":"10","author":[{"family":"Imoniana","given":"Joshua Onome"},{"family":"Antunes","given":"Maria Thereza Pompa"},{"family":"Formigoni","given":"Henrique"}],"issued":{"date-parts":[["2013",4]]}}}],"schema":"https://github.com/citation-style-language/schema/raw/master/csl-citation.json"} </w:instrText>
      </w:r>
      <w:r w:rsidR="0007346B">
        <w:rPr>
          <w:rFonts w:ascii="Times New Roman" w:hAnsi="Times New Roman"/>
          <w:sz w:val="24"/>
          <w:szCs w:val="24"/>
        </w:rPr>
        <w:fldChar w:fldCharType="separate"/>
      </w:r>
      <w:r w:rsidR="0007346B" w:rsidRPr="002770A3">
        <w:rPr>
          <w:rFonts w:ascii="Times New Roman" w:hAnsi="Times New Roman"/>
          <w:sz w:val="24"/>
        </w:rPr>
        <w:t>(Imoniana et al., 2013)</w:t>
      </w:r>
      <w:r w:rsidR="0007346B">
        <w:rPr>
          <w:rFonts w:ascii="Times New Roman" w:hAnsi="Times New Roman"/>
          <w:sz w:val="24"/>
          <w:szCs w:val="24"/>
        </w:rPr>
        <w:fldChar w:fldCharType="end"/>
      </w:r>
      <w:r w:rsidR="0007346B">
        <w:rPr>
          <w:rFonts w:ascii="Times New Roman" w:hAnsi="Times New Roman"/>
          <w:sz w:val="24"/>
          <w:szCs w:val="24"/>
        </w:rPr>
        <w:t>.</w:t>
      </w:r>
    </w:p>
    <w:p w14:paraId="36C17177" w14:textId="7517409B" w:rsidR="00654A66" w:rsidRDefault="00BD0C48" w:rsidP="007A306E">
      <w:pPr>
        <w:spacing w:line="360" w:lineRule="auto"/>
        <w:rPr>
          <w:rFonts w:ascii="Times New Roman" w:hAnsi="Times New Roman"/>
          <w:sz w:val="24"/>
          <w:szCs w:val="24"/>
        </w:rPr>
      </w:pPr>
      <w:r w:rsidRPr="00BD0C48">
        <w:rPr>
          <w:rFonts w:ascii="Times New Roman" w:hAnsi="Times New Roman"/>
          <w:sz w:val="24"/>
          <w:szCs w:val="24"/>
        </w:rPr>
        <w:t>In my opinion, forensic accounting procedures, including data analysis, forensic audits, and fraud tests, contribute to greater financial transparency within firms. These techniques assist in uncovering hidden transactions, identifying inconsistencies, and detecting potential cases of fraud or poor management</w:t>
      </w:r>
      <w:r w:rsidR="005D6306">
        <w:rPr>
          <w:rFonts w:ascii="Times New Roman" w:hAnsi="Times New Roman"/>
          <w:sz w:val="24"/>
          <w:szCs w:val="24"/>
        </w:rPr>
        <w:t xml:space="preserve">. </w:t>
      </w:r>
      <w:r w:rsidRPr="00BD0C48">
        <w:rPr>
          <w:rFonts w:ascii="Times New Roman" w:hAnsi="Times New Roman"/>
          <w:sz w:val="24"/>
          <w:szCs w:val="24"/>
        </w:rPr>
        <w:t xml:space="preserve">Through the implementation of robust forensic accounting practices, organizations can effectively mitigate financial risks and enhance the integrity of financial </w:t>
      </w:r>
      <w:r w:rsidRPr="00BD0C48">
        <w:rPr>
          <w:rFonts w:ascii="Times New Roman" w:hAnsi="Times New Roman"/>
          <w:sz w:val="24"/>
          <w:szCs w:val="24"/>
        </w:rPr>
        <w:lastRenderedPageBreak/>
        <w:t>reporting, thereby strengthening corporate governance</w:t>
      </w:r>
      <w:r w:rsidR="005D6306">
        <w:rPr>
          <w:rFonts w:ascii="Times New Roman" w:hAnsi="Times New Roman"/>
          <w:sz w:val="24"/>
          <w:szCs w:val="24"/>
        </w:rPr>
        <w:t xml:space="preserve"> </w:t>
      </w:r>
      <w:r w:rsidR="005D6306">
        <w:rPr>
          <w:rFonts w:ascii="Times New Roman" w:hAnsi="Times New Roman"/>
          <w:sz w:val="24"/>
          <w:szCs w:val="24"/>
        </w:rPr>
        <w:fldChar w:fldCharType="begin"/>
      </w:r>
      <w:r w:rsidR="005D6306">
        <w:rPr>
          <w:rFonts w:ascii="Times New Roman" w:hAnsi="Times New Roman"/>
          <w:sz w:val="24"/>
          <w:szCs w:val="24"/>
        </w:rPr>
        <w:instrText xml:space="preserve"> ADDIN ZOTERO_ITEM CSL_CITATION {"citationID":"hFif84l6","properties":{"formattedCitation":"(Bhasin, 2015)","plainCitation":"(Bhasin, 2015)","noteIndex":0},"citationItems":[{"id":5,"uris":["http://zotero.org/users/local/edH5odoP/items/ENVHKU82"],"itemData":{"id":5,"type":"article","abstract":"The recent accounting scandals (viz., Enron, WorldCom, Madoff, Satyam, etc.) have induced a crisis of confidence in financial reporting practice and effectiveness of corporate governance (CG) mechanisms. Indeed, Forensic accounting (FA) integrates accounting, auditing and investigative skills to conduct investigations in variety of fraud cases. Thus, an increasing number of researchers are finding that ‘poor’ CG is a leading factor in dismal performance, manipulated financial reports, and unhappy stakeholders. Some leading corporations and regulatory bodies, however, are trying their best efforts to analyze and correct the existing loopholes in the reporting system. In the 21st century, the Forensic Chartered Accountants (FCAs) are in great demand and “FA is listed among the top-20 careers of the future.”    During 2011-12, a questionnaire-based survey was conducted in the National Capital Region of India using a sample size of 120 practicing chartered accountants, accounting academics, and potential users of FA services. In fact, this study is a ‘preliminary’ investigation of the necessary skills, education and training requirements for the professional community.  The results of this ‘exploratory’ study, with few minor differences, indicate that potential practitioners, academics and users agree that “critical thinking, written &amp; oral communication, legal knowledge, auditing skills, deductive analysis, investigative flexibility, analytical proficiency and unstructured problem-solving are the most important skills required for the FCAs.” Moreover, we found that all of the skills investigated in this study are ‘potentially’ important for the FCAs, which the educators at the Universities should use as an overall guide while designing their FA curriculum.”","DOI":"10.2139/ssrn.2676488","event-place":"Rochester, NY","genre":"SSRN Scholarly Paper","language":"en","number":"2676488","publisher-place":"Rochester, NY","source":"Social Science Research Network","title":"Contribution of Forensic Accounting to Corporate Governance: An Exploratory Study of an Asian Country","title-short":"Contribution of Forensic Accounting to Corporate Governance","URL":"https://papers.ssrn.com/abstract=2676488","author":[{"family":"Bhasin","given":"Madan Lal"}],"accessed":{"date-parts":[["2023",6,1]]},"issued":{"date-parts":[["2015",8,20]]}}}],"schema":"https://github.com/citation-style-language/schema/raw/master/csl-citation.json"} </w:instrText>
      </w:r>
      <w:r w:rsidR="005D6306">
        <w:rPr>
          <w:rFonts w:ascii="Times New Roman" w:hAnsi="Times New Roman"/>
          <w:sz w:val="24"/>
          <w:szCs w:val="24"/>
        </w:rPr>
        <w:fldChar w:fldCharType="separate"/>
      </w:r>
      <w:r w:rsidR="005D6306" w:rsidRPr="00945378">
        <w:rPr>
          <w:rFonts w:ascii="Times New Roman" w:hAnsi="Times New Roman"/>
          <w:sz w:val="24"/>
        </w:rPr>
        <w:t>(Bhasin,</w:t>
      </w:r>
      <w:r w:rsidR="005D6306">
        <w:rPr>
          <w:rFonts w:ascii="Times New Roman" w:hAnsi="Times New Roman"/>
          <w:sz w:val="24"/>
        </w:rPr>
        <w:t xml:space="preserve"> </w:t>
      </w:r>
      <w:r w:rsidR="005D6306" w:rsidRPr="00945378">
        <w:rPr>
          <w:rFonts w:ascii="Times New Roman" w:hAnsi="Times New Roman"/>
          <w:sz w:val="24"/>
        </w:rPr>
        <w:t>2015)</w:t>
      </w:r>
      <w:r w:rsidR="005D6306">
        <w:rPr>
          <w:rFonts w:ascii="Times New Roman" w:hAnsi="Times New Roman"/>
          <w:sz w:val="24"/>
          <w:szCs w:val="24"/>
        </w:rPr>
        <w:fldChar w:fldCharType="end"/>
      </w:r>
      <w:r w:rsidR="005D6306" w:rsidRPr="00BD0C48">
        <w:rPr>
          <w:rFonts w:ascii="Times New Roman" w:hAnsi="Times New Roman"/>
          <w:sz w:val="24"/>
          <w:szCs w:val="24"/>
        </w:rPr>
        <w:t>.</w:t>
      </w:r>
      <w:r w:rsidR="007A306E">
        <w:rPr>
          <w:rFonts w:ascii="Times New Roman" w:hAnsi="Times New Roman"/>
          <w:sz w:val="24"/>
          <w:szCs w:val="24"/>
        </w:rPr>
        <w:t xml:space="preserve"> </w:t>
      </w:r>
      <w:r w:rsidR="00EF4315">
        <w:rPr>
          <w:rFonts w:ascii="Times New Roman" w:hAnsi="Times New Roman"/>
          <w:sz w:val="24"/>
          <w:szCs w:val="24"/>
        </w:rPr>
        <w:t>In addition, a</w:t>
      </w:r>
      <w:r w:rsidR="008E0B9F" w:rsidRPr="003E7086">
        <w:rPr>
          <w:rFonts w:ascii="Times New Roman" w:hAnsi="Times New Roman"/>
          <w:sz w:val="24"/>
          <w:szCs w:val="24"/>
        </w:rPr>
        <w:t xml:space="preserve"> strategy map for forensic accounting and fraud risk management is developed by businesses with the use of the integrated balanced scorecard-based decision model</w:t>
      </w:r>
      <w:r w:rsidR="005D6306">
        <w:rPr>
          <w:rFonts w:ascii="Times New Roman" w:hAnsi="Times New Roman"/>
          <w:sz w:val="24"/>
          <w:szCs w:val="24"/>
        </w:rPr>
        <w:t xml:space="preserve">. The </w:t>
      </w:r>
      <w:r w:rsidR="008E0B9F" w:rsidRPr="003E7086">
        <w:rPr>
          <w:rFonts w:ascii="Times New Roman" w:hAnsi="Times New Roman"/>
          <w:sz w:val="24"/>
          <w:szCs w:val="24"/>
        </w:rPr>
        <w:t>important viewpoints are included in the model: financial, customer, internal company process, and learning and growth. The approach helps firms identify and prioritize fraud risks, create effective mitigation plans, and keep track of performance by coordinating these viewpoints with the organization's overall strategy.</w:t>
      </w:r>
      <w:r w:rsidR="005D6306">
        <w:rPr>
          <w:rFonts w:ascii="Times New Roman" w:hAnsi="Times New Roman"/>
          <w:sz w:val="24"/>
          <w:szCs w:val="24"/>
        </w:rPr>
        <w:t xml:space="preserve"> </w:t>
      </w:r>
      <w:r w:rsidR="00654A66" w:rsidRPr="00654A66">
        <w:rPr>
          <w:rFonts w:ascii="Times New Roman" w:hAnsi="Times New Roman"/>
          <w:sz w:val="24"/>
          <w:szCs w:val="24"/>
        </w:rPr>
        <w:t>In a real-world situation, the model developed</w:t>
      </w:r>
      <w:r w:rsidR="004016C9">
        <w:rPr>
          <w:rFonts w:ascii="Times New Roman" w:hAnsi="Times New Roman"/>
          <w:sz w:val="24"/>
          <w:szCs w:val="24"/>
        </w:rPr>
        <w:t>,</w:t>
      </w:r>
      <w:r w:rsidR="00654A66" w:rsidRPr="00654A66">
        <w:rPr>
          <w:rFonts w:ascii="Times New Roman" w:hAnsi="Times New Roman"/>
          <w:sz w:val="24"/>
          <w:szCs w:val="24"/>
        </w:rPr>
        <w:t xml:space="preserve"> was put to the test and demonstrated promising results in enhancing financial performance and fraud risk management. The adoption of this approach led to improved risk assessment, enhanced controls, and increased stakeholder satisfaction</w:t>
      </w:r>
      <w:r w:rsidR="005D6306">
        <w:rPr>
          <w:rFonts w:ascii="Times New Roman" w:hAnsi="Times New Roman"/>
          <w:sz w:val="24"/>
          <w:szCs w:val="24"/>
        </w:rPr>
        <w:t xml:space="preserve">. </w:t>
      </w:r>
      <w:r w:rsidR="00654A66" w:rsidRPr="00654A66">
        <w:rPr>
          <w:rFonts w:ascii="Times New Roman" w:hAnsi="Times New Roman"/>
          <w:sz w:val="24"/>
          <w:szCs w:val="24"/>
        </w:rPr>
        <w:t>The model offers a comprehensive strategy for forensic accounting and fraud risk management applicable to various businesses and organizations</w:t>
      </w:r>
      <w:r w:rsidR="005D6306">
        <w:rPr>
          <w:rFonts w:ascii="Times New Roman" w:hAnsi="Times New Roman"/>
          <w:sz w:val="24"/>
          <w:szCs w:val="24"/>
        </w:rPr>
        <w:t xml:space="preserve"> </w:t>
      </w:r>
      <w:r w:rsidR="005D6306">
        <w:rPr>
          <w:rFonts w:ascii="Times New Roman" w:hAnsi="Times New Roman"/>
          <w:sz w:val="24"/>
          <w:szCs w:val="24"/>
        </w:rPr>
        <w:fldChar w:fldCharType="begin"/>
      </w:r>
      <w:r w:rsidR="005D6306">
        <w:rPr>
          <w:rFonts w:ascii="Times New Roman" w:hAnsi="Times New Roman"/>
          <w:sz w:val="24"/>
          <w:szCs w:val="24"/>
        </w:rPr>
        <w:instrText xml:space="preserve"> ADDIN ZOTERO_ITEM CSL_CITATION {"citationID":"aHYG4XeI","properties":{"formattedCitation":"(Yang &amp; Lee, 2020)","plainCitation":"(Yang &amp; Lee, 2020)","noteIndex":0},"citationItems":[{"id":7,"uris":["http://zotero.org/users/local/edH5odoP/items/FPGJFJKU"],"itemData":{"id":7,"type":"article-journal","abstract":"Corporate fraud risk management strategy has increasingly become a sustainable business development goal. Recent reforms in forensic accounting technology for corporate fraud risk management globally have opened up new avenues for corporate governance and internal control mechanism implementation. This study thus presents an integrated methodology for forensic accounting implementation to improve the identification of the strategy map relationship between the Balanced Scorecard (BSC)-based perspective and criteria, by combining multiple-criteria decision making (MCDM) with the Decision Making Trial and Evaluation Laboratory (DEMATEL) and the Analytic Network Process (ANP) techniques. The results have implications for corporate decision-makers to effectively fulfil corporate governance quality assurance and anti-fraud through a forensic accounting strategy map illustration. From the evaluation and planning perspective, the in-depth analysis of strategy map is useful to obtain an interrelationship that takes as its starting point the practice professions of the decision maker to improve existing strategy alternatives and focus on the valuable strategy paths. In the evaluation planning application, a strategy map of forensic accounting presents the knowledge regarding key indicators’ priorities to achieve satisfactory strategy planning and to practice forensic accounting development linked to fraud risk management in Taiwan.","container-title":"Evaluation and Program Planning","DOI":"10.1016/j.evalprogplan.2020.101780","ISSN":"0149-7189","journalAbbreviation":"Evaluation and Program Planning","language":"en","page":"101780","source":"ScienceDirect","title":"Developing a strategy map for forensic accounting with fraud risk management: An integrated balanced scorecard-based decision model","title-short":"Developing a strategy map for forensic accounting with fraud risk management","volume":"80","author":[{"family":"Yang","given":"Chih-Hao"},{"family":"Lee","given":"Kuen-Chang"}],"issued":{"date-parts":[["2020",6,1]]}}}],"schema":"https://github.com/citation-style-language/schema/raw/master/csl-citation.json"} </w:instrText>
      </w:r>
      <w:r w:rsidR="005D6306">
        <w:rPr>
          <w:rFonts w:ascii="Times New Roman" w:hAnsi="Times New Roman"/>
          <w:sz w:val="24"/>
          <w:szCs w:val="24"/>
        </w:rPr>
        <w:fldChar w:fldCharType="separate"/>
      </w:r>
      <w:r w:rsidR="005D6306" w:rsidRPr="00945378">
        <w:rPr>
          <w:rFonts w:ascii="Times New Roman" w:hAnsi="Times New Roman"/>
          <w:sz w:val="24"/>
        </w:rPr>
        <w:t>(Yang &amp; Lee, 2020)</w:t>
      </w:r>
      <w:r w:rsidR="005D6306">
        <w:rPr>
          <w:rFonts w:ascii="Times New Roman" w:hAnsi="Times New Roman"/>
          <w:sz w:val="24"/>
          <w:szCs w:val="24"/>
        </w:rPr>
        <w:fldChar w:fldCharType="end"/>
      </w:r>
      <w:r w:rsidR="005D6306" w:rsidRPr="00654A66">
        <w:rPr>
          <w:rFonts w:ascii="Times New Roman" w:hAnsi="Times New Roman"/>
          <w:sz w:val="24"/>
          <w:szCs w:val="24"/>
        </w:rPr>
        <w:t>.</w:t>
      </w:r>
    </w:p>
    <w:p w14:paraId="66240D58" w14:textId="7CA9215F" w:rsidR="00654A66" w:rsidRDefault="00654A66" w:rsidP="007A306E">
      <w:pPr>
        <w:spacing w:line="360" w:lineRule="auto"/>
        <w:rPr>
          <w:rFonts w:ascii="Times New Roman" w:hAnsi="Times New Roman"/>
          <w:sz w:val="24"/>
          <w:szCs w:val="24"/>
        </w:rPr>
      </w:pPr>
      <w:r w:rsidRPr="00654A66">
        <w:rPr>
          <w:rFonts w:ascii="Times New Roman" w:hAnsi="Times New Roman"/>
          <w:sz w:val="24"/>
          <w:szCs w:val="24"/>
        </w:rPr>
        <w:t>From my</w:t>
      </w:r>
      <w:r w:rsidR="00EF4315">
        <w:rPr>
          <w:rFonts w:ascii="Times New Roman" w:hAnsi="Times New Roman"/>
          <w:sz w:val="24"/>
          <w:szCs w:val="24"/>
        </w:rPr>
        <w:t xml:space="preserve"> point of</w:t>
      </w:r>
      <w:r w:rsidRPr="00654A66">
        <w:rPr>
          <w:rFonts w:ascii="Times New Roman" w:hAnsi="Times New Roman"/>
          <w:sz w:val="24"/>
          <w:szCs w:val="24"/>
        </w:rPr>
        <w:t xml:space="preserve"> view, enhancing financial transparency is one of the major contributions of forensic accounting to sustainable corporate governance. </w:t>
      </w:r>
      <w:r w:rsidR="00410A61">
        <w:rPr>
          <w:rFonts w:ascii="Times New Roman" w:hAnsi="Times New Roman"/>
          <w:sz w:val="24"/>
          <w:szCs w:val="24"/>
        </w:rPr>
        <w:t>Therefore, b</w:t>
      </w:r>
      <w:r w:rsidRPr="00654A66">
        <w:rPr>
          <w:rFonts w:ascii="Times New Roman" w:hAnsi="Times New Roman"/>
          <w:sz w:val="24"/>
          <w:szCs w:val="24"/>
        </w:rPr>
        <w:t>y implementing forensic accounting procedures, organizations can identify inconsistencies, fraud, and weaknesses in internal control systems</w:t>
      </w:r>
      <w:r w:rsidR="00410A61">
        <w:rPr>
          <w:rFonts w:ascii="Times New Roman" w:hAnsi="Times New Roman"/>
          <w:sz w:val="24"/>
          <w:szCs w:val="24"/>
        </w:rPr>
        <w:t xml:space="preserve">. </w:t>
      </w:r>
      <w:r w:rsidRPr="00654A66">
        <w:rPr>
          <w:rFonts w:ascii="Times New Roman" w:hAnsi="Times New Roman"/>
          <w:sz w:val="24"/>
          <w:szCs w:val="24"/>
        </w:rPr>
        <w:t>This practice strengthens sustainable corporate governance by promoting openness and helping prevent dishonest business practices</w:t>
      </w:r>
      <w:r w:rsidR="00410A61">
        <w:rPr>
          <w:rFonts w:ascii="Times New Roman" w:hAnsi="Times New Roman"/>
          <w:sz w:val="24"/>
          <w:szCs w:val="24"/>
        </w:rPr>
        <w:t xml:space="preserve">. </w:t>
      </w:r>
      <w:r w:rsidRPr="00654A66">
        <w:rPr>
          <w:rFonts w:ascii="Times New Roman" w:hAnsi="Times New Roman"/>
          <w:sz w:val="24"/>
          <w:szCs w:val="24"/>
        </w:rPr>
        <w:t>A key component of effective corporate governance is stakeholder trust. Forensic accounting techniques, such as conducting in-depth investigations and providing expert evidence, can help build stakeholder confidence</w:t>
      </w:r>
      <w:r w:rsidR="00410A61">
        <w:rPr>
          <w:rFonts w:ascii="Times New Roman" w:hAnsi="Times New Roman"/>
          <w:sz w:val="24"/>
          <w:szCs w:val="24"/>
        </w:rPr>
        <w:t xml:space="preserve">. </w:t>
      </w:r>
      <w:r w:rsidRPr="00654A66">
        <w:rPr>
          <w:rFonts w:ascii="Times New Roman" w:hAnsi="Times New Roman"/>
          <w:sz w:val="24"/>
          <w:szCs w:val="24"/>
        </w:rPr>
        <w:t>When an organization demonstrates a commitment to uncovering and resolving financial irregularities, stakeholders are more likely to have faith in the integrity of the business and its governance procedures</w:t>
      </w:r>
      <w:r w:rsidR="00410A61">
        <w:rPr>
          <w:rFonts w:ascii="Times New Roman" w:hAnsi="Times New Roman"/>
          <w:sz w:val="24"/>
          <w:szCs w:val="24"/>
        </w:rPr>
        <w:t xml:space="preserve"> </w:t>
      </w:r>
      <w:r w:rsidR="00410A61">
        <w:rPr>
          <w:rFonts w:ascii="Times New Roman" w:hAnsi="Times New Roman"/>
          <w:sz w:val="24"/>
          <w:szCs w:val="24"/>
        </w:rPr>
        <w:fldChar w:fldCharType="begin"/>
      </w:r>
      <w:r w:rsidR="00410A61">
        <w:rPr>
          <w:rFonts w:ascii="Times New Roman" w:hAnsi="Times New Roman"/>
          <w:sz w:val="24"/>
          <w:szCs w:val="24"/>
        </w:rPr>
        <w:instrText xml:space="preserve"> ADDIN ZOTERO_ITEM CSL_CITATION {"citationID":"AtgRBPDv","properties":{"formattedCitation":"(Rehman &amp; Hashim, 2020)","plainCitation":"(Rehman &amp; Hashim, 2020)","noteIndex":0},"citationItems":[{"id":10,"uris":["http://zotero.org/users/local/edH5odoP/items/R4WGLZ3P"],"itemData":{"id":10,"type":"article-journal","abstract":"Purpose The purpose of this paper is the measurement of forensic accounting’s (FA) impact on sustainable corporate governance (SCG) within Omani public listed companies. Beyond merely cataloging the latest criminal innovations and SCG problems, this paper offers a path forward to overcome the myriad threats that can harm the organization and society. FA and SCG can achieve, anticipate and prevent tomorrow’s fraud today before organizations reach the point of no return. Design/methodology/approach For this study, FA is an independent variable and SCG is the dependent variable. This study used a descriptive cross-sectional survey design. Data are collected by internet-based tool and analyzed via partial least squares structural equation modeling and Statistical Package for Social Sciences. Findings Result suggests that FA has a significant direct impact over SCG; moreover, FA can become the part of governance management toward the elimination of fraud and achievement of SCG. Practical implications This study can assist regulators, professional bodies and organizations in amending their codes of corporate governance and organizational policies by introducing the SCG clauses and making FA as a compulsory part of governance system. Originality/value Up to the best of the knowledge of researchers, there is no study conducted before which verifies the FA impact on SCG; moreover, previous relevant studies verify only one constituent for SCG, whereas this study is identifying three constituents necessary for SCG.","container-title":"Corporate Governance: The International Journal of Business in Society","DOI":"10.1108/CG-06-2020-0269","ISSN":"1472-0701","issue":"1","note":"publisher: Emerald Publishing Limited","page":"212-227","source":"Emerald Insight","title":"Can forensic accounting impact sustainable corporate governance?","volume":"21","author":[{"family":"Rehman","given":"Ali"},{"family":"Hashim","given":"Fathyah"}],"issued":{"date-parts":[["2020",1,1]]}}}],"schema":"https://github.com/citation-style-language/schema/raw/master/csl-citation.json"} </w:instrText>
      </w:r>
      <w:r w:rsidR="00410A61">
        <w:rPr>
          <w:rFonts w:ascii="Times New Roman" w:hAnsi="Times New Roman"/>
          <w:sz w:val="24"/>
          <w:szCs w:val="24"/>
        </w:rPr>
        <w:fldChar w:fldCharType="separate"/>
      </w:r>
      <w:r w:rsidR="00410A61" w:rsidRPr="00945378">
        <w:rPr>
          <w:rFonts w:ascii="Times New Roman" w:hAnsi="Times New Roman"/>
          <w:sz w:val="24"/>
        </w:rPr>
        <w:t>(Rehman &amp; Hashim, 2020)</w:t>
      </w:r>
      <w:r w:rsidR="00410A61">
        <w:rPr>
          <w:rFonts w:ascii="Times New Roman" w:hAnsi="Times New Roman"/>
          <w:sz w:val="24"/>
          <w:szCs w:val="24"/>
        </w:rPr>
        <w:fldChar w:fldCharType="end"/>
      </w:r>
      <w:r w:rsidR="00410A61" w:rsidRPr="00654A66">
        <w:rPr>
          <w:rFonts w:ascii="Times New Roman" w:hAnsi="Times New Roman"/>
          <w:sz w:val="24"/>
          <w:szCs w:val="24"/>
        </w:rPr>
        <w:t>.</w:t>
      </w:r>
    </w:p>
    <w:p w14:paraId="4095264C" w14:textId="3DDAB278" w:rsidR="00C63B7C" w:rsidRPr="003E7086" w:rsidRDefault="00BD239C" w:rsidP="007A306E">
      <w:pPr>
        <w:spacing w:after="0" w:line="360" w:lineRule="auto"/>
        <w:rPr>
          <w:rFonts w:ascii="Times New Roman" w:hAnsi="Times New Roman"/>
          <w:sz w:val="24"/>
          <w:szCs w:val="24"/>
        </w:rPr>
      </w:pPr>
      <w:r>
        <w:rPr>
          <w:rFonts w:ascii="Times New Roman" w:hAnsi="Times New Roman"/>
          <w:sz w:val="24"/>
          <w:szCs w:val="24"/>
        </w:rPr>
        <w:t xml:space="preserve">However, </w:t>
      </w:r>
      <w:r w:rsidR="00654A66" w:rsidRPr="00654A66">
        <w:rPr>
          <w:rFonts w:ascii="Times New Roman" w:hAnsi="Times New Roman"/>
          <w:sz w:val="24"/>
          <w:szCs w:val="24"/>
        </w:rPr>
        <w:t xml:space="preserve">whistleblowing greatly facilitates the early identification and prevention of fraud within businesses. It provides employees with a channel to report unethical or unlawful activities while ensuring their rights are protected and shielding them from reprisals. </w:t>
      </w:r>
      <w:r w:rsidR="000664B8">
        <w:rPr>
          <w:rFonts w:ascii="Times New Roman" w:hAnsi="Times New Roman"/>
          <w:sz w:val="24"/>
          <w:szCs w:val="24"/>
        </w:rPr>
        <w:t xml:space="preserve">For instance, </w:t>
      </w:r>
      <w:r w:rsidR="00C66DDF">
        <w:rPr>
          <w:rFonts w:ascii="Times New Roman" w:hAnsi="Times New Roman"/>
          <w:sz w:val="24"/>
          <w:szCs w:val="24"/>
        </w:rPr>
        <w:fldChar w:fldCharType="begin"/>
      </w:r>
      <w:r w:rsidR="002770A3">
        <w:rPr>
          <w:rFonts w:ascii="Times New Roman" w:hAnsi="Times New Roman"/>
          <w:sz w:val="24"/>
          <w:szCs w:val="24"/>
        </w:rPr>
        <w:instrText xml:space="preserve"> ADDIN ZOTERO_ITEM CSL_CITATION {"citationID":"0GKWnBTZ","properties":{"formattedCitation":"(Mamahit &amp; Urumsah, 2018)","plainCitation":"(Mamahit &amp; Urumsah, 2018)","dontUpdate":true,"noteIndex":0},"citationItems":[{"id":13,"uris":["http://zotero.org/users/local/edH5odoP/items/BW5HRQD9"],"itemData":{"id":13,"type":"article-journal","abstract":"Fraud is a problem that has never been resolved from year to year. One type of fraud that often occurs in the government sector is corruption. Various attempts have been made by the government to detect fraud, but the efforts that have been made have not been effective in reducing fraud. This study aims to propose a conceptual model for detecting fraud by linking whistle-blowing, forensic audits, and investigation audits. The conceptual model of this research is expected to provide input to managers and decision makers regarding the factors that need to be considered in improving fraud detection so that in the future fraud prevention methods will be better and better.","container-title":"Journal of Accounting and Strategic Finance","DOI":"10.33005/jasf.v1i2.43","ISSN":"2614-6649","issue":"2","journalAbbreviation":"JASF","language":"en","page":"153-162","source":"DOI.org (Crossref)","title":"The Comprehensive Model of Whistle-Blowing, Forensic Audit, Audit Investigation, and Fraud Detection","volume":"1","author":[{"family":"Mamahit","given":"Atrisia Inayati"},{"family":"Urumsah","given":"Dekar"}],"issued":{"date-parts":[["2018",11,30]]}}}],"schema":"https://github.com/citation-style-language/schema/raw/master/csl-citation.json"} </w:instrText>
      </w:r>
      <w:r w:rsidR="00C66DDF">
        <w:rPr>
          <w:rFonts w:ascii="Times New Roman" w:hAnsi="Times New Roman"/>
          <w:sz w:val="24"/>
          <w:szCs w:val="24"/>
        </w:rPr>
        <w:fldChar w:fldCharType="separate"/>
      </w:r>
      <w:r w:rsidR="00C66DDF" w:rsidRPr="00C66DDF">
        <w:rPr>
          <w:rFonts w:ascii="Times New Roman" w:hAnsi="Times New Roman"/>
          <w:sz w:val="24"/>
        </w:rPr>
        <w:t xml:space="preserve">Mamahit &amp; Urumsah </w:t>
      </w:r>
      <w:r w:rsidR="00C66DDF">
        <w:rPr>
          <w:rFonts w:ascii="Times New Roman" w:hAnsi="Times New Roman"/>
          <w:sz w:val="24"/>
        </w:rPr>
        <w:t>(</w:t>
      </w:r>
      <w:r w:rsidR="00C66DDF" w:rsidRPr="00C66DDF">
        <w:rPr>
          <w:rFonts w:ascii="Times New Roman" w:hAnsi="Times New Roman"/>
          <w:sz w:val="24"/>
        </w:rPr>
        <w:t>2018</w:t>
      </w:r>
      <w:r w:rsidR="00C66DDF">
        <w:rPr>
          <w:rFonts w:ascii="Times New Roman" w:hAnsi="Times New Roman"/>
          <w:sz w:val="24"/>
          <w:szCs w:val="24"/>
        </w:rPr>
        <w:fldChar w:fldCharType="end"/>
      </w:r>
      <w:r w:rsidR="00C66DDF">
        <w:rPr>
          <w:rFonts w:ascii="Times New Roman" w:hAnsi="Times New Roman"/>
          <w:sz w:val="24"/>
          <w:szCs w:val="24"/>
        </w:rPr>
        <w:t>)</w:t>
      </w:r>
      <w:r w:rsidR="00654A66" w:rsidRPr="00654A66">
        <w:rPr>
          <w:rFonts w:ascii="Times New Roman" w:hAnsi="Times New Roman"/>
          <w:sz w:val="24"/>
          <w:szCs w:val="24"/>
        </w:rPr>
        <w:t xml:space="preserve"> emphasize the importance of a comprehensive whistleblowing model that includes elements such as corporate culture, whistleblower protection systems, and awareness campaigns. The authors highlight the necessity of fostering an ethical work environment that encourages employees to disclose fraudulent activities without fear of retaliation.</w:t>
      </w:r>
      <w:r w:rsidR="00B0776C">
        <w:rPr>
          <w:rFonts w:ascii="Times New Roman" w:hAnsi="Times New Roman"/>
          <w:sz w:val="24"/>
          <w:szCs w:val="24"/>
        </w:rPr>
        <w:t xml:space="preserve"> </w:t>
      </w:r>
      <w:r w:rsidR="00123E47">
        <w:rPr>
          <w:rFonts w:ascii="Times New Roman" w:hAnsi="Times New Roman"/>
          <w:sz w:val="24"/>
          <w:szCs w:val="24"/>
        </w:rPr>
        <w:t>Similarly,</w:t>
      </w:r>
      <w:r w:rsidR="00BE6005">
        <w:rPr>
          <w:rFonts w:ascii="Times New Roman" w:hAnsi="Times New Roman"/>
          <w:sz w:val="24"/>
          <w:szCs w:val="24"/>
        </w:rPr>
        <w:t xml:space="preserve"> </w:t>
      </w:r>
      <w:r w:rsidR="00654A66" w:rsidRPr="00654A66">
        <w:rPr>
          <w:rFonts w:ascii="Times New Roman" w:hAnsi="Times New Roman"/>
          <w:sz w:val="24"/>
          <w:szCs w:val="24"/>
        </w:rPr>
        <w:t xml:space="preserve">audit inquiries, examining financial records, transactions, and relevant data to detect inconsistencies, errors, or fraud is a crucial aspect. </w:t>
      </w:r>
      <w:r w:rsidR="000664B8">
        <w:rPr>
          <w:rFonts w:ascii="Times New Roman" w:hAnsi="Times New Roman"/>
          <w:sz w:val="24"/>
          <w:szCs w:val="24"/>
        </w:rPr>
        <w:t xml:space="preserve">Additionally, </w:t>
      </w:r>
      <w:r w:rsidR="00B0776C">
        <w:rPr>
          <w:rFonts w:ascii="Times New Roman" w:hAnsi="Times New Roman"/>
          <w:sz w:val="24"/>
          <w:szCs w:val="24"/>
        </w:rPr>
        <w:t xml:space="preserve">it has been </w:t>
      </w:r>
      <w:r w:rsidR="004A50E5" w:rsidRPr="00654A66">
        <w:rPr>
          <w:rFonts w:ascii="Times New Roman" w:hAnsi="Times New Roman"/>
          <w:sz w:val="24"/>
          <w:szCs w:val="24"/>
        </w:rPr>
        <w:t>stress</w:t>
      </w:r>
      <w:r w:rsidR="004A50E5">
        <w:rPr>
          <w:rFonts w:ascii="Times New Roman" w:hAnsi="Times New Roman"/>
          <w:sz w:val="24"/>
          <w:szCs w:val="24"/>
        </w:rPr>
        <w:t>ing</w:t>
      </w:r>
      <w:r w:rsidR="00654A66" w:rsidRPr="00654A66">
        <w:rPr>
          <w:rFonts w:ascii="Times New Roman" w:hAnsi="Times New Roman"/>
          <w:sz w:val="24"/>
          <w:szCs w:val="24"/>
        </w:rPr>
        <w:t xml:space="preserve"> the inclusion of audit investigation as a vital component in an all-encompassing approach to enhance fraud detection. They emphasize the need to hire auditors with appropriate training and tools to conduct thorough and impartial investigations.</w:t>
      </w:r>
    </w:p>
    <w:p w14:paraId="38D26490" w14:textId="77777777" w:rsidR="00C63B7C" w:rsidRPr="003E7086" w:rsidRDefault="00C63B7C" w:rsidP="007A306E">
      <w:pPr>
        <w:spacing w:after="0" w:line="360" w:lineRule="auto"/>
        <w:rPr>
          <w:rFonts w:ascii="Times New Roman" w:hAnsi="Times New Roman"/>
          <w:sz w:val="24"/>
          <w:szCs w:val="24"/>
        </w:rPr>
      </w:pPr>
    </w:p>
    <w:p w14:paraId="12B2A3B5" w14:textId="615E39C3" w:rsidR="008E0B9F" w:rsidRPr="00432F55" w:rsidRDefault="008E0B9F" w:rsidP="007A306E">
      <w:pPr>
        <w:spacing w:after="160" w:line="360" w:lineRule="auto"/>
        <w:jc w:val="left"/>
        <w:rPr>
          <w:rFonts w:ascii="Times New Roman" w:hAnsi="Times New Roman"/>
          <w:sz w:val="24"/>
          <w:szCs w:val="24"/>
        </w:rPr>
      </w:pPr>
      <w:r w:rsidRPr="003E7086">
        <w:rPr>
          <w:rFonts w:ascii="Times New Roman" w:hAnsi="Times New Roman"/>
          <w:b/>
          <w:bCs/>
          <w:sz w:val="24"/>
          <w:szCs w:val="24"/>
        </w:rPr>
        <w:t>Conclusion</w:t>
      </w:r>
    </w:p>
    <w:p w14:paraId="6A3F0E0C" w14:textId="77777777" w:rsidR="008E0B9F" w:rsidRPr="003E7086" w:rsidRDefault="008E0B9F" w:rsidP="007A306E">
      <w:pPr>
        <w:spacing w:line="360" w:lineRule="auto"/>
        <w:rPr>
          <w:rFonts w:ascii="Times New Roman" w:hAnsi="Times New Roman"/>
          <w:sz w:val="24"/>
          <w:szCs w:val="24"/>
        </w:rPr>
      </w:pPr>
      <w:r w:rsidRPr="003E7086">
        <w:rPr>
          <w:rFonts w:ascii="Times New Roman" w:hAnsi="Times New Roman"/>
          <w:sz w:val="24"/>
          <w:szCs w:val="24"/>
        </w:rPr>
        <w:t>In conclusion, my discussion shows that corporate fraud poses a significant threat to organizations and society. Forensic accounting is essential for detecting, investigating, and preventing fraudulent activities. The role of forensic accounting in corporate governance must be balanced, and organizations must recognize its importance. However, forensic accountants face several challenges, including the need for more awareness of the importance of forensic accounting and the complexity of modern financial transactions. Addressing these challenges will require a concerted effort by organizations, policymakers, and the forensic accounting profession.</w:t>
      </w:r>
    </w:p>
    <w:p w14:paraId="100AE483" w14:textId="77777777" w:rsidR="008E0B9F" w:rsidRPr="003E7086" w:rsidRDefault="008E0B9F" w:rsidP="007A306E">
      <w:pPr>
        <w:spacing w:line="360" w:lineRule="auto"/>
        <w:rPr>
          <w:rFonts w:ascii="Times New Roman" w:hAnsi="Times New Roman"/>
          <w:sz w:val="24"/>
          <w:szCs w:val="24"/>
        </w:rPr>
      </w:pPr>
    </w:p>
    <w:p w14:paraId="60E12C05" w14:textId="77777777" w:rsidR="00450044" w:rsidRPr="003E7086" w:rsidRDefault="00450044" w:rsidP="007A306E">
      <w:pPr>
        <w:spacing w:line="360" w:lineRule="auto"/>
        <w:rPr>
          <w:rFonts w:ascii="Times New Roman" w:hAnsi="Times New Roman"/>
          <w:sz w:val="24"/>
          <w:szCs w:val="24"/>
        </w:rPr>
      </w:pPr>
    </w:p>
    <w:p w14:paraId="2FBC770D" w14:textId="77777777" w:rsidR="00432F55" w:rsidRDefault="00432F55" w:rsidP="007A306E">
      <w:pPr>
        <w:spacing w:after="160" w:line="360" w:lineRule="auto"/>
        <w:jc w:val="left"/>
        <w:rPr>
          <w:rFonts w:ascii="Times New Roman" w:hAnsi="Times New Roman"/>
          <w:sz w:val="24"/>
          <w:szCs w:val="24"/>
        </w:rPr>
      </w:pPr>
    </w:p>
    <w:p w14:paraId="2E110BD3" w14:textId="77777777" w:rsidR="007A306E" w:rsidRDefault="007A306E" w:rsidP="007A306E">
      <w:pPr>
        <w:spacing w:after="160" w:line="360" w:lineRule="auto"/>
        <w:jc w:val="left"/>
        <w:rPr>
          <w:rFonts w:ascii="Times New Roman" w:hAnsi="Times New Roman"/>
          <w:sz w:val="24"/>
          <w:szCs w:val="24"/>
        </w:rPr>
      </w:pPr>
    </w:p>
    <w:p w14:paraId="0550BFB9" w14:textId="77777777" w:rsidR="007A306E" w:rsidRDefault="007A306E" w:rsidP="007A306E">
      <w:pPr>
        <w:spacing w:after="160" w:line="360" w:lineRule="auto"/>
        <w:jc w:val="left"/>
        <w:rPr>
          <w:rFonts w:ascii="Times New Roman" w:hAnsi="Times New Roman"/>
          <w:sz w:val="24"/>
          <w:szCs w:val="24"/>
        </w:rPr>
      </w:pPr>
    </w:p>
    <w:p w14:paraId="42CBA3CF" w14:textId="77777777" w:rsidR="007A306E" w:rsidRDefault="007A306E" w:rsidP="007A306E">
      <w:pPr>
        <w:spacing w:after="160" w:line="360" w:lineRule="auto"/>
        <w:jc w:val="left"/>
        <w:rPr>
          <w:rFonts w:ascii="Times New Roman" w:hAnsi="Times New Roman"/>
          <w:sz w:val="24"/>
          <w:szCs w:val="24"/>
        </w:rPr>
      </w:pPr>
    </w:p>
    <w:p w14:paraId="6110894C" w14:textId="77777777" w:rsidR="007A306E" w:rsidRDefault="007A306E" w:rsidP="007A306E">
      <w:pPr>
        <w:spacing w:after="160" w:line="360" w:lineRule="auto"/>
        <w:jc w:val="left"/>
        <w:rPr>
          <w:rFonts w:ascii="Times New Roman" w:hAnsi="Times New Roman"/>
          <w:sz w:val="24"/>
          <w:szCs w:val="24"/>
        </w:rPr>
      </w:pPr>
    </w:p>
    <w:p w14:paraId="3170810A" w14:textId="77777777" w:rsidR="007A306E" w:rsidRDefault="007A306E" w:rsidP="007A306E">
      <w:pPr>
        <w:spacing w:after="160" w:line="360" w:lineRule="auto"/>
        <w:jc w:val="left"/>
        <w:rPr>
          <w:rFonts w:ascii="Times New Roman" w:hAnsi="Times New Roman"/>
          <w:sz w:val="24"/>
          <w:szCs w:val="24"/>
        </w:rPr>
      </w:pPr>
    </w:p>
    <w:p w14:paraId="30992C12" w14:textId="77777777" w:rsidR="007A306E" w:rsidRDefault="007A306E" w:rsidP="007A306E">
      <w:pPr>
        <w:spacing w:after="160" w:line="360" w:lineRule="auto"/>
        <w:jc w:val="left"/>
        <w:rPr>
          <w:rFonts w:ascii="Times New Roman" w:hAnsi="Times New Roman"/>
          <w:sz w:val="24"/>
          <w:szCs w:val="24"/>
        </w:rPr>
      </w:pPr>
    </w:p>
    <w:p w14:paraId="4CA84CAF" w14:textId="77777777" w:rsidR="007A306E" w:rsidRDefault="007A306E" w:rsidP="007A306E">
      <w:pPr>
        <w:spacing w:after="160" w:line="360" w:lineRule="auto"/>
        <w:jc w:val="left"/>
        <w:rPr>
          <w:rFonts w:ascii="Times New Roman" w:hAnsi="Times New Roman"/>
          <w:sz w:val="24"/>
          <w:szCs w:val="24"/>
        </w:rPr>
      </w:pPr>
    </w:p>
    <w:p w14:paraId="67945BDF" w14:textId="77777777" w:rsidR="007A306E" w:rsidRDefault="007A306E" w:rsidP="007A306E">
      <w:pPr>
        <w:spacing w:after="160" w:line="360" w:lineRule="auto"/>
        <w:jc w:val="left"/>
        <w:rPr>
          <w:rFonts w:ascii="Times New Roman" w:hAnsi="Times New Roman"/>
          <w:sz w:val="24"/>
          <w:szCs w:val="24"/>
        </w:rPr>
      </w:pPr>
    </w:p>
    <w:p w14:paraId="19C717F9" w14:textId="77777777" w:rsidR="007A306E" w:rsidRDefault="007A306E" w:rsidP="007A306E">
      <w:pPr>
        <w:spacing w:after="160" w:line="360" w:lineRule="auto"/>
        <w:jc w:val="left"/>
        <w:rPr>
          <w:rFonts w:ascii="Times New Roman" w:hAnsi="Times New Roman"/>
          <w:sz w:val="24"/>
          <w:szCs w:val="24"/>
        </w:rPr>
      </w:pPr>
    </w:p>
    <w:p w14:paraId="4BB50183" w14:textId="77777777" w:rsidR="007A306E" w:rsidRDefault="007A306E" w:rsidP="007A306E">
      <w:pPr>
        <w:spacing w:after="160" w:line="360" w:lineRule="auto"/>
        <w:jc w:val="left"/>
        <w:rPr>
          <w:rFonts w:ascii="Times New Roman" w:hAnsi="Times New Roman"/>
          <w:sz w:val="24"/>
          <w:szCs w:val="24"/>
        </w:rPr>
      </w:pPr>
    </w:p>
    <w:p w14:paraId="1B1AB938" w14:textId="77777777" w:rsidR="007A306E" w:rsidRDefault="007A306E" w:rsidP="007A306E">
      <w:pPr>
        <w:spacing w:after="160" w:line="360" w:lineRule="auto"/>
        <w:jc w:val="left"/>
        <w:rPr>
          <w:rFonts w:ascii="Times New Roman" w:hAnsi="Times New Roman"/>
          <w:sz w:val="24"/>
          <w:szCs w:val="24"/>
        </w:rPr>
      </w:pPr>
    </w:p>
    <w:p w14:paraId="20B838F5" w14:textId="77777777" w:rsidR="007A306E" w:rsidRDefault="007A306E" w:rsidP="007A306E">
      <w:pPr>
        <w:spacing w:after="160" w:line="360" w:lineRule="auto"/>
        <w:jc w:val="left"/>
        <w:rPr>
          <w:rFonts w:ascii="Times New Roman" w:hAnsi="Times New Roman"/>
          <w:sz w:val="24"/>
          <w:szCs w:val="24"/>
        </w:rPr>
      </w:pPr>
    </w:p>
    <w:p w14:paraId="4F4B9201" w14:textId="77777777" w:rsidR="007A306E" w:rsidRDefault="007A306E" w:rsidP="007A306E">
      <w:pPr>
        <w:spacing w:after="160" w:line="360" w:lineRule="auto"/>
        <w:jc w:val="left"/>
        <w:rPr>
          <w:rFonts w:ascii="Times New Roman" w:hAnsi="Times New Roman"/>
          <w:sz w:val="24"/>
          <w:szCs w:val="24"/>
        </w:rPr>
      </w:pPr>
    </w:p>
    <w:p w14:paraId="5AA4DF44" w14:textId="77777777" w:rsidR="007A306E" w:rsidRDefault="007A306E" w:rsidP="007A306E">
      <w:pPr>
        <w:spacing w:after="160" w:line="360" w:lineRule="auto"/>
        <w:jc w:val="left"/>
        <w:rPr>
          <w:rFonts w:ascii="Times New Roman" w:hAnsi="Times New Roman"/>
          <w:sz w:val="24"/>
          <w:szCs w:val="24"/>
        </w:rPr>
      </w:pPr>
    </w:p>
    <w:p w14:paraId="47122A87" w14:textId="5074E686" w:rsidR="00945378" w:rsidRPr="00432F55" w:rsidRDefault="00945378" w:rsidP="007A306E">
      <w:pPr>
        <w:spacing w:after="160" w:line="360" w:lineRule="auto"/>
        <w:jc w:val="left"/>
        <w:rPr>
          <w:rFonts w:ascii="Times New Roman" w:hAnsi="Times New Roman"/>
          <w:sz w:val="24"/>
          <w:szCs w:val="24"/>
        </w:rPr>
      </w:pPr>
      <w:r w:rsidRPr="005C2514">
        <w:rPr>
          <w:rFonts w:ascii="Times New Roman" w:hAnsi="Times New Roman"/>
          <w:b/>
          <w:bCs/>
          <w:sz w:val="24"/>
          <w:szCs w:val="24"/>
        </w:rPr>
        <w:lastRenderedPageBreak/>
        <w:t>References:</w:t>
      </w:r>
    </w:p>
    <w:p w14:paraId="44C68119" w14:textId="77777777" w:rsidR="00140012" w:rsidRPr="005C2514" w:rsidRDefault="00140012" w:rsidP="007A306E">
      <w:pPr>
        <w:spacing w:line="360" w:lineRule="auto"/>
        <w:rPr>
          <w:rFonts w:ascii="Times New Roman" w:hAnsi="Times New Roman"/>
          <w:b/>
          <w:bCs/>
          <w:sz w:val="24"/>
          <w:szCs w:val="24"/>
        </w:rPr>
      </w:pPr>
    </w:p>
    <w:p w14:paraId="315BE1CF" w14:textId="77777777" w:rsidR="002770A3" w:rsidRPr="002770A3" w:rsidRDefault="00945378" w:rsidP="002770A3">
      <w:pPr>
        <w:pStyle w:val="Bibliography"/>
        <w:rPr>
          <w:rFonts w:ascii="Times New Roman" w:hAnsi="Times New Roman"/>
          <w:sz w:val="24"/>
        </w:rPr>
      </w:pPr>
      <w:r>
        <w:fldChar w:fldCharType="begin"/>
      </w:r>
      <w:r>
        <w:instrText xml:space="preserve"> ADDIN ZOTERO_BIBL {"uncited":[],"omitted":[],"custom":[]} CSL_BIBLIOGRAPHY </w:instrText>
      </w:r>
      <w:r>
        <w:fldChar w:fldCharType="separate"/>
      </w:r>
      <w:r w:rsidR="002770A3" w:rsidRPr="002770A3">
        <w:rPr>
          <w:rFonts w:ascii="Times New Roman" w:hAnsi="Times New Roman"/>
          <w:sz w:val="24"/>
        </w:rPr>
        <w:t xml:space="preserve">Albrecht, W. S., Albrecht, C. O., Albrecht, C. C., &amp; Zimbelman, M. F. (2018). </w:t>
      </w:r>
      <w:r w:rsidR="002770A3" w:rsidRPr="002770A3">
        <w:rPr>
          <w:rFonts w:ascii="Times New Roman" w:hAnsi="Times New Roman"/>
          <w:i/>
          <w:iCs/>
          <w:sz w:val="24"/>
        </w:rPr>
        <w:t>Fraud Examination</w:t>
      </w:r>
      <w:r w:rsidR="002770A3" w:rsidRPr="002770A3">
        <w:rPr>
          <w:rFonts w:ascii="Times New Roman" w:hAnsi="Times New Roman"/>
          <w:sz w:val="24"/>
        </w:rPr>
        <w:t>. Cengage Learning.</w:t>
      </w:r>
    </w:p>
    <w:p w14:paraId="2CF287BC" w14:textId="77777777" w:rsidR="002770A3" w:rsidRPr="002770A3" w:rsidRDefault="002770A3" w:rsidP="002770A3">
      <w:pPr>
        <w:pStyle w:val="Bibliography"/>
        <w:rPr>
          <w:rFonts w:ascii="Times New Roman" w:hAnsi="Times New Roman"/>
          <w:sz w:val="24"/>
        </w:rPr>
      </w:pPr>
      <w:r w:rsidRPr="002770A3">
        <w:rPr>
          <w:rFonts w:ascii="Times New Roman" w:hAnsi="Times New Roman"/>
          <w:sz w:val="24"/>
        </w:rPr>
        <w:t xml:space="preserve">Bhasin, M. L. (2015). </w:t>
      </w:r>
      <w:r w:rsidRPr="002770A3">
        <w:rPr>
          <w:rFonts w:ascii="Times New Roman" w:hAnsi="Times New Roman"/>
          <w:i/>
          <w:iCs/>
          <w:sz w:val="24"/>
        </w:rPr>
        <w:t>Contribution of Forensic Accounting to Corporate Governance: An Exploratory Study of an Asian Country</w:t>
      </w:r>
      <w:r w:rsidRPr="002770A3">
        <w:rPr>
          <w:rFonts w:ascii="Times New Roman" w:hAnsi="Times New Roman"/>
          <w:sz w:val="24"/>
        </w:rPr>
        <w:t xml:space="preserve"> (SSRN Scholarly Paper No. 2676488). https://doi.org/10.2139/ssrn.2676488</w:t>
      </w:r>
    </w:p>
    <w:p w14:paraId="6F4E0059" w14:textId="77777777" w:rsidR="002770A3" w:rsidRPr="002770A3" w:rsidRDefault="002770A3" w:rsidP="002770A3">
      <w:pPr>
        <w:pStyle w:val="Bibliography"/>
        <w:rPr>
          <w:rFonts w:ascii="Times New Roman" w:hAnsi="Times New Roman"/>
          <w:sz w:val="24"/>
        </w:rPr>
      </w:pPr>
      <w:r w:rsidRPr="002770A3">
        <w:rPr>
          <w:rFonts w:ascii="Times New Roman" w:hAnsi="Times New Roman"/>
          <w:sz w:val="24"/>
        </w:rPr>
        <w:t xml:space="preserve">Imoniana, J. O., Antunes, M. T. P., &amp; Formigoni, H. (2013). The forensic accounting and corporate fraud. </w:t>
      </w:r>
      <w:r w:rsidRPr="002770A3">
        <w:rPr>
          <w:rFonts w:ascii="Times New Roman" w:hAnsi="Times New Roman"/>
          <w:i/>
          <w:iCs/>
          <w:sz w:val="24"/>
        </w:rPr>
        <w:t>JISTEM - Journal of Information Systems and Technology Management</w:t>
      </w:r>
      <w:r w:rsidRPr="002770A3">
        <w:rPr>
          <w:rFonts w:ascii="Times New Roman" w:hAnsi="Times New Roman"/>
          <w:sz w:val="24"/>
        </w:rPr>
        <w:t xml:space="preserve">, </w:t>
      </w:r>
      <w:r w:rsidRPr="002770A3">
        <w:rPr>
          <w:rFonts w:ascii="Times New Roman" w:hAnsi="Times New Roman"/>
          <w:i/>
          <w:iCs/>
          <w:sz w:val="24"/>
        </w:rPr>
        <w:t>10</w:t>
      </w:r>
      <w:r w:rsidRPr="002770A3">
        <w:rPr>
          <w:rFonts w:ascii="Times New Roman" w:hAnsi="Times New Roman"/>
          <w:sz w:val="24"/>
        </w:rPr>
        <w:t>, 119–144. https://doi.org/10.1590/S1807-17752013000100008</w:t>
      </w:r>
    </w:p>
    <w:p w14:paraId="1E705A5C" w14:textId="77777777" w:rsidR="002770A3" w:rsidRPr="002770A3" w:rsidRDefault="002770A3" w:rsidP="002770A3">
      <w:pPr>
        <w:pStyle w:val="Bibliography"/>
        <w:rPr>
          <w:rFonts w:ascii="Times New Roman" w:hAnsi="Times New Roman"/>
          <w:sz w:val="24"/>
        </w:rPr>
      </w:pPr>
      <w:r w:rsidRPr="002770A3">
        <w:rPr>
          <w:rFonts w:ascii="Times New Roman" w:hAnsi="Times New Roman"/>
          <w:sz w:val="24"/>
        </w:rPr>
        <w:t xml:space="preserve">Mamahit, A. I., &amp; Urumsah, D. (2018). The Comprehensive Model of Whistle-Blowing, Forensic Audit, Audit Investigation, and Fraud Detection. </w:t>
      </w:r>
      <w:r w:rsidRPr="002770A3">
        <w:rPr>
          <w:rFonts w:ascii="Times New Roman" w:hAnsi="Times New Roman"/>
          <w:i/>
          <w:iCs/>
          <w:sz w:val="24"/>
        </w:rPr>
        <w:t>Journal of Accounting and Strategic Finance</w:t>
      </w:r>
      <w:r w:rsidRPr="002770A3">
        <w:rPr>
          <w:rFonts w:ascii="Times New Roman" w:hAnsi="Times New Roman"/>
          <w:sz w:val="24"/>
        </w:rPr>
        <w:t xml:space="preserve">, </w:t>
      </w:r>
      <w:r w:rsidRPr="002770A3">
        <w:rPr>
          <w:rFonts w:ascii="Times New Roman" w:hAnsi="Times New Roman"/>
          <w:i/>
          <w:iCs/>
          <w:sz w:val="24"/>
        </w:rPr>
        <w:t>1</w:t>
      </w:r>
      <w:r w:rsidRPr="002770A3">
        <w:rPr>
          <w:rFonts w:ascii="Times New Roman" w:hAnsi="Times New Roman"/>
          <w:sz w:val="24"/>
        </w:rPr>
        <w:t>(2), 153–162. https://doi.org/10.33005/jasf.v1i2.43</w:t>
      </w:r>
    </w:p>
    <w:p w14:paraId="574730FF" w14:textId="77777777" w:rsidR="002770A3" w:rsidRPr="002770A3" w:rsidRDefault="002770A3" w:rsidP="002770A3">
      <w:pPr>
        <w:pStyle w:val="Bibliography"/>
        <w:rPr>
          <w:rFonts w:ascii="Times New Roman" w:hAnsi="Times New Roman"/>
          <w:sz w:val="24"/>
        </w:rPr>
      </w:pPr>
      <w:r w:rsidRPr="002770A3">
        <w:rPr>
          <w:rFonts w:ascii="Times New Roman" w:hAnsi="Times New Roman"/>
          <w:sz w:val="24"/>
        </w:rPr>
        <w:t xml:space="preserve">Rehman, A., &amp; Hashim, F. (2020). Can forensic accounting impact sustainable corporate governance? </w:t>
      </w:r>
      <w:r w:rsidRPr="002770A3">
        <w:rPr>
          <w:rFonts w:ascii="Times New Roman" w:hAnsi="Times New Roman"/>
          <w:i/>
          <w:iCs/>
          <w:sz w:val="24"/>
        </w:rPr>
        <w:t>Corporate Governance: The International Journal of Business in Society</w:t>
      </w:r>
      <w:r w:rsidRPr="002770A3">
        <w:rPr>
          <w:rFonts w:ascii="Times New Roman" w:hAnsi="Times New Roman"/>
          <w:sz w:val="24"/>
        </w:rPr>
        <w:t xml:space="preserve">, </w:t>
      </w:r>
      <w:r w:rsidRPr="002770A3">
        <w:rPr>
          <w:rFonts w:ascii="Times New Roman" w:hAnsi="Times New Roman"/>
          <w:i/>
          <w:iCs/>
          <w:sz w:val="24"/>
        </w:rPr>
        <w:t>21</w:t>
      </w:r>
      <w:r w:rsidRPr="002770A3">
        <w:rPr>
          <w:rFonts w:ascii="Times New Roman" w:hAnsi="Times New Roman"/>
          <w:sz w:val="24"/>
        </w:rPr>
        <w:t>(1), 212–227. https://doi.org/10.1108/CG-06-2020-0269</w:t>
      </w:r>
    </w:p>
    <w:p w14:paraId="612F7B9B" w14:textId="77777777" w:rsidR="002770A3" w:rsidRPr="002770A3" w:rsidRDefault="002770A3" w:rsidP="002770A3">
      <w:pPr>
        <w:pStyle w:val="Bibliography"/>
        <w:rPr>
          <w:rFonts w:ascii="Times New Roman" w:hAnsi="Times New Roman"/>
          <w:sz w:val="24"/>
        </w:rPr>
      </w:pPr>
      <w:r w:rsidRPr="002770A3">
        <w:rPr>
          <w:rFonts w:ascii="Times New Roman" w:hAnsi="Times New Roman"/>
          <w:sz w:val="24"/>
        </w:rPr>
        <w:t xml:space="preserve">Yang, C.-H., &amp; Lee, K.-C. (2020). Developing a strategy map for forensic accounting with fraud risk management: An integrated balanced scorecard-based decision model. </w:t>
      </w:r>
      <w:r w:rsidRPr="002770A3">
        <w:rPr>
          <w:rFonts w:ascii="Times New Roman" w:hAnsi="Times New Roman"/>
          <w:i/>
          <w:iCs/>
          <w:sz w:val="24"/>
        </w:rPr>
        <w:t>Evaluation and Program Planning</w:t>
      </w:r>
      <w:r w:rsidRPr="002770A3">
        <w:rPr>
          <w:rFonts w:ascii="Times New Roman" w:hAnsi="Times New Roman"/>
          <w:sz w:val="24"/>
        </w:rPr>
        <w:t xml:space="preserve">, </w:t>
      </w:r>
      <w:r w:rsidRPr="002770A3">
        <w:rPr>
          <w:rFonts w:ascii="Times New Roman" w:hAnsi="Times New Roman"/>
          <w:i/>
          <w:iCs/>
          <w:sz w:val="24"/>
        </w:rPr>
        <w:t>80</w:t>
      </w:r>
      <w:r w:rsidRPr="002770A3">
        <w:rPr>
          <w:rFonts w:ascii="Times New Roman" w:hAnsi="Times New Roman"/>
          <w:sz w:val="24"/>
        </w:rPr>
        <w:t>, 101780. https://doi.org/10.1016/j.evalprogplan.2020.101780</w:t>
      </w:r>
    </w:p>
    <w:p w14:paraId="49178658" w14:textId="731F9BC4" w:rsidR="00945378" w:rsidRDefault="00945378" w:rsidP="007A306E">
      <w:pPr>
        <w:spacing w:line="360" w:lineRule="auto"/>
        <w:rPr>
          <w:rFonts w:ascii="Times New Roman" w:hAnsi="Times New Roman"/>
          <w:sz w:val="24"/>
          <w:szCs w:val="24"/>
        </w:rPr>
      </w:pPr>
      <w:r>
        <w:rPr>
          <w:rFonts w:ascii="Times New Roman" w:hAnsi="Times New Roman"/>
          <w:sz w:val="24"/>
          <w:szCs w:val="24"/>
        </w:rPr>
        <w:fldChar w:fldCharType="end"/>
      </w:r>
    </w:p>
    <w:p w14:paraId="76CD9AF7" w14:textId="6CFE4B1C" w:rsidR="00450044" w:rsidRDefault="00450044" w:rsidP="007A306E">
      <w:pPr>
        <w:spacing w:after="160" w:line="360" w:lineRule="auto"/>
        <w:jc w:val="left"/>
        <w:rPr>
          <w:rFonts w:ascii="Times New Roman" w:hAnsi="Times New Roman"/>
          <w:sz w:val="24"/>
          <w:szCs w:val="24"/>
        </w:rPr>
      </w:pPr>
    </w:p>
    <w:p w14:paraId="6CC802AC" w14:textId="77777777" w:rsidR="008E2BD8" w:rsidRDefault="008E2BD8" w:rsidP="007A306E">
      <w:pPr>
        <w:spacing w:line="360" w:lineRule="auto"/>
        <w:rPr>
          <w:rFonts w:ascii="Times New Roman" w:hAnsi="Times New Roman"/>
          <w:sz w:val="24"/>
          <w:szCs w:val="24"/>
        </w:rPr>
      </w:pPr>
    </w:p>
    <w:p w14:paraId="48D740B0" w14:textId="47B3AF73" w:rsidR="008E2BD8" w:rsidRPr="008E2BD8" w:rsidRDefault="008E2BD8" w:rsidP="007A306E">
      <w:pPr>
        <w:tabs>
          <w:tab w:val="left" w:pos="3619"/>
        </w:tabs>
        <w:spacing w:line="360" w:lineRule="auto"/>
        <w:ind w:firstLine="3620"/>
        <w:rPr>
          <w:rFonts w:ascii="Times New Roman" w:hAnsi="Times New Roman"/>
          <w:sz w:val="24"/>
          <w:szCs w:val="24"/>
        </w:rPr>
      </w:pPr>
    </w:p>
    <w:sectPr w:rsidR="008E2BD8" w:rsidRPr="008E2BD8" w:rsidSect="006B1EE9">
      <w:footerReference w:type="default" r:id="rId8"/>
      <w:headerReference w:type="first" r:id="rId9"/>
      <w:footerReference w:type="first" r:id="rId10"/>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F4FF7" w14:textId="77777777" w:rsidR="004A57D7" w:rsidRDefault="004A57D7" w:rsidP="004D4E27">
      <w:pPr>
        <w:spacing w:after="0" w:line="240" w:lineRule="auto"/>
      </w:pPr>
      <w:r>
        <w:separator/>
      </w:r>
    </w:p>
  </w:endnote>
  <w:endnote w:type="continuationSeparator" w:id="0">
    <w:p w14:paraId="6E6322D6" w14:textId="77777777" w:rsidR="004A57D7" w:rsidRDefault="004A57D7" w:rsidP="004D4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8B43" w14:textId="20328186" w:rsidR="002B4E42" w:rsidRDefault="00000000" w:rsidP="00420166">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987F" w14:textId="77777777" w:rsidR="001B28E1" w:rsidRPr="0014328A" w:rsidRDefault="00000000"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AF332" w14:textId="77777777" w:rsidR="004A57D7" w:rsidRDefault="004A57D7" w:rsidP="004D4E27">
      <w:pPr>
        <w:spacing w:after="0" w:line="240" w:lineRule="auto"/>
      </w:pPr>
      <w:r>
        <w:separator/>
      </w:r>
    </w:p>
  </w:footnote>
  <w:footnote w:type="continuationSeparator" w:id="0">
    <w:p w14:paraId="6FD882FF" w14:textId="77777777" w:rsidR="004A57D7" w:rsidRDefault="004A57D7" w:rsidP="004D4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06CB" w14:textId="77777777" w:rsidR="006B1EE9" w:rsidRPr="00826D60" w:rsidRDefault="00000000" w:rsidP="00585CDF">
    <w:pPr>
      <w:ind w:left="2124" w:firstLine="708"/>
      <w:rPr>
        <w:rFonts w:ascii="Cambria" w:hAnsi="Cambria" w:cs="Arial"/>
        <w:b/>
        <w:bCs/>
        <w:noProof/>
        <w:color w:val="7F7F7F" w:themeColor="text1" w:themeTint="80"/>
        <w:sz w:val="22"/>
        <w:szCs w:val="24"/>
      </w:rPr>
    </w:pPr>
    <w:bookmarkStart w:id="0" w:name="_Hlk134825849"/>
    <w:bookmarkStart w:id="1" w:name="_Hlk134825850"/>
    <w:r w:rsidRPr="00826D60">
      <w:rPr>
        <w:rFonts w:ascii="Cambria" w:hAnsi="Cambria" w:cs="Arial"/>
        <w:b/>
        <w:bCs/>
        <w:noProof/>
        <w:color w:val="7F7F7F" w:themeColor="text1" w:themeTint="80"/>
        <w:sz w:val="22"/>
        <w:szCs w:val="24"/>
      </w:rPr>
      <w:drawing>
        <wp:anchor distT="0" distB="0" distL="114300" distR="114300" simplePos="0" relativeHeight="251659264" behindDoc="0" locked="0" layoutInCell="1" allowOverlap="1" wp14:anchorId="3AA8320A" wp14:editId="61947F93">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Pr="00826D60">
      <w:rPr>
        <w:rFonts w:ascii="Cambria" w:hAnsi="Cambria" w:cs="Arial"/>
        <w:b/>
        <w:bCs/>
        <w:noProof/>
        <w:color w:val="7F7F7F" w:themeColor="text1" w:themeTint="80"/>
        <w:sz w:val="22"/>
        <w:szCs w:val="24"/>
      </w:rPr>
      <w:t>Literature review assignment (approx. 1000 words)</w:t>
    </w:r>
  </w:p>
  <w:p w14:paraId="1BC463ED" w14:textId="77777777" w:rsidR="006B1EE9" w:rsidRPr="00826D60" w:rsidRDefault="00000000" w:rsidP="0047177B">
    <w:pPr>
      <w:ind w:left="2124" w:firstLine="708"/>
      <w:rPr>
        <w:rFonts w:ascii="Cambria" w:hAnsi="Cambria" w:cs="Arial"/>
        <w:b/>
        <w:bCs/>
        <w:color w:val="7F7F7F" w:themeColor="text1" w:themeTint="80"/>
        <w:sz w:val="22"/>
        <w:szCs w:val="24"/>
      </w:rPr>
    </w:pPr>
    <w:r w:rsidRPr="00826D60">
      <w:rPr>
        <w:rFonts w:ascii="Cambria" w:hAnsi="Cambria" w:cs="Arial"/>
        <w:b/>
        <w:bCs/>
        <w:noProof/>
        <w:color w:val="7F7F7F" w:themeColor="text1" w:themeTint="80"/>
        <w:sz w:val="22"/>
        <w:szCs w:val="24"/>
      </w:rPr>
      <w:t xml:space="preserve">Name: </w:t>
    </w:r>
    <w:bookmarkEnd w:id="0"/>
    <w:bookmarkEnd w:id="1"/>
    <w:r w:rsidRPr="00826D60">
      <w:rPr>
        <w:rFonts w:ascii="Cambria" w:hAnsi="Cambria" w:cs="Arial"/>
        <w:b/>
        <w:bCs/>
        <w:noProof/>
        <w:color w:val="7F7F7F" w:themeColor="text1" w:themeTint="80"/>
        <w:sz w:val="22"/>
        <w:szCs w:val="24"/>
      </w:rPr>
      <w:t>Mazbaul Islam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1E43"/>
    <w:multiLevelType w:val="hybridMultilevel"/>
    <w:tmpl w:val="6CA0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FC46A7"/>
    <w:multiLevelType w:val="hybridMultilevel"/>
    <w:tmpl w:val="57EC5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4342868">
    <w:abstractNumId w:val="1"/>
  </w:num>
  <w:num w:numId="2" w16cid:durableId="44646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5FE"/>
    <w:rsid w:val="00020491"/>
    <w:rsid w:val="000664B8"/>
    <w:rsid w:val="0007346B"/>
    <w:rsid w:val="0007692E"/>
    <w:rsid w:val="000D05B5"/>
    <w:rsid w:val="00123E47"/>
    <w:rsid w:val="00140012"/>
    <w:rsid w:val="001614AB"/>
    <w:rsid w:val="00165C36"/>
    <w:rsid w:val="00172709"/>
    <w:rsid w:val="00177A3F"/>
    <w:rsid w:val="001E08EF"/>
    <w:rsid w:val="001F672E"/>
    <w:rsid w:val="00212713"/>
    <w:rsid w:val="0022698F"/>
    <w:rsid w:val="002326FB"/>
    <w:rsid w:val="00246F7C"/>
    <w:rsid w:val="00254038"/>
    <w:rsid w:val="002770A3"/>
    <w:rsid w:val="00287BBD"/>
    <w:rsid w:val="002A09D4"/>
    <w:rsid w:val="002C31E4"/>
    <w:rsid w:val="002E1482"/>
    <w:rsid w:val="002E18C7"/>
    <w:rsid w:val="002E243D"/>
    <w:rsid w:val="002F0392"/>
    <w:rsid w:val="00307E4B"/>
    <w:rsid w:val="00313D73"/>
    <w:rsid w:val="00316B8A"/>
    <w:rsid w:val="00341D90"/>
    <w:rsid w:val="00390371"/>
    <w:rsid w:val="003A1D13"/>
    <w:rsid w:val="003C43A0"/>
    <w:rsid w:val="003C568C"/>
    <w:rsid w:val="003E5FBD"/>
    <w:rsid w:val="003E7086"/>
    <w:rsid w:val="004016C9"/>
    <w:rsid w:val="00410A61"/>
    <w:rsid w:val="00420166"/>
    <w:rsid w:val="0042536B"/>
    <w:rsid w:val="00432F55"/>
    <w:rsid w:val="00450044"/>
    <w:rsid w:val="00470DF4"/>
    <w:rsid w:val="00486072"/>
    <w:rsid w:val="0049723F"/>
    <w:rsid w:val="004A299E"/>
    <w:rsid w:val="004A3BED"/>
    <w:rsid w:val="004A50E5"/>
    <w:rsid w:val="004A57D7"/>
    <w:rsid w:val="004B45FE"/>
    <w:rsid w:val="004D4E27"/>
    <w:rsid w:val="004E4BC9"/>
    <w:rsid w:val="00513EDA"/>
    <w:rsid w:val="00522D08"/>
    <w:rsid w:val="005408DF"/>
    <w:rsid w:val="005C2514"/>
    <w:rsid w:val="005D6306"/>
    <w:rsid w:val="0060076E"/>
    <w:rsid w:val="00604CA4"/>
    <w:rsid w:val="00621851"/>
    <w:rsid w:val="00622B19"/>
    <w:rsid w:val="00654A66"/>
    <w:rsid w:val="00665590"/>
    <w:rsid w:val="006735C2"/>
    <w:rsid w:val="00681AF4"/>
    <w:rsid w:val="006B0D55"/>
    <w:rsid w:val="006B3E89"/>
    <w:rsid w:val="007038C2"/>
    <w:rsid w:val="00715FC0"/>
    <w:rsid w:val="007A306E"/>
    <w:rsid w:val="007C242F"/>
    <w:rsid w:val="007D4FE6"/>
    <w:rsid w:val="007D5194"/>
    <w:rsid w:val="007F77ED"/>
    <w:rsid w:val="00826D60"/>
    <w:rsid w:val="008414E6"/>
    <w:rsid w:val="00842FD2"/>
    <w:rsid w:val="0084526A"/>
    <w:rsid w:val="008C3E95"/>
    <w:rsid w:val="008E0B9F"/>
    <w:rsid w:val="008E2BD8"/>
    <w:rsid w:val="00907D0D"/>
    <w:rsid w:val="00932821"/>
    <w:rsid w:val="00940935"/>
    <w:rsid w:val="00945378"/>
    <w:rsid w:val="009B638B"/>
    <w:rsid w:val="009C43C0"/>
    <w:rsid w:val="009F1903"/>
    <w:rsid w:val="00A13127"/>
    <w:rsid w:val="00A51777"/>
    <w:rsid w:val="00A56C0C"/>
    <w:rsid w:val="00A625CF"/>
    <w:rsid w:val="00A8553F"/>
    <w:rsid w:val="00AA149C"/>
    <w:rsid w:val="00AC7B98"/>
    <w:rsid w:val="00AD75A4"/>
    <w:rsid w:val="00B03F40"/>
    <w:rsid w:val="00B0776C"/>
    <w:rsid w:val="00B33475"/>
    <w:rsid w:val="00B71E95"/>
    <w:rsid w:val="00B83AE7"/>
    <w:rsid w:val="00B84047"/>
    <w:rsid w:val="00B95BB8"/>
    <w:rsid w:val="00BA7B72"/>
    <w:rsid w:val="00BB3F91"/>
    <w:rsid w:val="00BB4F2C"/>
    <w:rsid w:val="00BB629D"/>
    <w:rsid w:val="00BD0C48"/>
    <w:rsid w:val="00BD239C"/>
    <w:rsid w:val="00BE1911"/>
    <w:rsid w:val="00BE6005"/>
    <w:rsid w:val="00C06E86"/>
    <w:rsid w:val="00C0751A"/>
    <w:rsid w:val="00C21BCF"/>
    <w:rsid w:val="00C41C40"/>
    <w:rsid w:val="00C53656"/>
    <w:rsid w:val="00C63B7C"/>
    <w:rsid w:val="00C66DDF"/>
    <w:rsid w:val="00C7364A"/>
    <w:rsid w:val="00C90914"/>
    <w:rsid w:val="00CB6C7E"/>
    <w:rsid w:val="00CF61A6"/>
    <w:rsid w:val="00D008B0"/>
    <w:rsid w:val="00D100FB"/>
    <w:rsid w:val="00D14451"/>
    <w:rsid w:val="00D21B6B"/>
    <w:rsid w:val="00D634DB"/>
    <w:rsid w:val="00D70599"/>
    <w:rsid w:val="00D84B88"/>
    <w:rsid w:val="00D85C36"/>
    <w:rsid w:val="00DA2BCB"/>
    <w:rsid w:val="00DC5B74"/>
    <w:rsid w:val="00DD3A7E"/>
    <w:rsid w:val="00DF2289"/>
    <w:rsid w:val="00DF5019"/>
    <w:rsid w:val="00DF6555"/>
    <w:rsid w:val="00E52801"/>
    <w:rsid w:val="00E74DBE"/>
    <w:rsid w:val="00ED3F6C"/>
    <w:rsid w:val="00EE6932"/>
    <w:rsid w:val="00EF4315"/>
    <w:rsid w:val="00F708CE"/>
    <w:rsid w:val="00FC5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12D07"/>
  <w15:chartTrackingRefBased/>
  <w15:docId w15:val="{F70D7B6B-1F3A-45D4-B4A1-1A182724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B9F"/>
    <w:pPr>
      <w:spacing w:after="200" w:line="276" w:lineRule="auto"/>
      <w:jc w:val="both"/>
    </w:pPr>
    <w:rPr>
      <w:rFonts w:ascii="Arial" w:eastAsia="MS Mincho" w:hAnsi="Arial" w:cs="Times New Roman"/>
      <w:kern w:val="0"/>
      <w:sz w:val="20"/>
      <w:lang w:eastAsia="cs-C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3E89"/>
    <w:pPr>
      <w:spacing w:before="100" w:beforeAutospacing="1" w:after="100" w:afterAutospacing="1" w:line="240" w:lineRule="auto"/>
      <w:jc w:val="left"/>
    </w:pPr>
    <w:rPr>
      <w:rFonts w:ascii="Times New Roman" w:eastAsia="Times New Roman" w:hAnsi="Times New Roman"/>
      <w:sz w:val="24"/>
      <w:szCs w:val="24"/>
      <w:lang w:eastAsia="en-US"/>
    </w:rPr>
  </w:style>
  <w:style w:type="paragraph" w:styleId="Header">
    <w:name w:val="header"/>
    <w:basedOn w:val="Normal"/>
    <w:link w:val="HeaderChar"/>
    <w:uiPriority w:val="99"/>
    <w:unhideWhenUsed/>
    <w:rsid w:val="004D4E27"/>
    <w:pPr>
      <w:tabs>
        <w:tab w:val="center" w:pos="4680"/>
        <w:tab w:val="right" w:pos="9360"/>
      </w:tabs>
      <w:spacing w:after="0" w:line="240" w:lineRule="auto"/>
      <w:jc w:val="left"/>
    </w:pPr>
    <w:rPr>
      <w:rFonts w:asciiTheme="minorHAnsi" w:eastAsiaTheme="minorHAnsi" w:hAnsiTheme="minorHAnsi" w:cstheme="minorBidi"/>
      <w:kern w:val="2"/>
      <w:sz w:val="22"/>
      <w:lang w:eastAsia="en-US"/>
      <w14:ligatures w14:val="standardContextual"/>
    </w:rPr>
  </w:style>
  <w:style w:type="character" w:customStyle="1" w:styleId="HeaderChar">
    <w:name w:val="Header Char"/>
    <w:basedOn w:val="DefaultParagraphFont"/>
    <w:link w:val="Header"/>
    <w:uiPriority w:val="99"/>
    <w:rsid w:val="004D4E27"/>
  </w:style>
  <w:style w:type="paragraph" w:styleId="Footer">
    <w:name w:val="footer"/>
    <w:basedOn w:val="Normal"/>
    <w:link w:val="FooterChar"/>
    <w:uiPriority w:val="99"/>
    <w:unhideWhenUsed/>
    <w:rsid w:val="004D4E27"/>
    <w:pPr>
      <w:tabs>
        <w:tab w:val="center" w:pos="4680"/>
        <w:tab w:val="right" w:pos="9360"/>
      </w:tabs>
      <w:spacing w:after="0" w:line="240" w:lineRule="auto"/>
      <w:jc w:val="left"/>
    </w:pPr>
    <w:rPr>
      <w:rFonts w:asciiTheme="minorHAnsi" w:eastAsiaTheme="minorHAnsi" w:hAnsiTheme="minorHAnsi" w:cstheme="minorBidi"/>
      <w:kern w:val="2"/>
      <w:sz w:val="22"/>
      <w:lang w:eastAsia="en-US"/>
      <w14:ligatures w14:val="standardContextual"/>
    </w:rPr>
  </w:style>
  <w:style w:type="character" w:customStyle="1" w:styleId="FooterChar">
    <w:name w:val="Footer Char"/>
    <w:basedOn w:val="DefaultParagraphFont"/>
    <w:link w:val="Footer"/>
    <w:uiPriority w:val="99"/>
    <w:rsid w:val="004D4E27"/>
  </w:style>
  <w:style w:type="paragraph" w:styleId="ListParagraph">
    <w:name w:val="List Paragraph"/>
    <w:basedOn w:val="Normal"/>
    <w:uiPriority w:val="34"/>
    <w:qFormat/>
    <w:rsid w:val="006B0D55"/>
    <w:pPr>
      <w:spacing w:after="160" w:line="259" w:lineRule="auto"/>
      <w:ind w:left="720"/>
      <w:contextualSpacing/>
      <w:jc w:val="left"/>
    </w:pPr>
    <w:rPr>
      <w:rFonts w:asciiTheme="minorHAnsi" w:eastAsiaTheme="minorHAnsi" w:hAnsiTheme="minorHAnsi" w:cstheme="minorBidi"/>
      <w:kern w:val="2"/>
      <w:sz w:val="22"/>
      <w:lang w:eastAsia="en-US"/>
      <w14:ligatures w14:val="standardContextual"/>
    </w:rPr>
  </w:style>
  <w:style w:type="paragraph" w:customStyle="1" w:styleId="Zpatsslovnmstrnky">
    <w:name w:val="Zápatí s číslováním stránky"/>
    <w:basedOn w:val="Footer"/>
    <w:link w:val="ZpatsslovnmstrnkyChar"/>
    <w:rsid w:val="008E0B9F"/>
    <w:pPr>
      <w:tabs>
        <w:tab w:val="clear" w:pos="4680"/>
        <w:tab w:val="clear" w:pos="9360"/>
        <w:tab w:val="left" w:pos="0"/>
      </w:tabs>
      <w:spacing w:line="240" w:lineRule="exact"/>
      <w:ind w:left="-680"/>
    </w:pPr>
    <w:rPr>
      <w:rFonts w:ascii="Arial" w:eastAsia="MS Mincho" w:hAnsi="Arial" w:cs="Arial"/>
      <w:color w:val="0000DC"/>
      <w:kern w:val="0"/>
      <w:sz w:val="16"/>
      <w:szCs w:val="14"/>
      <w:lang w:eastAsia="cs-CZ"/>
      <w14:ligatures w14:val="none"/>
    </w:rPr>
  </w:style>
  <w:style w:type="paragraph" w:customStyle="1" w:styleId="slovnstrnky">
    <w:name w:val="Číslování stránky"/>
    <w:basedOn w:val="Zpatsslovnmstrnky"/>
    <w:link w:val="slovnstrnkyChar"/>
    <w:qFormat/>
    <w:rsid w:val="008E0B9F"/>
    <w:rPr>
      <w:color w:val="000000" w:themeColor="text1"/>
      <w:sz w:val="20"/>
      <w:szCs w:val="20"/>
    </w:rPr>
  </w:style>
  <w:style w:type="character" w:customStyle="1" w:styleId="ZpatsslovnmstrnkyChar">
    <w:name w:val="Zápatí s číslováním stránky Char"/>
    <w:basedOn w:val="FooterChar"/>
    <w:link w:val="Zpatsslovnmstrnky"/>
    <w:rsid w:val="008E0B9F"/>
    <w:rPr>
      <w:rFonts w:ascii="Arial" w:eastAsia="MS Mincho" w:hAnsi="Arial" w:cs="Arial"/>
      <w:color w:val="0000DC"/>
      <w:kern w:val="0"/>
      <w:sz w:val="16"/>
      <w:szCs w:val="14"/>
      <w:lang w:eastAsia="cs-CZ"/>
      <w14:ligatures w14:val="none"/>
    </w:rPr>
  </w:style>
  <w:style w:type="character" w:customStyle="1" w:styleId="slovnstrnkyChar">
    <w:name w:val="Číslování stránky Char"/>
    <w:basedOn w:val="ZpatsslovnmstrnkyChar"/>
    <w:link w:val="slovnstrnky"/>
    <w:rsid w:val="008E0B9F"/>
    <w:rPr>
      <w:rFonts w:ascii="Arial" w:eastAsia="MS Mincho" w:hAnsi="Arial" w:cs="Arial"/>
      <w:color w:val="000000" w:themeColor="text1"/>
      <w:kern w:val="0"/>
      <w:sz w:val="20"/>
      <w:szCs w:val="20"/>
      <w:lang w:eastAsia="cs-CZ"/>
      <w14:ligatures w14:val="none"/>
    </w:rPr>
  </w:style>
  <w:style w:type="paragraph" w:styleId="Bibliography">
    <w:name w:val="Bibliography"/>
    <w:basedOn w:val="Normal"/>
    <w:next w:val="Normal"/>
    <w:uiPriority w:val="37"/>
    <w:unhideWhenUsed/>
    <w:rsid w:val="00945378"/>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04027">
      <w:bodyDiv w:val="1"/>
      <w:marLeft w:val="0"/>
      <w:marRight w:val="0"/>
      <w:marTop w:val="0"/>
      <w:marBottom w:val="0"/>
      <w:divBdr>
        <w:top w:val="none" w:sz="0" w:space="0" w:color="auto"/>
        <w:left w:val="none" w:sz="0" w:space="0" w:color="auto"/>
        <w:bottom w:val="none" w:sz="0" w:space="0" w:color="auto"/>
        <w:right w:val="none" w:sz="0" w:space="0" w:color="auto"/>
      </w:divBdr>
    </w:div>
    <w:div w:id="25266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9B613-F957-4AA3-B723-25B707704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3108</Words>
  <Characters>17717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Mazbaul Islam</dc:creator>
  <cp:keywords/>
  <dc:description/>
  <cp:lastModifiedBy>Mazbaul Islam</cp:lastModifiedBy>
  <cp:revision>56</cp:revision>
  <dcterms:created xsi:type="dcterms:W3CDTF">2023-06-01T15:03:00Z</dcterms:created>
  <dcterms:modified xsi:type="dcterms:W3CDTF">2023-06-05T23:14:00Z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id="CvaYjhpn"/&gt;&lt;style id="http://www.zotero.org/styles/apa" locale="en-GB"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