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864F" w14:textId="77777777" w:rsidR="003662CF" w:rsidRPr="00F35027" w:rsidRDefault="003662CF" w:rsidP="003662CF">
      <w:pPr>
        <w:spacing w:after="100" w:line="312" w:lineRule="auto"/>
        <w:rPr>
          <w:rFonts w:asciiTheme="minorHAnsi" w:hAnsiTheme="minorHAnsi" w:cstheme="minorHAnsi"/>
          <w:b/>
          <w:bCs/>
          <w:sz w:val="24"/>
          <w:szCs w:val="24"/>
        </w:rPr>
      </w:pPr>
      <w:r w:rsidRPr="00F35027">
        <w:rPr>
          <w:rFonts w:asciiTheme="minorHAnsi" w:hAnsiTheme="minorHAnsi" w:cstheme="minorHAnsi"/>
          <w:b/>
          <w:bCs/>
          <w:sz w:val="24"/>
          <w:szCs w:val="24"/>
        </w:rPr>
        <w:t>Title</w:t>
      </w:r>
      <w:r>
        <w:rPr>
          <w:rFonts w:asciiTheme="minorHAnsi" w:hAnsiTheme="minorHAnsi" w:cstheme="minorHAnsi"/>
          <w:b/>
          <w:bCs/>
          <w:sz w:val="24"/>
          <w:szCs w:val="24"/>
        </w:rPr>
        <w:t>:</w:t>
      </w:r>
      <w:r w:rsidRPr="00F35027">
        <w:rPr>
          <w:rFonts w:asciiTheme="minorHAnsi" w:hAnsiTheme="minorHAnsi" w:cstheme="minorHAnsi"/>
          <w:b/>
          <w:bCs/>
          <w:sz w:val="24"/>
          <w:szCs w:val="24"/>
        </w:rPr>
        <w:t xml:space="preserve"> Understand the use of online pharmacy applications</w:t>
      </w:r>
    </w:p>
    <w:p w14:paraId="7C0D73AA" w14:textId="59D9CE42" w:rsidR="003662CF" w:rsidRPr="00065377" w:rsidRDefault="003662CF" w:rsidP="00065377">
      <w:pPr>
        <w:pStyle w:val="ListParagraph"/>
        <w:numPr>
          <w:ilvl w:val="0"/>
          <w:numId w:val="1"/>
        </w:numPr>
        <w:spacing w:after="100" w:line="312" w:lineRule="auto"/>
        <w:rPr>
          <w:rFonts w:asciiTheme="minorHAnsi" w:hAnsiTheme="minorHAnsi" w:cstheme="minorHAnsi"/>
          <w:sz w:val="24"/>
          <w:szCs w:val="24"/>
        </w:rPr>
      </w:pPr>
      <w:r w:rsidRPr="00065377">
        <w:rPr>
          <w:rFonts w:asciiTheme="minorHAnsi" w:hAnsiTheme="minorHAnsi" w:cstheme="minorHAnsi"/>
          <w:sz w:val="24"/>
          <w:szCs w:val="24"/>
        </w:rPr>
        <w:t>Introduction</w:t>
      </w:r>
    </w:p>
    <w:p w14:paraId="1B8F0C5B" w14:textId="00E3ACBF" w:rsidR="00065377" w:rsidRDefault="00065377" w:rsidP="00065377">
      <w:pPr>
        <w:spacing w:after="100" w:line="312" w:lineRule="auto"/>
        <w:rPr>
          <w:rFonts w:asciiTheme="minorHAnsi" w:hAnsiTheme="minorHAnsi" w:cstheme="minorHAnsi"/>
          <w:sz w:val="24"/>
          <w:szCs w:val="24"/>
        </w:rPr>
      </w:pPr>
      <w:r w:rsidRPr="00065377">
        <w:rPr>
          <w:rFonts w:asciiTheme="minorHAnsi" w:hAnsiTheme="minorHAnsi" w:cstheme="minorHAnsi"/>
          <w:sz w:val="24"/>
          <w:szCs w:val="24"/>
        </w:rPr>
        <w:t>The problem statement:</w:t>
      </w:r>
    </w:p>
    <w:p w14:paraId="38264571" w14:textId="7ECA9171" w:rsidR="00065377" w:rsidRPr="00065377" w:rsidRDefault="00065377" w:rsidP="00065377">
      <w:pPr>
        <w:spacing w:after="100" w:line="312" w:lineRule="auto"/>
        <w:rPr>
          <w:rFonts w:asciiTheme="minorHAnsi" w:hAnsiTheme="minorHAnsi" w:cstheme="minorHAnsi"/>
          <w:sz w:val="24"/>
          <w:szCs w:val="24"/>
        </w:rPr>
      </w:pPr>
      <w:r w:rsidRPr="00065377">
        <w:rPr>
          <w:rFonts w:asciiTheme="minorHAnsi" w:hAnsiTheme="minorHAnsi" w:cstheme="minorHAnsi"/>
          <w:sz w:val="24"/>
          <w:szCs w:val="24"/>
        </w:rPr>
        <w:t>With the ease and accessibility of ordering prescription medications and healthcare supplies from home, online pharmacy applications have grown in popularity in recent years. In the context of healthcare, it is crucial to comprehend the consequences and importance of these applications. Why is it important for us to learn more about online pharmacy applications? How does their usage affect the way healthcare is provided? What are the possible advantages and dangers of using them? The answers to these queries will help people comprehend the relevance and significance of learning online pharmacy apps</w:t>
      </w:r>
      <w:r w:rsidR="005B4BE3">
        <w:rPr>
          <w:rFonts w:asciiTheme="minorHAnsi" w:hAnsiTheme="minorHAnsi" w:cstheme="minorHAnsi"/>
          <w:sz w:val="24"/>
          <w:szCs w:val="24"/>
        </w:rPr>
        <w:t xml:space="preserve"> according to</w:t>
      </w:r>
      <w:r w:rsidR="00DF79F6">
        <w:rPr>
          <w:rFonts w:asciiTheme="minorHAnsi" w:hAnsiTheme="minorHAnsi" w:cstheme="minorHAnsi"/>
          <w:sz w:val="24"/>
          <w:szCs w:val="24"/>
        </w:rPr>
        <w:t xml:space="preserve"> </w:t>
      </w:r>
      <w:r w:rsidR="00BA30DE">
        <w:rPr>
          <w:rFonts w:asciiTheme="minorHAnsi" w:hAnsiTheme="minorHAnsi" w:cstheme="minorHAnsi"/>
          <w:sz w:val="24"/>
          <w:szCs w:val="24"/>
        </w:rPr>
        <w:t>(</w:t>
      </w:r>
      <w:r w:rsidR="00DF79F6" w:rsidRPr="00F35027">
        <w:rPr>
          <w:rFonts w:asciiTheme="minorHAnsi" w:hAnsiTheme="minorHAnsi" w:cstheme="minorHAnsi"/>
          <w:sz w:val="24"/>
          <w:szCs w:val="24"/>
        </w:rPr>
        <w:t>Aungst</w:t>
      </w:r>
      <w:r w:rsidR="00DF79F6">
        <w:rPr>
          <w:rFonts w:asciiTheme="minorHAnsi" w:hAnsiTheme="minorHAnsi" w:cstheme="minorHAnsi"/>
          <w:sz w:val="24"/>
          <w:szCs w:val="24"/>
        </w:rPr>
        <w:t xml:space="preserve"> et al</w:t>
      </w:r>
      <w:r w:rsidR="0078375D">
        <w:rPr>
          <w:rFonts w:asciiTheme="minorHAnsi" w:hAnsiTheme="minorHAnsi" w:cstheme="minorHAnsi"/>
          <w:sz w:val="24"/>
          <w:szCs w:val="24"/>
        </w:rPr>
        <w:t>.</w:t>
      </w:r>
      <w:r w:rsidR="00BA30DE">
        <w:rPr>
          <w:rFonts w:asciiTheme="minorHAnsi" w:hAnsiTheme="minorHAnsi" w:cstheme="minorHAnsi"/>
          <w:sz w:val="24"/>
          <w:szCs w:val="24"/>
        </w:rPr>
        <w:t>,</w:t>
      </w:r>
      <w:r w:rsidR="0078375D">
        <w:rPr>
          <w:rFonts w:asciiTheme="minorHAnsi" w:hAnsiTheme="minorHAnsi" w:cstheme="minorHAnsi"/>
          <w:sz w:val="24"/>
          <w:szCs w:val="24"/>
        </w:rPr>
        <w:t xml:space="preserve"> </w:t>
      </w:r>
      <w:r w:rsidR="00DF79F6">
        <w:rPr>
          <w:rFonts w:asciiTheme="minorHAnsi" w:hAnsiTheme="minorHAnsi" w:cstheme="minorHAnsi"/>
          <w:sz w:val="24"/>
          <w:szCs w:val="24"/>
        </w:rPr>
        <w:t>2015)</w:t>
      </w:r>
      <w:r w:rsidRPr="00065377">
        <w:rPr>
          <w:rFonts w:asciiTheme="minorHAnsi" w:hAnsiTheme="minorHAnsi" w:cstheme="minorHAnsi"/>
          <w:sz w:val="24"/>
          <w:szCs w:val="24"/>
        </w:rPr>
        <w:t>.</w:t>
      </w:r>
    </w:p>
    <w:p w14:paraId="2B1B4CF3" w14:textId="0E1208EA" w:rsidR="003662CF" w:rsidRPr="00F35027" w:rsidRDefault="003662CF" w:rsidP="003662CF">
      <w:pPr>
        <w:spacing w:after="100" w:line="312" w:lineRule="auto"/>
        <w:rPr>
          <w:rFonts w:asciiTheme="minorHAnsi" w:hAnsiTheme="minorHAnsi" w:cstheme="minorHAnsi"/>
          <w:sz w:val="24"/>
          <w:szCs w:val="24"/>
        </w:rPr>
      </w:pPr>
      <w:r w:rsidRPr="00F35027">
        <w:rPr>
          <w:rFonts w:asciiTheme="minorHAnsi" w:hAnsiTheme="minorHAnsi" w:cstheme="minorHAnsi"/>
          <w:sz w:val="24"/>
          <w:szCs w:val="24"/>
        </w:rPr>
        <w:t>Numerous online pharmacy programs provide a variety of services, such as virtual consultations with qualified healthcare professionals, medication reminders, requests for prescription refills, and medicine home delivery. However, using online pharmacy applications requires caution because not all of them may be reliable or secure.</w:t>
      </w:r>
    </w:p>
    <w:p w14:paraId="5163DA6C" w14:textId="74EDF577" w:rsidR="003662CF" w:rsidRDefault="003662CF" w:rsidP="005A34E4">
      <w:pPr>
        <w:pStyle w:val="ListParagraph"/>
        <w:numPr>
          <w:ilvl w:val="0"/>
          <w:numId w:val="1"/>
        </w:numPr>
        <w:spacing w:after="100" w:line="312" w:lineRule="auto"/>
        <w:rPr>
          <w:rFonts w:asciiTheme="minorHAnsi" w:hAnsiTheme="minorHAnsi" w:cstheme="minorHAnsi"/>
          <w:sz w:val="24"/>
          <w:szCs w:val="24"/>
        </w:rPr>
      </w:pPr>
      <w:r w:rsidRPr="005A34E4">
        <w:rPr>
          <w:rFonts w:asciiTheme="minorHAnsi" w:hAnsiTheme="minorHAnsi" w:cstheme="minorHAnsi"/>
          <w:sz w:val="24"/>
          <w:szCs w:val="24"/>
        </w:rPr>
        <w:t>Literature review</w:t>
      </w:r>
      <w:r w:rsidRPr="005A34E4">
        <w:rPr>
          <w:rFonts w:asciiTheme="minorHAnsi" w:hAnsiTheme="minorHAnsi" w:cstheme="minorHAnsi"/>
          <w:sz w:val="24"/>
          <w:szCs w:val="24"/>
        </w:rPr>
        <w:tab/>
      </w:r>
    </w:p>
    <w:p w14:paraId="697F5ABE" w14:textId="52DF9DA4" w:rsidR="007C3CBE" w:rsidRPr="007C3CBE" w:rsidRDefault="007C3CBE" w:rsidP="007C3CBE">
      <w:pPr>
        <w:spacing w:after="100" w:line="312" w:lineRule="auto"/>
        <w:rPr>
          <w:rFonts w:asciiTheme="minorHAnsi" w:hAnsiTheme="minorHAnsi" w:cstheme="minorHAnsi"/>
          <w:b/>
          <w:bCs/>
          <w:sz w:val="24"/>
          <w:szCs w:val="24"/>
        </w:rPr>
      </w:pPr>
      <w:r w:rsidRPr="007C3CBE">
        <w:rPr>
          <w:rFonts w:asciiTheme="minorHAnsi" w:hAnsiTheme="minorHAnsi" w:cstheme="minorHAnsi"/>
          <w:b/>
          <w:bCs/>
          <w:sz w:val="24"/>
          <w:szCs w:val="24"/>
        </w:rPr>
        <w:t>Appraisal of Prior Work on Online Pharmacy Applications</w:t>
      </w:r>
    </w:p>
    <w:p w14:paraId="2D32121F" w14:textId="12022ACE" w:rsidR="005A34E4" w:rsidRDefault="005A34E4" w:rsidP="005A34E4">
      <w:pPr>
        <w:spacing w:after="100" w:line="312" w:lineRule="auto"/>
        <w:rPr>
          <w:rFonts w:asciiTheme="minorHAnsi" w:hAnsiTheme="minorHAnsi" w:cstheme="minorHAnsi"/>
          <w:sz w:val="24"/>
          <w:szCs w:val="24"/>
        </w:rPr>
      </w:pPr>
      <w:r w:rsidRPr="005A34E4">
        <w:rPr>
          <w:rFonts w:asciiTheme="minorHAnsi" w:hAnsiTheme="minorHAnsi" w:cstheme="minorHAnsi"/>
          <w:sz w:val="24"/>
          <w:szCs w:val="24"/>
        </w:rPr>
        <w:t>The examination of the literature provides a thorough appraisal of the prior work on online pharmacy applications. The evaluation emphasizes the applications' potential advantages and disadvantages as well as their implications for healthcare delivery. Numerous studies highlight the accessibility and convenience provided by online pharmacy applications, which include offerings like virtual consultations, pill reminders, and home delivery of medications. However, the evaluation also recognizes the necessity of exercising caution while utilizing these applications, especially with regard to dependability and security</w:t>
      </w:r>
      <w:r w:rsidR="005B4BE3">
        <w:rPr>
          <w:rFonts w:asciiTheme="minorHAnsi" w:hAnsiTheme="minorHAnsi" w:cstheme="minorHAnsi"/>
          <w:sz w:val="24"/>
          <w:szCs w:val="24"/>
        </w:rPr>
        <w:t xml:space="preserve"> as supported by</w:t>
      </w:r>
      <w:r w:rsidR="00DF79F6">
        <w:rPr>
          <w:rFonts w:asciiTheme="minorHAnsi" w:hAnsiTheme="minorHAnsi" w:cstheme="minorHAnsi"/>
          <w:sz w:val="24"/>
          <w:szCs w:val="24"/>
        </w:rPr>
        <w:t xml:space="preserve"> </w:t>
      </w:r>
      <w:r w:rsidR="00BA30DE">
        <w:rPr>
          <w:rFonts w:asciiTheme="minorHAnsi" w:hAnsiTheme="minorHAnsi" w:cstheme="minorHAnsi"/>
          <w:sz w:val="24"/>
          <w:szCs w:val="24"/>
        </w:rPr>
        <w:t>(</w:t>
      </w:r>
      <w:r w:rsidR="00DF79F6" w:rsidRPr="00F35027">
        <w:rPr>
          <w:rFonts w:asciiTheme="minorHAnsi" w:hAnsiTheme="minorHAnsi" w:cstheme="minorHAnsi"/>
          <w:sz w:val="24"/>
          <w:szCs w:val="24"/>
        </w:rPr>
        <w:t>Riantini</w:t>
      </w:r>
      <w:r w:rsidR="00BA30DE">
        <w:rPr>
          <w:rFonts w:asciiTheme="minorHAnsi" w:hAnsiTheme="minorHAnsi" w:cstheme="minorHAnsi"/>
          <w:sz w:val="24"/>
          <w:szCs w:val="24"/>
        </w:rPr>
        <w:t xml:space="preserve">, </w:t>
      </w:r>
      <w:r w:rsidR="00DF79F6">
        <w:rPr>
          <w:rFonts w:asciiTheme="minorHAnsi" w:hAnsiTheme="minorHAnsi" w:cstheme="minorHAnsi"/>
          <w:sz w:val="24"/>
          <w:szCs w:val="24"/>
        </w:rPr>
        <w:t xml:space="preserve">2017). </w:t>
      </w:r>
      <w:r w:rsidRPr="005A34E4">
        <w:rPr>
          <w:rFonts w:asciiTheme="minorHAnsi" w:hAnsiTheme="minorHAnsi" w:cstheme="minorHAnsi"/>
          <w:sz w:val="24"/>
          <w:szCs w:val="24"/>
        </w:rPr>
        <w:t>In order to protect patient privacy and safety, the literature highlights the changing role of technology in pharmacy practice as well as the necessity for laws, legislation, and training.</w:t>
      </w:r>
      <w:r>
        <w:rPr>
          <w:rFonts w:asciiTheme="minorHAnsi" w:hAnsiTheme="minorHAnsi" w:cstheme="minorHAnsi"/>
          <w:sz w:val="24"/>
          <w:szCs w:val="24"/>
        </w:rPr>
        <w:t xml:space="preserve"> </w:t>
      </w:r>
      <w:r w:rsidRPr="005A34E4">
        <w:rPr>
          <w:rFonts w:asciiTheme="minorHAnsi" w:hAnsiTheme="minorHAnsi" w:cstheme="minorHAnsi"/>
          <w:sz w:val="24"/>
          <w:szCs w:val="24"/>
        </w:rPr>
        <w:t>Overall, the literature synthesis offers insightful information on the importance and usefulness of online pharmacy apps in enhancing healthcare services.</w:t>
      </w:r>
    </w:p>
    <w:p w14:paraId="5424B899" w14:textId="06C365F7" w:rsidR="007C3CBE" w:rsidRPr="007C3CBE" w:rsidRDefault="007C3CBE" w:rsidP="005A34E4">
      <w:pPr>
        <w:spacing w:after="100" w:line="312" w:lineRule="auto"/>
        <w:rPr>
          <w:rFonts w:asciiTheme="minorHAnsi" w:hAnsiTheme="minorHAnsi" w:cstheme="minorHAnsi"/>
          <w:b/>
          <w:bCs/>
          <w:sz w:val="24"/>
          <w:szCs w:val="24"/>
        </w:rPr>
      </w:pPr>
      <w:r w:rsidRPr="007C3CBE">
        <w:rPr>
          <w:rFonts w:asciiTheme="minorHAnsi" w:hAnsiTheme="minorHAnsi" w:cstheme="minorHAnsi"/>
          <w:b/>
          <w:bCs/>
          <w:sz w:val="24"/>
          <w:szCs w:val="24"/>
        </w:rPr>
        <w:t>Pharmacy Students' Attitudes towards Mobile Health Apps and Motivational Interviewing</w:t>
      </w:r>
    </w:p>
    <w:p w14:paraId="56F8CEE2" w14:textId="2225A9AB" w:rsidR="007C3CBE" w:rsidRDefault="00DF79F6" w:rsidP="003662CF">
      <w:pPr>
        <w:rPr>
          <w:rFonts w:asciiTheme="minorHAnsi" w:hAnsiTheme="minorHAnsi" w:cstheme="minorHAnsi"/>
          <w:sz w:val="24"/>
          <w:szCs w:val="24"/>
        </w:rPr>
      </w:pPr>
      <w:r>
        <w:rPr>
          <w:rFonts w:asciiTheme="minorHAnsi" w:hAnsiTheme="minorHAnsi" w:cstheme="minorHAnsi"/>
          <w:sz w:val="24"/>
          <w:szCs w:val="24"/>
        </w:rPr>
        <w:t xml:space="preserve"> </w:t>
      </w:r>
      <w:r w:rsidR="00BA30DE">
        <w:rPr>
          <w:rFonts w:asciiTheme="minorHAnsi" w:hAnsiTheme="minorHAnsi" w:cstheme="minorHAnsi"/>
          <w:sz w:val="24"/>
          <w:szCs w:val="24"/>
        </w:rPr>
        <w:t>(</w:t>
      </w:r>
      <w:r w:rsidRPr="00F35027">
        <w:rPr>
          <w:rFonts w:asciiTheme="minorHAnsi" w:hAnsiTheme="minorHAnsi" w:cstheme="minorHAnsi"/>
          <w:sz w:val="24"/>
          <w:szCs w:val="24"/>
        </w:rPr>
        <w:t>Owensby</w:t>
      </w:r>
      <w:r>
        <w:rPr>
          <w:rFonts w:asciiTheme="minorHAnsi" w:hAnsiTheme="minorHAnsi" w:cstheme="minorHAnsi"/>
          <w:sz w:val="24"/>
          <w:szCs w:val="24"/>
        </w:rPr>
        <w:t xml:space="preserve"> et al</w:t>
      </w:r>
      <w:r w:rsidR="0078375D">
        <w:rPr>
          <w:rFonts w:asciiTheme="minorHAnsi" w:hAnsiTheme="minorHAnsi" w:cstheme="minorHAnsi"/>
          <w:sz w:val="24"/>
          <w:szCs w:val="24"/>
        </w:rPr>
        <w:t>.</w:t>
      </w:r>
      <w:r w:rsidR="00BA30DE">
        <w:rPr>
          <w:rFonts w:asciiTheme="minorHAnsi" w:hAnsiTheme="minorHAnsi" w:cstheme="minorHAnsi"/>
          <w:sz w:val="24"/>
          <w:szCs w:val="24"/>
        </w:rPr>
        <w:t xml:space="preserve">, </w:t>
      </w:r>
      <w:r>
        <w:rPr>
          <w:rFonts w:asciiTheme="minorHAnsi" w:hAnsiTheme="minorHAnsi" w:cstheme="minorHAnsi"/>
          <w:sz w:val="24"/>
          <w:szCs w:val="24"/>
        </w:rPr>
        <w:t>2017)</w:t>
      </w:r>
      <w:r w:rsidR="003662CF" w:rsidRPr="00F35027">
        <w:rPr>
          <w:rFonts w:asciiTheme="minorHAnsi" w:hAnsiTheme="minorHAnsi" w:cstheme="minorHAnsi"/>
          <w:sz w:val="24"/>
          <w:szCs w:val="24"/>
        </w:rPr>
        <w:t xml:space="preserve"> </w:t>
      </w:r>
      <w:r w:rsidR="003662CF">
        <w:rPr>
          <w:rFonts w:asciiTheme="minorHAnsi" w:hAnsiTheme="minorHAnsi" w:cstheme="minorHAnsi"/>
          <w:sz w:val="24"/>
          <w:szCs w:val="24"/>
        </w:rPr>
        <w:t>p</w:t>
      </w:r>
      <w:r w:rsidR="003662CF" w:rsidRPr="00F35027">
        <w:rPr>
          <w:rFonts w:asciiTheme="minorHAnsi" w:hAnsiTheme="minorHAnsi" w:cstheme="minorHAnsi"/>
          <w:sz w:val="24"/>
          <w:szCs w:val="24"/>
        </w:rPr>
        <w:t xml:space="preserve">resents a study on how pharmacy students feel about the value of mobile health apps and motivational interviewing for patient counseling. To determine the attitudes and opinions of the students about these strategies and their possible influence on future pharmacy practice, the authors conducted a survey. According to the study, students were found to have a favorable attitude toward motivational interviewing and mobile health applications and be aware of their potential to enhance patient outcomes and boost medication adherence. The research offers insights into how pharmacy students evaluate </w:t>
      </w:r>
      <w:r w:rsidR="003662CF" w:rsidRPr="00F35027">
        <w:rPr>
          <w:rFonts w:asciiTheme="minorHAnsi" w:hAnsiTheme="minorHAnsi" w:cstheme="minorHAnsi"/>
          <w:sz w:val="24"/>
          <w:szCs w:val="24"/>
        </w:rPr>
        <w:lastRenderedPageBreak/>
        <w:t>patient counseling techniques, including motivational interviewing and mobile health applications, as well as their potential applicability in future pharmacy practice.</w:t>
      </w:r>
    </w:p>
    <w:p w14:paraId="5CAFF7A4" w14:textId="0C100459" w:rsidR="007C3CBE" w:rsidRPr="007C3CBE" w:rsidRDefault="007C3CBE" w:rsidP="003662CF">
      <w:pPr>
        <w:rPr>
          <w:rFonts w:asciiTheme="minorHAnsi" w:hAnsiTheme="minorHAnsi" w:cstheme="minorHAnsi"/>
          <w:b/>
          <w:bCs/>
          <w:sz w:val="24"/>
          <w:szCs w:val="24"/>
        </w:rPr>
      </w:pPr>
      <w:r w:rsidRPr="007C3CBE">
        <w:rPr>
          <w:rFonts w:asciiTheme="minorHAnsi" w:hAnsiTheme="minorHAnsi" w:cstheme="minorHAnsi"/>
          <w:b/>
          <w:bCs/>
          <w:sz w:val="24"/>
          <w:szCs w:val="24"/>
        </w:rPr>
        <w:t>Patients-Pharmacists Interactive Communication System</w:t>
      </w:r>
    </w:p>
    <w:p w14:paraId="2C4FDEDA" w14:textId="3EF71AC4" w:rsidR="005A34E4" w:rsidRDefault="005A34E4" w:rsidP="003662CF">
      <w:pPr>
        <w:rPr>
          <w:rFonts w:asciiTheme="minorHAnsi" w:hAnsiTheme="minorHAnsi" w:cstheme="minorHAnsi"/>
          <w:sz w:val="24"/>
          <w:szCs w:val="24"/>
        </w:rPr>
      </w:pPr>
      <w:r w:rsidRPr="005A34E4">
        <w:rPr>
          <w:rFonts w:asciiTheme="minorHAnsi" w:hAnsiTheme="minorHAnsi" w:cstheme="minorHAnsi"/>
          <w:sz w:val="24"/>
          <w:szCs w:val="24"/>
        </w:rPr>
        <w:t xml:space="preserve">The Patients-Pharmacists Interactive Communication System (PPICS), an online platform designed to decrease medication mistakes and increase patient adherence to treatment programs, was established by </w:t>
      </w:r>
      <w:r w:rsidR="00BA30DE">
        <w:rPr>
          <w:rFonts w:asciiTheme="minorHAnsi" w:hAnsiTheme="minorHAnsi" w:cstheme="minorHAnsi"/>
          <w:sz w:val="24"/>
          <w:szCs w:val="24"/>
        </w:rPr>
        <w:t>(</w:t>
      </w:r>
      <w:r w:rsidR="0078375D" w:rsidRPr="00F35027">
        <w:rPr>
          <w:rFonts w:asciiTheme="minorHAnsi" w:hAnsiTheme="minorHAnsi" w:cstheme="minorHAnsi"/>
          <w:sz w:val="24"/>
          <w:szCs w:val="24"/>
        </w:rPr>
        <w:t>Tsuruoka et al</w:t>
      </w:r>
      <w:r w:rsidR="0078375D">
        <w:rPr>
          <w:rFonts w:asciiTheme="minorHAnsi" w:hAnsiTheme="minorHAnsi" w:cstheme="minorHAnsi"/>
          <w:sz w:val="24"/>
          <w:szCs w:val="24"/>
        </w:rPr>
        <w:t>.</w:t>
      </w:r>
      <w:r w:rsidR="00BA30DE">
        <w:rPr>
          <w:rFonts w:asciiTheme="minorHAnsi" w:hAnsiTheme="minorHAnsi" w:cstheme="minorHAnsi"/>
          <w:sz w:val="24"/>
          <w:szCs w:val="24"/>
        </w:rPr>
        <w:t>,</w:t>
      </w:r>
      <w:r w:rsidR="00BA30DE" w:rsidRPr="005A34E4">
        <w:rPr>
          <w:rFonts w:asciiTheme="minorHAnsi" w:hAnsiTheme="minorHAnsi" w:cstheme="minorHAnsi"/>
          <w:sz w:val="24"/>
          <w:szCs w:val="24"/>
        </w:rPr>
        <w:t xml:space="preserve"> </w:t>
      </w:r>
      <w:r w:rsidRPr="005A34E4">
        <w:rPr>
          <w:rFonts w:asciiTheme="minorHAnsi" w:hAnsiTheme="minorHAnsi" w:cstheme="minorHAnsi"/>
          <w:sz w:val="24"/>
          <w:szCs w:val="24"/>
        </w:rPr>
        <w:t>2013) in their study. Through a web-based application, the system enables patients to communicate with pharmacists for pharmaceutical support, including reminders for refills and education. The compliance of patients' medications may be tracked by pharmacists, who can also provide tailored suggestions</w:t>
      </w:r>
      <w:r w:rsidR="005B4BE3">
        <w:rPr>
          <w:rFonts w:asciiTheme="minorHAnsi" w:hAnsiTheme="minorHAnsi" w:cstheme="minorHAnsi"/>
          <w:sz w:val="24"/>
          <w:szCs w:val="24"/>
        </w:rPr>
        <w:t xml:space="preserve"> as mentioned by</w:t>
      </w:r>
      <w:r w:rsidR="00DF79F6">
        <w:rPr>
          <w:rFonts w:asciiTheme="minorHAnsi" w:hAnsiTheme="minorHAnsi" w:cstheme="minorHAnsi"/>
          <w:sz w:val="24"/>
          <w:szCs w:val="24"/>
        </w:rPr>
        <w:t xml:space="preserve"> (</w:t>
      </w:r>
      <w:r w:rsidR="0078375D" w:rsidRPr="00F35027">
        <w:rPr>
          <w:rFonts w:asciiTheme="minorHAnsi" w:hAnsiTheme="minorHAnsi" w:cstheme="minorHAnsi"/>
          <w:sz w:val="24"/>
          <w:szCs w:val="24"/>
        </w:rPr>
        <w:t>Spanakis et al</w:t>
      </w:r>
      <w:r w:rsidR="0078375D">
        <w:rPr>
          <w:rFonts w:asciiTheme="minorHAnsi" w:hAnsiTheme="minorHAnsi" w:cstheme="minorHAnsi"/>
          <w:sz w:val="24"/>
          <w:szCs w:val="24"/>
        </w:rPr>
        <w:t>.</w:t>
      </w:r>
      <w:r w:rsidR="00BA30DE">
        <w:rPr>
          <w:rFonts w:asciiTheme="minorHAnsi" w:hAnsiTheme="minorHAnsi" w:cstheme="minorHAnsi"/>
          <w:sz w:val="24"/>
          <w:szCs w:val="24"/>
        </w:rPr>
        <w:t>,</w:t>
      </w:r>
      <w:r w:rsidR="00DF79F6">
        <w:rPr>
          <w:rFonts w:asciiTheme="minorHAnsi" w:hAnsiTheme="minorHAnsi" w:cstheme="minorHAnsi"/>
          <w:sz w:val="24"/>
          <w:szCs w:val="24"/>
        </w:rPr>
        <w:t xml:space="preserve"> 2019)</w:t>
      </w:r>
      <w:r w:rsidRPr="005A34E4">
        <w:rPr>
          <w:rFonts w:asciiTheme="minorHAnsi" w:hAnsiTheme="minorHAnsi" w:cstheme="minorHAnsi"/>
          <w:sz w:val="24"/>
          <w:szCs w:val="24"/>
        </w:rPr>
        <w:t>. The user-friendliness of the PPICS and the importance patients put on remote pharmacist help were both made clear by the pilot experiment, which involved 30 patients. The PPICS has the potential to increase drug adherence, enhance patient outcomes, and lower healthcare expenditures related to non-adherence, according to the authors' findings.</w:t>
      </w:r>
    </w:p>
    <w:p w14:paraId="16E0527F" w14:textId="7A7CA4B5" w:rsidR="007C3CBE" w:rsidRPr="007C3CBE" w:rsidRDefault="007C3CBE" w:rsidP="003662CF">
      <w:pPr>
        <w:rPr>
          <w:rFonts w:asciiTheme="minorHAnsi" w:hAnsiTheme="minorHAnsi" w:cstheme="minorHAnsi"/>
          <w:b/>
          <w:bCs/>
          <w:sz w:val="24"/>
          <w:szCs w:val="24"/>
        </w:rPr>
      </w:pPr>
      <w:r w:rsidRPr="007C3CBE">
        <w:rPr>
          <w:rFonts w:asciiTheme="minorHAnsi" w:hAnsiTheme="minorHAnsi" w:cstheme="minorHAnsi"/>
          <w:b/>
          <w:bCs/>
          <w:sz w:val="24"/>
          <w:szCs w:val="24"/>
        </w:rPr>
        <w:t>The Impact of Mobile Technology on Pharmaceutical Practice</w:t>
      </w:r>
    </w:p>
    <w:p w14:paraId="0AF3B4BA" w14:textId="389F338C" w:rsidR="005A34E4" w:rsidRDefault="005A34E4" w:rsidP="003662CF">
      <w:pPr>
        <w:rPr>
          <w:rFonts w:asciiTheme="minorHAnsi" w:hAnsiTheme="minorHAnsi" w:cstheme="minorHAnsi"/>
          <w:sz w:val="24"/>
          <w:szCs w:val="24"/>
        </w:rPr>
      </w:pPr>
      <w:r w:rsidRPr="005A34E4">
        <w:rPr>
          <w:rFonts w:asciiTheme="minorHAnsi" w:hAnsiTheme="minorHAnsi" w:cstheme="minorHAnsi"/>
          <w:sz w:val="24"/>
          <w:szCs w:val="24"/>
        </w:rPr>
        <w:t xml:space="preserve">The effect of mobile technology on pharmaceutical practice was also examined by </w:t>
      </w:r>
      <w:r w:rsidR="00BA30DE">
        <w:rPr>
          <w:rFonts w:asciiTheme="minorHAnsi" w:hAnsiTheme="minorHAnsi" w:cstheme="minorHAnsi"/>
          <w:sz w:val="24"/>
          <w:szCs w:val="24"/>
        </w:rPr>
        <w:t>(</w:t>
      </w:r>
      <w:r w:rsidR="00DF79F6" w:rsidRPr="00F35027">
        <w:rPr>
          <w:rFonts w:asciiTheme="minorHAnsi" w:hAnsiTheme="minorHAnsi" w:cstheme="minorHAnsi"/>
          <w:sz w:val="24"/>
          <w:szCs w:val="24"/>
        </w:rPr>
        <w:t>Van de Pol et al</w:t>
      </w:r>
      <w:r w:rsidR="0078375D">
        <w:rPr>
          <w:rFonts w:asciiTheme="minorHAnsi" w:hAnsiTheme="minorHAnsi" w:cstheme="minorHAnsi"/>
          <w:sz w:val="24"/>
          <w:szCs w:val="24"/>
        </w:rPr>
        <w:t>.</w:t>
      </w:r>
      <w:r w:rsidR="00BA30DE">
        <w:rPr>
          <w:rFonts w:asciiTheme="minorHAnsi" w:hAnsiTheme="minorHAnsi" w:cstheme="minorHAnsi"/>
          <w:sz w:val="24"/>
          <w:szCs w:val="24"/>
        </w:rPr>
        <w:t xml:space="preserve">, </w:t>
      </w:r>
      <w:r w:rsidR="00DF79F6" w:rsidRPr="00F35027">
        <w:rPr>
          <w:rFonts w:asciiTheme="minorHAnsi" w:hAnsiTheme="minorHAnsi" w:cstheme="minorHAnsi"/>
          <w:sz w:val="24"/>
          <w:szCs w:val="24"/>
        </w:rPr>
        <w:t>2019</w:t>
      </w:r>
      <w:r w:rsidRPr="005A34E4">
        <w:rPr>
          <w:rFonts w:asciiTheme="minorHAnsi" w:hAnsiTheme="minorHAnsi" w:cstheme="minorHAnsi"/>
          <w:sz w:val="24"/>
          <w:szCs w:val="24"/>
        </w:rPr>
        <w:t>). They emphasized the numerous functions of mobile devices used by pharmacists, including access to drug information databases, communication with patients and healthcare providers, management of prescription orders, and medication counseling. The study highlighted the benefits of mobile devices in terms of boosted productivity, superior patient outcomes, and improved medication adherence. However, the authors also discussed the possible hazards, such as privacy and security issues, the requirement for appropriate training, and the significance of usage constraints. This study clarified the expanding relevance of mobile devices in improving patient care as well as the changing function they play in pharmacy practice.</w:t>
      </w:r>
    </w:p>
    <w:p w14:paraId="7444533A" w14:textId="67229BDA" w:rsidR="003662CF" w:rsidRDefault="00BA30DE" w:rsidP="003662CF">
      <w:pPr>
        <w:rPr>
          <w:rFonts w:asciiTheme="minorHAnsi" w:hAnsiTheme="minorHAnsi" w:cstheme="minorHAnsi"/>
          <w:sz w:val="24"/>
          <w:szCs w:val="24"/>
        </w:rPr>
      </w:pPr>
      <w:r>
        <w:rPr>
          <w:rFonts w:asciiTheme="minorHAnsi" w:hAnsiTheme="minorHAnsi" w:cstheme="minorHAnsi"/>
          <w:sz w:val="24"/>
          <w:szCs w:val="24"/>
        </w:rPr>
        <w:t>(</w:t>
      </w:r>
      <w:r w:rsidR="003662CF" w:rsidRPr="00F35027">
        <w:rPr>
          <w:rFonts w:asciiTheme="minorHAnsi" w:hAnsiTheme="minorHAnsi" w:cstheme="minorHAnsi"/>
          <w:sz w:val="24"/>
          <w:szCs w:val="24"/>
        </w:rPr>
        <w:t>Spanakis et al.</w:t>
      </w:r>
      <w:r>
        <w:rPr>
          <w:rFonts w:asciiTheme="minorHAnsi" w:hAnsiTheme="minorHAnsi" w:cstheme="minorHAnsi"/>
          <w:sz w:val="24"/>
          <w:szCs w:val="24"/>
        </w:rPr>
        <w:t xml:space="preserve">, </w:t>
      </w:r>
      <w:r w:rsidR="003662CF" w:rsidRPr="00F35027">
        <w:rPr>
          <w:rFonts w:asciiTheme="minorHAnsi" w:hAnsiTheme="minorHAnsi" w:cstheme="minorHAnsi"/>
          <w:sz w:val="24"/>
          <w:szCs w:val="24"/>
        </w:rPr>
        <w:t>2019</w:t>
      </w:r>
      <w:r w:rsidR="003662CF">
        <w:rPr>
          <w:rFonts w:asciiTheme="minorHAnsi" w:hAnsiTheme="minorHAnsi" w:cstheme="minorHAnsi"/>
          <w:sz w:val="24"/>
          <w:szCs w:val="24"/>
        </w:rPr>
        <w:t xml:space="preserve">) </w:t>
      </w:r>
      <w:r w:rsidR="003662CF" w:rsidRPr="00F35027">
        <w:rPr>
          <w:rFonts w:asciiTheme="minorHAnsi" w:hAnsiTheme="minorHAnsi" w:cstheme="minorHAnsi"/>
          <w:sz w:val="24"/>
          <w:szCs w:val="24"/>
        </w:rPr>
        <w:t>describe the platform's features and capabilities, such as medication management, drug interactions, side effect monitoring, and contact with healthcare practitioners. Through individualized medication management and education, the platform is intended to support patient-centered care and enhance drug adherence.</w:t>
      </w:r>
      <w:r w:rsidR="003662CF">
        <w:rPr>
          <w:rFonts w:asciiTheme="minorHAnsi" w:hAnsiTheme="minorHAnsi" w:cstheme="minorHAnsi"/>
          <w:sz w:val="24"/>
          <w:szCs w:val="24"/>
        </w:rPr>
        <w:t xml:space="preserve"> T</w:t>
      </w:r>
      <w:r w:rsidR="003662CF" w:rsidRPr="00F35027">
        <w:rPr>
          <w:rFonts w:asciiTheme="minorHAnsi" w:hAnsiTheme="minorHAnsi" w:cstheme="minorHAnsi"/>
          <w:sz w:val="24"/>
          <w:szCs w:val="24"/>
        </w:rPr>
        <w:t>he article offers perceptions on the creation of an eHealth platform for individualized pharmaceutical treatment.</w:t>
      </w:r>
    </w:p>
    <w:p w14:paraId="7C39D14D" w14:textId="3BFD810F" w:rsidR="003662CF" w:rsidRPr="005A34E4" w:rsidRDefault="003662CF" w:rsidP="005A34E4">
      <w:pPr>
        <w:pStyle w:val="ListParagraph"/>
        <w:numPr>
          <w:ilvl w:val="0"/>
          <w:numId w:val="1"/>
        </w:numPr>
        <w:spacing w:after="100" w:line="312" w:lineRule="auto"/>
        <w:rPr>
          <w:rFonts w:asciiTheme="minorHAnsi" w:hAnsiTheme="minorHAnsi" w:cstheme="minorHAnsi"/>
          <w:sz w:val="24"/>
          <w:szCs w:val="24"/>
        </w:rPr>
      </w:pPr>
      <w:r w:rsidRPr="005A34E4">
        <w:rPr>
          <w:rFonts w:asciiTheme="minorHAnsi" w:hAnsiTheme="minorHAnsi" w:cstheme="minorHAnsi"/>
          <w:sz w:val="24"/>
          <w:szCs w:val="24"/>
        </w:rPr>
        <w:t>Conclusion</w:t>
      </w:r>
    </w:p>
    <w:p w14:paraId="57464F12" w14:textId="77777777" w:rsidR="005A34E4" w:rsidRPr="005A34E4" w:rsidRDefault="005A34E4" w:rsidP="005A34E4">
      <w:pPr>
        <w:spacing w:after="100" w:line="312" w:lineRule="auto"/>
        <w:rPr>
          <w:rFonts w:asciiTheme="minorHAnsi" w:hAnsiTheme="minorHAnsi" w:cstheme="minorHAnsi"/>
          <w:sz w:val="24"/>
          <w:szCs w:val="24"/>
        </w:rPr>
      </w:pPr>
      <w:r w:rsidRPr="005A34E4">
        <w:rPr>
          <w:rFonts w:asciiTheme="minorHAnsi" w:hAnsiTheme="minorHAnsi" w:cstheme="minorHAnsi"/>
          <w:sz w:val="24"/>
          <w:szCs w:val="24"/>
        </w:rPr>
        <w:t>The literature analysis makes it clear that applications for online pharmacies have a big impact on healthcare. These applications offer services that enhance patient outcomes and medication adherence, including prescription reminders, virtual consultations with licensed healthcare experts, and home delivery of prescriptions.</w:t>
      </w:r>
    </w:p>
    <w:p w14:paraId="6F341459" w14:textId="4E446286" w:rsidR="005A34E4" w:rsidRDefault="005A34E4" w:rsidP="005A34E4">
      <w:pPr>
        <w:spacing w:after="100" w:line="312" w:lineRule="auto"/>
        <w:rPr>
          <w:rFonts w:asciiTheme="minorHAnsi" w:hAnsiTheme="minorHAnsi" w:cstheme="minorHAnsi"/>
          <w:sz w:val="24"/>
          <w:szCs w:val="24"/>
        </w:rPr>
      </w:pPr>
      <w:r w:rsidRPr="005A34E4">
        <w:rPr>
          <w:rFonts w:asciiTheme="minorHAnsi" w:hAnsiTheme="minorHAnsi" w:cstheme="minorHAnsi"/>
          <w:sz w:val="24"/>
          <w:szCs w:val="24"/>
        </w:rPr>
        <w:lastRenderedPageBreak/>
        <w:t xml:space="preserve">The employment of online pharmacy programs must be done so cautiously, nevertheless. The research emphasizes how crucial it is to carefully evaluate the security and dependability of these apps in order to protect patient privacy. By taking into account the insights from the literature, it is evident that the responsible use of online pharmacy apps may significantly improve healthcare, but it necessitates a rigorous assessment of the apps' credibility and adherence to regulatory norms.  </w:t>
      </w:r>
    </w:p>
    <w:p w14:paraId="65D27ADE" w14:textId="5747A56F" w:rsidR="005A34E4" w:rsidRPr="005A34E4" w:rsidRDefault="005A34E4" w:rsidP="005A34E4">
      <w:pPr>
        <w:spacing w:after="100" w:line="312" w:lineRule="auto"/>
        <w:rPr>
          <w:rFonts w:asciiTheme="minorHAnsi" w:hAnsiTheme="minorHAnsi" w:cstheme="minorHAnsi"/>
          <w:sz w:val="24"/>
          <w:szCs w:val="24"/>
        </w:rPr>
      </w:pPr>
      <w:r w:rsidRPr="005A34E4">
        <w:rPr>
          <w:rFonts w:asciiTheme="minorHAnsi" w:hAnsiTheme="minorHAnsi" w:cstheme="minorHAnsi"/>
          <w:sz w:val="24"/>
          <w:szCs w:val="24"/>
        </w:rPr>
        <w:t>The key takeaway from the literature analysis is that, despite the fact that online pharmacy software has many benefits, consumers must exercise caution when choosing reliable and safe platforms. By doing this, users may take advantage of the potential advantages of these applications while reducing any hazards.</w:t>
      </w:r>
    </w:p>
    <w:p w14:paraId="3E9651D2" w14:textId="77777777" w:rsidR="003662CF" w:rsidRPr="00F35027" w:rsidRDefault="003662CF" w:rsidP="003662CF">
      <w:pPr>
        <w:spacing w:after="100" w:line="312" w:lineRule="auto"/>
        <w:rPr>
          <w:rFonts w:asciiTheme="minorHAnsi" w:hAnsiTheme="minorHAnsi" w:cstheme="minorHAnsi"/>
          <w:sz w:val="24"/>
          <w:szCs w:val="24"/>
        </w:rPr>
      </w:pPr>
      <w:bookmarkStart w:id="0" w:name="_Hlk138259893"/>
      <w:r w:rsidRPr="00F35027">
        <w:rPr>
          <w:rFonts w:asciiTheme="minorHAnsi" w:hAnsiTheme="minorHAnsi" w:cstheme="minorHAnsi"/>
          <w:sz w:val="24"/>
          <w:szCs w:val="24"/>
        </w:rPr>
        <w:t>4. Resources</w:t>
      </w:r>
    </w:p>
    <w:p w14:paraId="4C6AC281" w14:textId="23BE3D5B" w:rsidR="00DF79F6" w:rsidRPr="00F35027" w:rsidRDefault="00EF11DD" w:rsidP="003662CF">
      <w:pPr>
        <w:contextualSpacing/>
        <w:rPr>
          <w:rFonts w:asciiTheme="minorHAnsi" w:hAnsiTheme="minorHAnsi" w:cstheme="minorHAnsi"/>
          <w:sz w:val="24"/>
          <w:szCs w:val="24"/>
        </w:rPr>
      </w:pPr>
      <w:proofErr w:type="spellStart"/>
      <w:r w:rsidRPr="00EF11DD">
        <w:rPr>
          <w:rFonts w:asciiTheme="minorHAnsi" w:hAnsiTheme="minorHAnsi" w:cstheme="minorHAnsi"/>
          <w:sz w:val="24"/>
          <w:szCs w:val="24"/>
        </w:rPr>
        <w:t>Aungst</w:t>
      </w:r>
      <w:proofErr w:type="spellEnd"/>
      <w:r w:rsidRPr="00EF11DD">
        <w:rPr>
          <w:rFonts w:asciiTheme="minorHAnsi" w:hAnsiTheme="minorHAnsi" w:cstheme="minorHAnsi"/>
          <w:sz w:val="24"/>
          <w:szCs w:val="24"/>
        </w:rPr>
        <w:t xml:space="preserve">, T. D., Miranda, A. C., &amp; </w:t>
      </w:r>
      <w:proofErr w:type="spellStart"/>
      <w:r w:rsidRPr="00EF11DD">
        <w:rPr>
          <w:rFonts w:asciiTheme="minorHAnsi" w:hAnsiTheme="minorHAnsi" w:cstheme="minorHAnsi"/>
          <w:sz w:val="24"/>
          <w:szCs w:val="24"/>
        </w:rPr>
        <w:t>Serag</w:t>
      </w:r>
      <w:proofErr w:type="spellEnd"/>
      <w:r w:rsidRPr="00EF11DD">
        <w:rPr>
          <w:rFonts w:asciiTheme="minorHAnsi" w:hAnsiTheme="minorHAnsi" w:cstheme="minorHAnsi"/>
          <w:sz w:val="24"/>
          <w:szCs w:val="24"/>
        </w:rPr>
        <w:t>-Bolos, E. S. (2015). How mobile devices are changing pharmacy practice. American Journal of Health-System Pharmacy, 72(6), 494–500. https://doi.org/10.2146/ajhp140139</w:t>
      </w:r>
    </w:p>
    <w:p w14:paraId="773DF635" w14:textId="2CD463DA" w:rsidR="00EF11DD" w:rsidRPr="00EF11DD" w:rsidRDefault="00EF11DD" w:rsidP="00EF11DD">
      <w:pPr>
        <w:contextualSpacing/>
        <w:rPr>
          <w:rFonts w:asciiTheme="minorHAnsi" w:hAnsiTheme="minorHAnsi" w:cstheme="minorHAnsi"/>
          <w:sz w:val="24"/>
          <w:szCs w:val="24"/>
        </w:rPr>
      </w:pPr>
      <w:r w:rsidRPr="00EF11DD">
        <w:rPr>
          <w:rFonts w:asciiTheme="minorHAnsi" w:hAnsiTheme="minorHAnsi" w:cstheme="minorHAnsi"/>
          <w:sz w:val="24"/>
          <w:szCs w:val="24"/>
        </w:rPr>
        <w:t xml:space="preserve">Owensby, J. K., &amp; </w:t>
      </w:r>
      <w:proofErr w:type="spellStart"/>
      <w:r w:rsidRPr="00EF11DD">
        <w:rPr>
          <w:rFonts w:asciiTheme="minorHAnsi" w:hAnsiTheme="minorHAnsi" w:cstheme="minorHAnsi"/>
          <w:sz w:val="24"/>
          <w:szCs w:val="24"/>
        </w:rPr>
        <w:t>Kavookjian</w:t>
      </w:r>
      <w:proofErr w:type="spellEnd"/>
      <w:r w:rsidRPr="00EF11DD">
        <w:rPr>
          <w:rFonts w:asciiTheme="minorHAnsi" w:hAnsiTheme="minorHAnsi" w:cstheme="minorHAnsi"/>
          <w:sz w:val="24"/>
          <w:szCs w:val="24"/>
        </w:rPr>
        <w:t>, J. (2017). Pharmacy students’ perceptions of the usefulness of motivational interviewing and the use of mobile health applications on patient counseling in the future. Currents in Pharmacy Teaching and Learning, 9(4), 568–575. https://doi.org/10.1016/j.cptl.2017.03.019</w:t>
      </w:r>
    </w:p>
    <w:p w14:paraId="191419FB" w14:textId="237B4B34" w:rsidR="00EF11DD" w:rsidRPr="00EF11DD" w:rsidRDefault="00EF11DD" w:rsidP="00EF11DD">
      <w:pPr>
        <w:contextualSpacing/>
        <w:rPr>
          <w:rFonts w:asciiTheme="minorHAnsi" w:hAnsiTheme="minorHAnsi" w:cstheme="minorHAnsi"/>
          <w:sz w:val="24"/>
          <w:szCs w:val="24"/>
        </w:rPr>
      </w:pPr>
      <w:proofErr w:type="spellStart"/>
      <w:r w:rsidRPr="00EF11DD">
        <w:rPr>
          <w:rFonts w:asciiTheme="minorHAnsi" w:hAnsiTheme="minorHAnsi" w:cstheme="minorHAnsi"/>
          <w:sz w:val="24"/>
          <w:szCs w:val="24"/>
        </w:rPr>
        <w:t>Riantini</w:t>
      </w:r>
      <w:proofErr w:type="spellEnd"/>
      <w:r w:rsidRPr="00EF11DD">
        <w:rPr>
          <w:rFonts w:asciiTheme="minorHAnsi" w:hAnsiTheme="minorHAnsi" w:cstheme="minorHAnsi"/>
          <w:sz w:val="24"/>
          <w:szCs w:val="24"/>
        </w:rPr>
        <w:t>, R. E. (2020, August 1). How Pharmaceutical Consumers in Jakarta Adopt New Marketing Technology: Digital Pharmacy Mobile Application. IEEE Xplore. https://doi.org/10.1109/ICIMTech50083.2020.9211215</w:t>
      </w:r>
    </w:p>
    <w:p w14:paraId="7B101E1B" w14:textId="5FA630E7" w:rsidR="00EF11DD" w:rsidRPr="00EF11DD" w:rsidRDefault="00EF11DD" w:rsidP="00EF11DD">
      <w:pPr>
        <w:contextualSpacing/>
        <w:rPr>
          <w:rFonts w:asciiTheme="minorHAnsi" w:hAnsiTheme="minorHAnsi" w:cstheme="minorHAnsi"/>
          <w:sz w:val="24"/>
          <w:szCs w:val="24"/>
        </w:rPr>
      </w:pPr>
      <w:proofErr w:type="spellStart"/>
      <w:r w:rsidRPr="00EF11DD">
        <w:rPr>
          <w:rFonts w:asciiTheme="minorHAnsi" w:hAnsiTheme="minorHAnsi" w:cstheme="minorHAnsi"/>
          <w:sz w:val="24"/>
          <w:szCs w:val="24"/>
        </w:rPr>
        <w:t>Spanakis</w:t>
      </w:r>
      <w:proofErr w:type="spellEnd"/>
      <w:r w:rsidRPr="00EF11DD">
        <w:rPr>
          <w:rFonts w:asciiTheme="minorHAnsi" w:hAnsiTheme="minorHAnsi" w:cstheme="minorHAnsi"/>
          <w:sz w:val="24"/>
          <w:szCs w:val="24"/>
        </w:rPr>
        <w:t xml:space="preserve">, M., </w:t>
      </w:r>
      <w:proofErr w:type="spellStart"/>
      <w:r w:rsidRPr="00EF11DD">
        <w:rPr>
          <w:rFonts w:asciiTheme="minorHAnsi" w:hAnsiTheme="minorHAnsi" w:cstheme="minorHAnsi"/>
          <w:sz w:val="24"/>
          <w:szCs w:val="24"/>
        </w:rPr>
        <w:t>Sfakianakis</w:t>
      </w:r>
      <w:proofErr w:type="spellEnd"/>
      <w:r w:rsidRPr="00EF11DD">
        <w:rPr>
          <w:rFonts w:asciiTheme="minorHAnsi" w:hAnsiTheme="minorHAnsi" w:cstheme="minorHAnsi"/>
          <w:sz w:val="24"/>
          <w:szCs w:val="24"/>
        </w:rPr>
        <w:t xml:space="preserve">, S., </w:t>
      </w:r>
      <w:proofErr w:type="spellStart"/>
      <w:r w:rsidRPr="00EF11DD">
        <w:rPr>
          <w:rFonts w:asciiTheme="minorHAnsi" w:hAnsiTheme="minorHAnsi" w:cstheme="minorHAnsi"/>
          <w:sz w:val="24"/>
          <w:szCs w:val="24"/>
        </w:rPr>
        <w:t>Kallergis</w:t>
      </w:r>
      <w:proofErr w:type="spellEnd"/>
      <w:r w:rsidRPr="00EF11DD">
        <w:rPr>
          <w:rFonts w:asciiTheme="minorHAnsi" w:hAnsiTheme="minorHAnsi" w:cstheme="minorHAnsi"/>
          <w:sz w:val="24"/>
          <w:szCs w:val="24"/>
        </w:rPr>
        <w:t xml:space="preserve">, G., </w:t>
      </w:r>
      <w:proofErr w:type="spellStart"/>
      <w:r w:rsidRPr="00EF11DD">
        <w:rPr>
          <w:rFonts w:asciiTheme="minorHAnsi" w:hAnsiTheme="minorHAnsi" w:cstheme="minorHAnsi"/>
          <w:sz w:val="24"/>
          <w:szCs w:val="24"/>
        </w:rPr>
        <w:t>Spanakis</w:t>
      </w:r>
      <w:proofErr w:type="spellEnd"/>
      <w:r w:rsidRPr="00EF11DD">
        <w:rPr>
          <w:rFonts w:asciiTheme="minorHAnsi" w:hAnsiTheme="minorHAnsi" w:cstheme="minorHAnsi"/>
          <w:sz w:val="24"/>
          <w:szCs w:val="24"/>
        </w:rPr>
        <w:t xml:space="preserve">, E. G., &amp; </w:t>
      </w:r>
      <w:proofErr w:type="spellStart"/>
      <w:r w:rsidRPr="00EF11DD">
        <w:rPr>
          <w:rFonts w:asciiTheme="minorHAnsi" w:hAnsiTheme="minorHAnsi" w:cstheme="minorHAnsi"/>
          <w:sz w:val="24"/>
          <w:szCs w:val="24"/>
        </w:rPr>
        <w:t>Sakkalis</w:t>
      </w:r>
      <w:proofErr w:type="spellEnd"/>
      <w:r w:rsidRPr="00EF11DD">
        <w:rPr>
          <w:rFonts w:asciiTheme="minorHAnsi" w:hAnsiTheme="minorHAnsi" w:cstheme="minorHAnsi"/>
          <w:sz w:val="24"/>
          <w:szCs w:val="24"/>
        </w:rPr>
        <w:t xml:space="preserve">, V. (2019). </w:t>
      </w:r>
      <w:proofErr w:type="spellStart"/>
      <w:r w:rsidRPr="00EF11DD">
        <w:rPr>
          <w:rFonts w:asciiTheme="minorHAnsi" w:hAnsiTheme="minorHAnsi" w:cstheme="minorHAnsi"/>
          <w:sz w:val="24"/>
          <w:szCs w:val="24"/>
        </w:rPr>
        <w:t>PharmActa</w:t>
      </w:r>
      <w:proofErr w:type="spellEnd"/>
      <w:r w:rsidRPr="00EF11DD">
        <w:rPr>
          <w:rFonts w:asciiTheme="minorHAnsi" w:hAnsiTheme="minorHAnsi" w:cstheme="minorHAnsi"/>
          <w:sz w:val="24"/>
          <w:szCs w:val="24"/>
        </w:rPr>
        <w:t>: Personalized pharmaceutical care eHealth platform for patients and pharmacists. Journal of Biomedical Informatics, 100, 103336. https://doi.org/10.1016/j.jbi.2019.103336</w:t>
      </w:r>
    </w:p>
    <w:p w14:paraId="17E0D08C" w14:textId="33718892" w:rsidR="00EF11DD" w:rsidRPr="00EF11DD" w:rsidRDefault="00EF11DD" w:rsidP="00EF11DD">
      <w:pPr>
        <w:contextualSpacing/>
        <w:rPr>
          <w:rFonts w:asciiTheme="minorHAnsi" w:hAnsiTheme="minorHAnsi" w:cstheme="minorHAnsi"/>
          <w:sz w:val="24"/>
          <w:szCs w:val="24"/>
        </w:rPr>
      </w:pPr>
      <w:r w:rsidRPr="00EF11DD">
        <w:rPr>
          <w:rFonts w:asciiTheme="minorHAnsi" w:hAnsiTheme="minorHAnsi" w:cstheme="minorHAnsi"/>
          <w:sz w:val="24"/>
          <w:szCs w:val="24"/>
        </w:rPr>
        <w:t xml:space="preserve">Tsuruoka, K., Toda, T., Ozaki, S., &amp; </w:t>
      </w:r>
      <w:proofErr w:type="spellStart"/>
      <w:r w:rsidRPr="00EF11DD">
        <w:rPr>
          <w:rFonts w:asciiTheme="minorHAnsi" w:hAnsiTheme="minorHAnsi" w:cstheme="minorHAnsi"/>
          <w:sz w:val="24"/>
          <w:szCs w:val="24"/>
        </w:rPr>
        <w:t>Ideguchi</w:t>
      </w:r>
      <w:proofErr w:type="spellEnd"/>
      <w:r w:rsidRPr="00EF11DD">
        <w:rPr>
          <w:rFonts w:asciiTheme="minorHAnsi" w:hAnsiTheme="minorHAnsi" w:cstheme="minorHAnsi"/>
          <w:sz w:val="24"/>
          <w:szCs w:val="24"/>
        </w:rPr>
        <w:t>, N. (2013, October 1). Patients-pharmacists interactive communication system for remote medication support. IEEE Xplore. https://doi.org/10.1109/BMEiCon.2013.6687675</w:t>
      </w:r>
    </w:p>
    <w:bookmarkEnd w:id="0"/>
    <w:p w14:paraId="2ADE418A" w14:textId="20FF3F5B" w:rsidR="002E17C0" w:rsidRPr="00E5699C" w:rsidRDefault="00EF11DD" w:rsidP="00EF11DD">
      <w:pPr>
        <w:contextualSpacing/>
        <w:rPr>
          <w:rFonts w:asciiTheme="minorHAnsi" w:hAnsiTheme="minorHAnsi" w:cstheme="minorHAnsi"/>
          <w:sz w:val="24"/>
          <w:szCs w:val="24"/>
        </w:rPr>
      </w:pPr>
      <w:r w:rsidRPr="00EF11DD">
        <w:rPr>
          <w:rFonts w:asciiTheme="minorHAnsi" w:hAnsiTheme="minorHAnsi" w:cstheme="minorHAnsi"/>
          <w:sz w:val="24"/>
          <w:szCs w:val="24"/>
        </w:rPr>
        <w:t xml:space="preserve">van de Pol, J. M., </w:t>
      </w:r>
      <w:proofErr w:type="spellStart"/>
      <w:r w:rsidRPr="00EF11DD">
        <w:rPr>
          <w:rFonts w:asciiTheme="minorHAnsi" w:hAnsiTheme="minorHAnsi" w:cstheme="minorHAnsi"/>
          <w:sz w:val="24"/>
          <w:szCs w:val="24"/>
        </w:rPr>
        <w:t>Geljon</w:t>
      </w:r>
      <w:proofErr w:type="spellEnd"/>
      <w:r w:rsidRPr="00EF11DD">
        <w:rPr>
          <w:rFonts w:asciiTheme="minorHAnsi" w:hAnsiTheme="minorHAnsi" w:cstheme="minorHAnsi"/>
          <w:sz w:val="24"/>
          <w:szCs w:val="24"/>
        </w:rPr>
        <w:t xml:space="preserve">, J. G., </w:t>
      </w:r>
      <w:proofErr w:type="spellStart"/>
      <w:r w:rsidRPr="00EF11DD">
        <w:rPr>
          <w:rFonts w:asciiTheme="minorHAnsi" w:hAnsiTheme="minorHAnsi" w:cstheme="minorHAnsi"/>
          <w:sz w:val="24"/>
          <w:szCs w:val="24"/>
        </w:rPr>
        <w:t>Belitser</w:t>
      </w:r>
      <w:proofErr w:type="spellEnd"/>
      <w:r w:rsidRPr="00EF11DD">
        <w:rPr>
          <w:rFonts w:asciiTheme="minorHAnsi" w:hAnsiTheme="minorHAnsi" w:cstheme="minorHAnsi"/>
          <w:sz w:val="24"/>
          <w:szCs w:val="24"/>
        </w:rPr>
        <w:t xml:space="preserve">, S. V., </w:t>
      </w:r>
      <w:proofErr w:type="spellStart"/>
      <w:r w:rsidRPr="00EF11DD">
        <w:rPr>
          <w:rFonts w:asciiTheme="minorHAnsi" w:hAnsiTheme="minorHAnsi" w:cstheme="minorHAnsi"/>
          <w:sz w:val="24"/>
          <w:szCs w:val="24"/>
        </w:rPr>
        <w:t>Frederix</w:t>
      </w:r>
      <w:proofErr w:type="spellEnd"/>
      <w:r w:rsidRPr="00EF11DD">
        <w:rPr>
          <w:rFonts w:asciiTheme="minorHAnsi" w:hAnsiTheme="minorHAnsi" w:cstheme="minorHAnsi"/>
          <w:sz w:val="24"/>
          <w:szCs w:val="24"/>
        </w:rPr>
        <w:t xml:space="preserve">, G. W. J., </w:t>
      </w:r>
      <w:proofErr w:type="spellStart"/>
      <w:r w:rsidRPr="00EF11DD">
        <w:rPr>
          <w:rFonts w:asciiTheme="minorHAnsi" w:hAnsiTheme="minorHAnsi" w:cstheme="minorHAnsi"/>
          <w:sz w:val="24"/>
          <w:szCs w:val="24"/>
        </w:rPr>
        <w:t>Hövels</w:t>
      </w:r>
      <w:proofErr w:type="spellEnd"/>
      <w:r w:rsidRPr="00EF11DD">
        <w:rPr>
          <w:rFonts w:asciiTheme="minorHAnsi" w:hAnsiTheme="minorHAnsi" w:cstheme="minorHAnsi"/>
          <w:sz w:val="24"/>
          <w:szCs w:val="24"/>
        </w:rPr>
        <w:t xml:space="preserve">, A. M., &amp; </w:t>
      </w:r>
      <w:proofErr w:type="spellStart"/>
      <w:r w:rsidRPr="00EF11DD">
        <w:rPr>
          <w:rFonts w:asciiTheme="minorHAnsi" w:hAnsiTheme="minorHAnsi" w:cstheme="minorHAnsi"/>
          <w:sz w:val="24"/>
          <w:szCs w:val="24"/>
        </w:rPr>
        <w:t>Bouvy</w:t>
      </w:r>
      <w:proofErr w:type="spellEnd"/>
      <w:r w:rsidRPr="00EF11DD">
        <w:rPr>
          <w:rFonts w:asciiTheme="minorHAnsi" w:hAnsiTheme="minorHAnsi" w:cstheme="minorHAnsi"/>
          <w:sz w:val="24"/>
          <w:szCs w:val="24"/>
        </w:rPr>
        <w:t>, M. L. (2019). Pharmacy in transition: A work sampling study of community pharmacists using smartphone technology. Research in Social and Administrative Pharmacy, 15(1), 70–76. https://doi.org/10.1016/j.sapharm.2018.03.004</w:t>
      </w:r>
    </w:p>
    <w:sectPr w:rsidR="002E17C0" w:rsidRPr="00E5699C" w:rsidSect="006B1EE9">
      <w:footerReference w:type="default" r:id="rId7"/>
      <w:headerReference w:type="first" r:id="rId8"/>
      <w:footerReference w:type="first" r:id="rId9"/>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B364" w14:textId="77777777" w:rsidR="00875543" w:rsidRDefault="00875543" w:rsidP="003662CF">
      <w:pPr>
        <w:spacing w:after="0" w:line="240" w:lineRule="auto"/>
      </w:pPr>
      <w:r>
        <w:separator/>
      </w:r>
    </w:p>
  </w:endnote>
  <w:endnote w:type="continuationSeparator" w:id="0">
    <w:p w14:paraId="15FB5FB2" w14:textId="77777777" w:rsidR="00875543" w:rsidRDefault="00875543" w:rsidP="0036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9AB9" w14:textId="77777777" w:rsidR="002B4E42" w:rsidRDefault="00000000"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4CE6" w14:textId="77777777" w:rsidR="001B28E1" w:rsidRPr="0014328A" w:rsidRDefault="0000000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00EE" w14:textId="77777777" w:rsidR="00875543" w:rsidRDefault="00875543" w:rsidP="003662CF">
      <w:pPr>
        <w:spacing w:after="0" w:line="240" w:lineRule="auto"/>
      </w:pPr>
      <w:r>
        <w:separator/>
      </w:r>
    </w:p>
  </w:footnote>
  <w:footnote w:type="continuationSeparator" w:id="0">
    <w:p w14:paraId="054CA7B4" w14:textId="77777777" w:rsidR="00875543" w:rsidRDefault="00875543" w:rsidP="0036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FA2" w14:textId="77777777" w:rsidR="00DF585D" w:rsidRPr="00580E22" w:rsidRDefault="00DF585D" w:rsidP="00DF585D">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9264" behindDoc="0" locked="0" layoutInCell="1" allowOverlap="1" wp14:anchorId="02CDFEDD" wp14:editId="33B719DD">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580E22">
      <w:rPr>
        <w:rFonts w:cs="Arial"/>
        <w:b/>
        <w:bCs/>
        <w:noProof/>
        <w:color w:val="7F7F7F" w:themeColor="text1" w:themeTint="80"/>
      </w:rPr>
      <w:t>Literature review assignment assignment (approx. 1000 words)</w:t>
    </w:r>
  </w:p>
  <w:p w14:paraId="6AF88C9A" w14:textId="031AE95B" w:rsidR="006B1EE9" w:rsidRPr="00DF585D" w:rsidRDefault="00DF585D" w:rsidP="00DF585D">
    <w:pPr>
      <w:ind w:left="2124" w:firstLine="708"/>
      <w:rPr>
        <w:rFonts w:cs="Arial"/>
        <w:b/>
        <w:bCs/>
        <w:color w:val="7F7F7F" w:themeColor="text1" w:themeTint="80"/>
      </w:rPr>
    </w:pPr>
    <w:r w:rsidRPr="00580E22">
      <w:rPr>
        <w:rFonts w:cs="Arial"/>
        <w:b/>
        <w:bCs/>
        <w:noProof/>
        <w:color w:val="7F7F7F" w:themeColor="text1" w:themeTint="80"/>
      </w:rPr>
      <w:t xml:space="preserve">Name: </w:t>
    </w:r>
    <w:r>
      <w:rPr>
        <w:rFonts w:cs="Arial"/>
        <w:b/>
        <w:bCs/>
        <w:noProof/>
        <w:color w:val="7F7F7F" w:themeColor="text1" w:themeTint="80"/>
      </w:rPr>
      <w:t>Tohidul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3FB"/>
    <w:multiLevelType w:val="hybridMultilevel"/>
    <w:tmpl w:val="5680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03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MjcxNjEwMjY0MDJT0lEKTi0uzszPAykwrAUAzY0FjiwAAAA="/>
  </w:docVars>
  <w:rsids>
    <w:rsidRoot w:val="003662CF"/>
    <w:rsid w:val="00065377"/>
    <w:rsid w:val="002E17C0"/>
    <w:rsid w:val="003662CF"/>
    <w:rsid w:val="003C3808"/>
    <w:rsid w:val="005A34E4"/>
    <w:rsid w:val="005B4BE3"/>
    <w:rsid w:val="0078375D"/>
    <w:rsid w:val="007C3CBE"/>
    <w:rsid w:val="007E7DD6"/>
    <w:rsid w:val="00875543"/>
    <w:rsid w:val="00876566"/>
    <w:rsid w:val="008F6FC5"/>
    <w:rsid w:val="00BA30DE"/>
    <w:rsid w:val="00DF585D"/>
    <w:rsid w:val="00DF79F6"/>
    <w:rsid w:val="00E5699C"/>
    <w:rsid w:val="00EF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F9F4"/>
  <w15:chartTrackingRefBased/>
  <w15:docId w15:val="{45919B63-0835-4EC4-8E57-887FF7F4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CF"/>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patsslovnmstrnky">
    <w:name w:val="Zápatí s číslováním stránky"/>
    <w:basedOn w:val="Footer"/>
    <w:link w:val="ZpatsslovnmstrnkyChar"/>
    <w:rsid w:val="003662CF"/>
    <w:pPr>
      <w:tabs>
        <w:tab w:val="clear" w:pos="4680"/>
        <w:tab w:val="clear" w:pos="9360"/>
        <w:tab w:val="left" w:pos="0"/>
      </w:tabs>
      <w:spacing w:line="240" w:lineRule="exact"/>
      <w:ind w:left="-680"/>
      <w:jc w:val="left"/>
    </w:pPr>
    <w:rPr>
      <w:rFonts w:cs="Arial"/>
      <w:color w:val="0000DC"/>
      <w:sz w:val="16"/>
      <w:szCs w:val="14"/>
    </w:rPr>
  </w:style>
  <w:style w:type="paragraph" w:customStyle="1" w:styleId="slovnstrnky">
    <w:name w:val="Číslování stránky"/>
    <w:basedOn w:val="Zpatsslovnmstrnky"/>
    <w:link w:val="slovnstrnkyChar"/>
    <w:qFormat/>
    <w:rsid w:val="003662CF"/>
    <w:rPr>
      <w:color w:val="000000" w:themeColor="text1"/>
      <w:sz w:val="20"/>
      <w:szCs w:val="20"/>
    </w:rPr>
  </w:style>
  <w:style w:type="character" w:customStyle="1" w:styleId="ZpatsslovnmstrnkyChar">
    <w:name w:val="Zápatí s číslováním stránky Char"/>
    <w:basedOn w:val="FooterChar"/>
    <w:link w:val="Zpatsslovnmstrnky"/>
    <w:rsid w:val="003662CF"/>
    <w:rPr>
      <w:rFonts w:ascii="Arial" w:eastAsia="MS Mincho" w:hAnsi="Arial" w:cs="Arial"/>
      <w:color w:val="0000DC"/>
      <w:kern w:val="0"/>
      <w:sz w:val="16"/>
      <w:szCs w:val="14"/>
      <w:lang w:eastAsia="cs-CZ"/>
      <w14:ligatures w14:val="none"/>
    </w:rPr>
  </w:style>
  <w:style w:type="character" w:customStyle="1" w:styleId="slovnstrnkyChar">
    <w:name w:val="Číslování stránky Char"/>
    <w:basedOn w:val="ZpatsslovnmstrnkyChar"/>
    <w:link w:val="slovnstrnky"/>
    <w:rsid w:val="003662CF"/>
    <w:rPr>
      <w:rFonts w:ascii="Arial" w:eastAsia="MS Mincho" w:hAnsi="Arial" w:cs="Arial"/>
      <w:color w:val="000000" w:themeColor="text1"/>
      <w:kern w:val="0"/>
      <w:sz w:val="20"/>
      <w:szCs w:val="20"/>
      <w:lang w:eastAsia="cs-CZ"/>
      <w14:ligatures w14:val="none"/>
    </w:rPr>
  </w:style>
  <w:style w:type="paragraph" w:styleId="Footer">
    <w:name w:val="footer"/>
    <w:basedOn w:val="Normal"/>
    <w:link w:val="FooterChar"/>
    <w:uiPriority w:val="99"/>
    <w:unhideWhenUsed/>
    <w:rsid w:val="0036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2CF"/>
    <w:rPr>
      <w:rFonts w:ascii="Arial" w:eastAsia="MS Mincho" w:hAnsi="Arial" w:cs="Times New Roman"/>
      <w:kern w:val="0"/>
      <w:sz w:val="20"/>
      <w:lang w:eastAsia="cs-CZ"/>
      <w14:ligatures w14:val="none"/>
    </w:rPr>
  </w:style>
  <w:style w:type="paragraph" w:styleId="Header">
    <w:name w:val="header"/>
    <w:basedOn w:val="Normal"/>
    <w:link w:val="HeaderChar"/>
    <w:uiPriority w:val="99"/>
    <w:unhideWhenUsed/>
    <w:rsid w:val="0036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2CF"/>
    <w:rPr>
      <w:rFonts w:ascii="Arial" w:eastAsia="MS Mincho" w:hAnsi="Arial" w:cs="Times New Roman"/>
      <w:kern w:val="0"/>
      <w:sz w:val="20"/>
      <w:lang w:eastAsia="cs-CZ"/>
      <w14:ligatures w14:val="none"/>
    </w:rPr>
  </w:style>
  <w:style w:type="paragraph" w:styleId="ListParagraph">
    <w:name w:val="List Paragraph"/>
    <w:basedOn w:val="Normal"/>
    <w:uiPriority w:val="34"/>
    <w:qFormat/>
    <w:rsid w:val="0006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18984">
      <w:bodyDiv w:val="1"/>
      <w:marLeft w:val="0"/>
      <w:marRight w:val="0"/>
      <w:marTop w:val="0"/>
      <w:marBottom w:val="0"/>
      <w:divBdr>
        <w:top w:val="none" w:sz="0" w:space="0" w:color="auto"/>
        <w:left w:val="none" w:sz="0" w:space="0" w:color="auto"/>
        <w:bottom w:val="none" w:sz="0" w:space="0" w:color="auto"/>
        <w:right w:val="none" w:sz="0" w:space="0" w:color="auto"/>
      </w:divBdr>
    </w:div>
    <w:div w:id="1816952585">
      <w:bodyDiv w:val="1"/>
      <w:marLeft w:val="0"/>
      <w:marRight w:val="0"/>
      <w:marTop w:val="0"/>
      <w:marBottom w:val="0"/>
      <w:divBdr>
        <w:top w:val="none" w:sz="0" w:space="0" w:color="auto"/>
        <w:left w:val="none" w:sz="0" w:space="0" w:color="auto"/>
        <w:bottom w:val="none" w:sz="0" w:space="0" w:color="auto"/>
        <w:right w:val="none" w:sz="0" w:space="0" w:color="auto"/>
      </w:divBdr>
      <w:divsChild>
        <w:div w:id="240867887">
          <w:marLeft w:val="0"/>
          <w:marRight w:val="0"/>
          <w:marTop w:val="0"/>
          <w:marBottom w:val="0"/>
          <w:divBdr>
            <w:top w:val="none" w:sz="0" w:space="0" w:color="auto"/>
            <w:left w:val="none" w:sz="0" w:space="0" w:color="auto"/>
            <w:bottom w:val="none" w:sz="0" w:space="0" w:color="auto"/>
            <w:right w:val="none" w:sz="0" w:space="0" w:color="auto"/>
          </w:divBdr>
        </w:div>
      </w:divsChild>
    </w:div>
    <w:div w:id="1869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Tohidul Islam</dc:creator>
  <cp:keywords/>
  <dc:description/>
  <cp:lastModifiedBy>Tohidul Islam</cp:lastModifiedBy>
  <cp:revision>2</cp:revision>
  <dcterms:created xsi:type="dcterms:W3CDTF">2023-06-22T09:16:00Z</dcterms:created>
  <dcterms:modified xsi:type="dcterms:W3CDTF">2023-06-22T09:16:00Z</dcterms:modified>
</cp:coreProperties>
</file>