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C335" w14:textId="72795918" w:rsidR="00CE3C80" w:rsidRDefault="00A5451E" w:rsidP="00CC6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Druhý</w:t>
      </w:r>
      <w:r w:rsidR="00CE3C80">
        <w:rPr>
          <w:b/>
          <w:sz w:val="28"/>
          <w:szCs w:val="28"/>
        </w:rPr>
        <w:t xml:space="preserve"> </w:t>
      </w:r>
      <w:r w:rsidR="00CE3C80" w:rsidRPr="006B14E1">
        <w:rPr>
          <w:b/>
          <w:sz w:val="28"/>
          <w:szCs w:val="28"/>
        </w:rPr>
        <w:t>týden</w:t>
      </w:r>
    </w:p>
    <w:p w14:paraId="5ED6A22B" w14:textId="77777777" w:rsidR="00CE3C80" w:rsidRPr="006B14E1" w:rsidRDefault="00CE3C80" w:rsidP="00CC678E">
      <w:pPr>
        <w:jc w:val="both"/>
        <w:rPr>
          <w:b/>
          <w:sz w:val="28"/>
          <w:szCs w:val="28"/>
        </w:rPr>
      </w:pPr>
    </w:p>
    <w:p w14:paraId="6B182442" w14:textId="27165979" w:rsidR="00CE3C80" w:rsidRDefault="00CE3C80" w:rsidP="00CC678E">
      <w:pPr>
        <w:jc w:val="both"/>
        <w:rPr>
          <w:b/>
          <w:i/>
        </w:rPr>
      </w:pPr>
      <w:r w:rsidRPr="006B14E1">
        <w:rPr>
          <w:b/>
          <w:i/>
        </w:rPr>
        <w:t>Seminář</w:t>
      </w:r>
      <w:r>
        <w:rPr>
          <w:b/>
          <w:i/>
        </w:rPr>
        <w:t xml:space="preserve"> (v</w:t>
      </w:r>
      <w:r w:rsidR="00A67984">
        <w:rPr>
          <w:b/>
          <w:i/>
        </w:rPr>
        <w:t>e</w:t>
      </w:r>
      <w:r w:rsidR="00A5451E">
        <w:rPr>
          <w:b/>
          <w:i/>
        </w:rPr>
        <w:t xml:space="preserve"> druhém</w:t>
      </w:r>
      <w:r>
        <w:rPr>
          <w:b/>
          <w:i/>
        </w:rPr>
        <w:t xml:space="preserve"> až osmém týdnu výuky pracujeme s programem POHODA)</w:t>
      </w:r>
    </w:p>
    <w:p w14:paraId="1833F39C" w14:textId="77777777" w:rsidR="00CE3C80" w:rsidRDefault="00CE3C80" w:rsidP="00CC678E">
      <w:pPr>
        <w:jc w:val="both"/>
        <w:rPr>
          <w:b/>
          <w:i/>
        </w:rPr>
      </w:pPr>
    </w:p>
    <w:p w14:paraId="1C15766D" w14:textId="77777777" w:rsidR="00CE3C80" w:rsidRPr="00A67984" w:rsidRDefault="00CE3C80" w:rsidP="00CC678E">
      <w:pPr>
        <w:jc w:val="both"/>
        <w:rPr>
          <w:i/>
          <w:iCs/>
          <w:color w:val="0070C0"/>
        </w:rPr>
      </w:pPr>
      <w:r w:rsidRPr="00A67984">
        <w:rPr>
          <w:i/>
          <w:iCs/>
          <w:color w:val="0070C0"/>
        </w:rPr>
        <w:t>Úvod:</w:t>
      </w:r>
    </w:p>
    <w:p w14:paraId="7E6CE366" w14:textId="77777777" w:rsidR="00CE3C80" w:rsidRDefault="00CE3C80" w:rsidP="00CC678E">
      <w:pPr>
        <w:jc w:val="both"/>
      </w:pPr>
    </w:p>
    <w:p w14:paraId="325CBBEA" w14:textId="41B5D576" w:rsidR="00CE3C80" w:rsidRPr="006E49D5" w:rsidRDefault="00CE3C80" w:rsidP="00CC678E">
      <w:pPr>
        <w:jc w:val="both"/>
      </w:pPr>
      <w:r w:rsidRPr="00A67984">
        <w:t xml:space="preserve">Nejprve si zrekapitulujeme </w:t>
      </w:r>
      <w:r w:rsidRPr="00A67984">
        <w:rPr>
          <w:u w:val="single"/>
        </w:rPr>
        <w:t>poznatky o povinnostech účetních jednotek se zahájením vedení účetnictví.</w:t>
      </w:r>
      <w:r w:rsidRPr="00A67984">
        <w:t xml:space="preserve"> Poté bude následovat </w:t>
      </w:r>
      <w:r w:rsidR="00A5451E" w:rsidRPr="00A67984">
        <w:t xml:space="preserve">stručné zhodnocení </w:t>
      </w:r>
      <w:r w:rsidRPr="00A67984">
        <w:t>přípravy studentů – identifikační údaje fiktivní firmy, informace ze společenské smlouvy a zahajovací rozvaha.</w:t>
      </w:r>
    </w:p>
    <w:p w14:paraId="2AA1BD3A" w14:textId="77777777" w:rsidR="00CE3C80" w:rsidRDefault="00CE3C80" w:rsidP="00CC678E">
      <w:pPr>
        <w:jc w:val="both"/>
      </w:pPr>
    </w:p>
    <w:p w14:paraId="19E51CE9" w14:textId="50E13266" w:rsidR="00CE3C80" w:rsidRPr="00A67984" w:rsidRDefault="00CE3C80" w:rsidP="00CC678E">
      <w:pPr>
        <w:jc w:val="both"/>
        <w:rPr>
          <w:i/>
          <w:iCs/>
          <w:color w:val="0070C0"/>
        </w:rPr>
      </w:pPr>
      <w:r w:rsidRPr="00A67984">
        <w:rPr>
          <w:i/>
          <w:iCs/>
          <w:color w:val="0070C0"/>
        </w:rPr>
        <w:t>Obsah semináře:</w:t>
      </w:r>
    </w:p>
    <w:p w14:paraId="6A5749E5" w14:textId="31BACF80" w:rsidR="00A5451E" w:rsidRDefault="00A5451E" w:rsidP="00CC678E">
      <w:pPr>
        <w:jc w:val="both"/>
      </w:pPr>
    </w:p>
    <w:p w14:paraId="539D59E0" w14:textId="77777777" w:rsidR="00A5451E" w:rsidRDefault="00A5451E" w:rsidP="00CC678E">
      <w:pPr>
        <w:jc w:val="both"/>
        <w:rPr>
          <w:b/>
        </w:rPr>
      </w:pPr>
      <w:r>
        <w:rPr>
          <w:b/>
        </w:rPr>
        <w:t>Ekonomický systém POHODA</w:t>
      </w:r>
    </w:p>
    <w:p w14:paraId="568DC9F4" w14:textId="77777777" w:rsidR="00A5451E" w:rsidRDefault="00A5451E" w:rsidP="00CC678E">
      <w:pPr>
        <w:spacing w:before="120"/>
        <w:jc w:val="both"/>
      </w:pPr>
      <w:r>
        <w:t>Informace o základních charakteristikách programu, jednotlivých verzích, firmě, která jej vytvořila. Ekonomický systém POHODA je určen pro zpracování finančního účetnictví neomezeného počtu firem, které mohou být podnikatelskými subjekty, příspěvkovými i nevýdělečnými organizacemi.</w:t>
      </w:r>
    </w:p>
    <w:p w14:paraId="18897ED8" w14:textId="77777777" w:rsidR="00A5451E" w:rsidRDefault="00A5451E" w:rsidP="00CC678E">
      <w:pPr>
        <w:spacing w:before="120"/>
        <w:jc w:val="both"/>
      </w:pPr>
    </w:p>
    <w:p w14:paraId="6DD3D8D7" w14:textId="77777777" w:rsidR="00A5451E" w:rsidRDefault="00A5451E" w:rsidP="00CC678E">
      <w:pPr>
        <w:jc w:val="both"/>
      </w:pPr>
      <w:r w:rsidRPr="003B59B3">
        <w:rPr>
          <w:highlight w:val="yellow"/>
          <w:u w:val="single"/>
        </w:rPr>
        <w:t>Seznámení s principy práce v softwaru POHODA na datech cvičné firmy</w:t>
      </w:r>
      <w:r>
        <w:t>, která jsou obsažena v nainstalované verzi:</w:t>
      </w:r>
    </w:p>
    <w:p w14:paraId="7332AF08" w14:textId="77777777" w:rsidR="00A5451E" w:rsidRDefault="00A5451E" w:rsidP="00CC678E">
      <w:pPr>
        <w:numPr>
          <w:ilvl w:val="0"/>
          <w:numId w:val="5"/>
        </w:numPr>
        <w:autoSpaceDE w:val="0"/>
        <w:autoSpaceDN w:val="0"/>
        <w:jc w:val="both"/>
      </w:pPr>
      <w:r>
        <w:t>informační plocha programu, která je zobrazena po spuštění programu, po otevření nového účetnictví a také vždy, když jsou zavřeny všechny dílčí agendy,</w:t>
      </w:r>
    </w:p>
    <w:p w14:paraId="66B73E42" w14:textId="7A71BAB7" w:rsidR="00A5451E" w:rsidRDefault="00A5451E" w:rsidP="00CC678E">
      <w:pPr>
        <w:jc w:val="both"/>
      </w:pPr>
      <w:r>
        <w:t>přehled povelů jednotlivých nabídek (modulů): Soubor, Nastavení, Adresář, Účetnictví, Fakturace, Sklady, Mzdy, Jízdy, Majetek, Záznam a Nápověda</w:t>
      </w:r>
    </w:p>
    <w:p w14:paraId="0592CB06" w14:textId="77777777" w:rsidR="00CE3C80" w:rsidRDefault="00CE3C80" w:rsidP="00CC678E">
      <w:pPr>
        <w:jc w:val="both"/>
      </w:pPr>
    </w:p>
    <w:p w14:paraId="6B835761" w14:textId="77777777" w:rsidR="00CE3C80" w:rsidRPr="00317DB0" w:rsidRDefault="00CE3C80" w:rsidP="00CC678E">
      <w:pPr>
        <w:jc w:val="both"/>
        <w:rPr>
          <w:u w:val="single"/>
        </w:rPr>
      </w:pPr>
      <w:r w:rsidRPr="00F61A5A">
        <w:rPr>
          <w:highlight w:val="yellow"/>
          <w:u w:val="single"/>
        </w:rPr>
        <w:t>Založení účetních jednotek – firem jednotlivých studentů:</w:t>
      </w:r>
    </w:p>
    <w:p w14:paraId="28BC18E7" w14:textId="77777777" w:rsidR="00CE3C80" w:rsidRDefault="00CE3C80" w:rsidP="00CC678E">
      <w:pPr>
        <w:numPr>
          <w:ilvl w:val="0"/>
          <w:numId w:val="1"/>
        </w:numPr>
        <w:autoSpaceDE w:val="0"/>
        <w:autoSpaceDN w:val="0"/>
        <w:jc w:val="both"/>
      </w:pPr>
      <w:r>
        <w:t xml:space="preserve">Každá účetní jednotka je umístěna v jednom datovém souboru a má svůj záznam v agendě Účetní jednotky v nabídce Soubor. </w:t>
      </w:r>
    </w:p>
    <w:p w14:paraId="531428B7" w14:textId="77777777" w:rsidR="00CE3C80" w:rsidRDefault="00CE3C80" w:rsidP="00CC678E">
      <w:pPr>
        <w:ind w:left="360"/>
        <w:jc w:val="both"/>
      </w:pPr>
    </w:p>
    <w:p w14:paraId="476AC34E" w14:textId="77777777" w:rsidR="00CE3C80" w:rsidRDefault="00CE3C80" w:rsidP="00CC678E">
      <w:pPr>
        <w:numPr>
          <w:ilvl w:val="0"/>
          <w:numId w:val="1"/>
        </w:numPr>
        <w:autoSpaceDE w:val="0"/>
        <w:autoSpaceDN w:val="0"/>
        <w:jc w:val="both"/>
      </w:pPr>
      <w:r>
        <w:t xml:space="preserve">Založení provedeme právě z tohoto umístění stejně jako se zakládá nový záznam </w:t>
      </w:r>
      <w:r>
        <w:br/>
        <w:t xml:space="preserve">ve všech agendách programu POHODA: stiskem klávesy Insert, příp. povelem </w:t>
      </w:r>
      <w:r w:rsidRPr="00E342DD">
        <w:t>Vložit.</w:t>
      </w:r>
      <w:r>
        <w:rPr>
          <w:b/>
        </w:rPr>
        <w:t xml:space="preserve"> </w:t>
      </w:r>
      <w:r>
        <w:t xml:space="preserve">Na obrazovce se objeví </w:t>
      </w:r>
      <w:r w:rsidRPr="00E342DD">
        <w:t>Průvodce zavedením účetní jednotky</w:t>
      </w:r>
      <w:r>
        <w:t xml:space="preserve">, kde zvolíme zavedení Účetnictví (dříve PÚ), vybereme účetnictví pro podnikatele a po dokončení se objeví formulář nové účetní jednotky, kde vyplníme předem připravené údaje (název firmy, adresa, telefony, IČ, DIČ a další). Název datového souboru nemusíme vyplňovat, automaticky se nastaví z údajů identifikačního čísla firmy a roku, </w:t>
      </w:r>
      <w:r>
        <w:br/>
        <w:t xml:space="preserve">pro který je účetnictví zavedeno. </w:t>
      </w:r>
    </w:p>
    <w:p w14:paraId="65D36478" w14:textId="77777777" w:rsidR="00CE3C80" w:rsidRDefault="00CE3C80" w:rsidP="00CC678E">
      <w:pPr>
        <w:jc w:val="both"/>
      </w:pPr>
    </w:p>
    <w:p w14:paraId="79C24753" w14:textId="77777777" w:rsidR="00CE3C80" w:rsidRDefault="00CE3C80" w:rsidP="00CC678E">
      <w:pPr>
        <w:numPr>
          <w:ilvl w:val="0"/>
          <w:numId w:val="1"/>
        </w:numPr>
        <w:autoSpaceDE w:val="0"/>
        <w:autoSpaceDN w:val="0"/>
        <w:jc w:val="both"/>
      </w:pPr>
      <w:r>
        <w:t xml:space="preserve">Po vyplnění potřebných údajů provedeme jejich uložení stisknutím Ctrl + Enter </w:t>
      </w:r>
      <w:r>
        <w:br/>
        <w:t>nebo kliknutím na ikonu s disketou, která je mezi tlačítky na horní liště.</w:t>
      </w:r>
    </w:p>
    <w:p w14:paraId="2D374566" w14:textId="77777777" w:rsidR="00CE3C80" w:rsidRDefault="00CE3C80" w:rsidP="00CC678E">
      <w:pPr>
        <w:ind w:left="360"/>
        <w:jc w:val="both"/>
      </w:pPr>
    </w:p>
    <w:p w14:paraId="3C6E127A" w14:textId="77777777" w:rsidR="00CE3C80" w:rsidRDefault="00CE3C80" w:rsidP="00CC678E">
      <w:pPr>
        <w:numPr>
          <w:ilvl w:val="0"/>
          <w:numId w:val="1"/>
        </w:numPr>
        <w:autoSpaceDE w:val="0"/>
        <w:autoSpaceDN w:val="0"/>
        <w:jc w:val="both"/>
      </w:pPr>
      <w:r>
        <w:t xml:space="preserve">Vytvořené účetnictví otevřete z nabídky </w:t>
      </w:r>
      <w:r w:rsidRPr="00E342DD">
        <w:t>Soubor</w:t>
      </w:r>
      <w:r>
        <w:t>, agendy Účetní jednotky, stiskem klávesy Enter nebo povelem Otevřít účetnictví.</w:t>
      </w:r>
    </w:p>
    <w:p w14:paraId="65C7A38A" w14:textId="77777777" w:rsidR="00CE3C80" w:rsidRDefault="00CE3C80" w:rsidP="00CC678E">
      <w:pPr>
        <w:jc w:val="both"/>
      </w:pPr>
    </w:p>
    <w:p w14:paraId="36D9E171" w14:textId="77777777" w:rsidR="00CE3C80" w:rsidRDefault="00CE3C80" w:rsidP="00CC678E">
      <w:pPr>
        <w:jc w:val="both"/>
      </w:pPr>
    </w:p>
    <w:p w14:paraId="5FAA6CA3" w14:textId="77777777" w:rsidR="00CE3C80" w:rsidRDefault="00CE3C80" w:rsidP="00CC678E">
      <w:pPr>
        <w:jc w:val="both"/>
        <w:rPr>
          <w:u w:val="single"/>
        </w:rPr>
      </w:pPr>
      <w:r w:rsidRPr="00A67984">
        <w:rPr>
          <w:highlight w:val="yellow"/>
          <w:u w:val="single"/>
        </w:rPr>
        <w:t>Postup při nastavení účetnictví:</w:t>
      </w:r>
    </w:p>
    <w:p w14:paraId="28169916" w14:textId="64CBEB1D" w:rsidR="00CE3C80" w:rsidRPr="009B5F4F" w:rsidRDefault="00CE3C80" w:rsidP="00CC678E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u w:val="single"/>
        </w:rPr>
      </w:pPr>
      <w:r>
        <w:lastRenderedPageBreak/>
        <w:t xml:space="preserve">V nabídce Účetnictví otevřeme agendu Účtová osnova a upravíme ji podle potřeb firmy. </w:t>
      </w:r>
      <w:r w:rsidR="00F61A5A">
        <w:t>Například zrušíme</w:t>
      </w:r>
      <w:r>
        <w:t xml:space="preserve"> některé typy účtů, které naše firma nebude vůbec využívat, některé účty upravíme, doplníme analytické členění, případně dle potřeby vytvoříme účty nové. </w:t>
      </w:r>
    </w:p>
    <w:p w14:paraId="05FB9BBD" w14:textId="77777777" w:rsidR="00CE3C80" w:rsidRPr="007466C2" w:rsidRDefault="00CE3C80" w:rsidP="00CC678E">
      <w:pPr>
        <w:ind w:left="360"/>
        <w:jc w:val="both"/>
        <w:rPr>
          <w:u w:val="single"/>
        </w:rPr>
      </w:pPr>
    </w:p>
    <w:p w14:paraId="209264B9" w14:textId="77777777" w:rsidR="00CE3C80" w:rsidRPr="007466C2" w:rsidRDefault="00CE3C80" w:rsidP="00CC678E">
      <w:pPr>
        <w:numPr>
          <w:ilvl w:val="0"/>
          <w:numId w:val="3"/>
        </w:numPr>
        <w:autoSpaceDE w:val="0"/>
        <w:autoSpaceDN w:val="0"/>
        <w:jc w:val="both"/>
        <w:rPr>
          <w:u w:val="single"/>
        </w:rPr>
      </w:pPr>
      <w:r>
        <w:t xml:space="preserve">Stejným způsobem postupujeme v agendě Předkontace (také v modulu Účetnictví).  Účty i předkontace můžeme samozřejmě přidávat a rušit i v průběhu účetního období. </w:t>
      </w:r>
    </w:p>
    <w:p w14:paraId="2B2ED67D" w14:textId="77777777" w:rsidR="00CE3C80" w:rsidRDefault="00CE3C80" w:rsidP="00CC678E">
      <w:pPr>
        <w:jc w:val="both"/>
        <w:rPr>
          <w:u w:val="single"/>
        </w:rPr>
      </w:pPr>
      <w:r>
        <w:t xml:space="preserve"> </w:t>
      </w:r>
    </w:p>
    <w:p w14:paraId="3EE7459D" w14:textId="77777777" w:rsidR="00CE3C80" w:rsidRDefault="00CE3C80" w:rsidP="00CC678E">
      <w:pPr>
        <w:numPr>
          <w:ilvl w:val="0"/>
          <w:numId w:val="2"/>
        </w:numPr>
        <w:autoSpaceDE w:val="0"/>
        <w:autoSpaceDN w:val="0"/>
        <w:jc w:val="both"/>
      </w:pPr>
      <w:r>
        <w:t>Upravíme g</w:t>
      </w:r>
      <w:r w:rsidRPr="009B5F4F">
        <w:t>lobální nastavení účetní jednotky</w:t>
      </w:r>
      <w:r>
        <w:t>: v</w:t>
      </w:r>
      <w:r w:rsidRPr="00317DB0">
        <w:t> </w:t>
      </w:r>
      <w:r>
        <w:t>nabídce</w:t>
      </w:r>
      <w:r w:rsidRPr="00317DB0">
        <w:t xml:space="preserve"> </w:t>
      </w:r>
      <w:r w:rsidRPr="00060CE5">
        <w:t xml:space="preserve">Nastavení </w:t>
      </w:r>
      <w:r w:rsidRPr="00317DB0">
        <w:t>je to první položka,</w:t>
      </w:r>
      <w:r>
        <w:rPr>
          <w:b/>
        </w:rPr>
        <w:t xml:space="preserve"> </w:t>
      </w:r>
      <w:r w:rsidRPr="00317DB0">
        <w:t>která slouží pro</w:t>
      </w:r>
      <w:r>
        <w:t xml:space="preserve"> konfiguraci obecných pravidel pro zpracovávané účetnictví, je stejná pro všechny uživatele. Globální nastavení je rozděleno do několika sekcí, které se aktivují výběrem ze seznamu. Zkusíme sekci označenou slovem Logo - zde je několik možností, jak nastavit grafické logo firmy; využijeme možnost nakreslení v aplikaci Malování ve Windows a vložíme do systému POHODA. Další sekce Globálního nastavení prohlédneme, ale budeme upravovat později.</w:t>
      </w:r>
    </w:p>
    <w:p w14:paraId="49666775" w14:textId="77777777" w:rsidR="00CE3C80" w:rsidRDefault="00CE3C80" w:rsidP="00CC678E">
      <w:pPr>
        <w:jc w:val="both"/>
      </w:pPr>
    </w:p>
    <w:p w14:paraId="789BE205" w14:textId="77777777" w:rsidR="00CE3C80" w:rsidRPr="00FB6CBC" w:rsidRDefault="00CE3C80" w:rsidP="00CC678E">
      <w:pPr>
        <w:numPr>
          <w:ilvl w:val="0"/>
          <w:numId w:val="2"/>
        </w:numPr>
        <w:autoSpaceDE w:val="0"/>
        <w:autoSpaceDN w:val="0"/>
        <w:jc w:val="both"/>
        <w:rPr>
          <w:u w:val="single"/>
        </w:rPr>
      </w:pPr>
      <w:r w:rsidRPr="009B5F4F">
        <w:t>Uživatelské nastavení účetní jednotky:</w:t>
      </w:r>
      <w:r>
        <w:t xml:space="preserve"> druhá položka nabídky Nastavení platí </w:t>
      </w:r>
      <w:r>
        <w:br/>
        <w:t xml:space="preserve">pro přihlášeného uživatele, který si jednotlivé volby může upravit podle svých potřeb. V sekcích Pokladna, Banka, Faktury vydané a Faktury přijaté nastavíme hodnoty, které chceme automaticky předvyplnit při práci v těchto agendách – mohou to být nejčastěji používané předkontace, členění DPH a často se opakující texty v dokladech. </w:t>
      </w:r>
    </w:p>
    <w:p w14:paraId="0F3AD6F3" w14:textId="77777777" w:rsidR="00CE3C80" w:rsidRDefault="00CE3C80" w:rsidP="00CC678E">
      <w:pPr>
        <w:jc w:val="both"/>
        <w:rPr>
          <w:u w:val="single"/>
        </w:rPr>
      </w:pPr>
    </w:p>
    <w:p w14:paraId="5F54E8F0" w14:textId="77777777" w:rsidR="00CE3C80" w:rsidRPr="008414F4" w:rsidRDefault="00CE3C80" w:rsidP="00CC678E">
      <w:pPr>
        <w:numPr>
          <w:ilvl w:val="0"/>
          <w:numId w:val="2"/>
        </w:numPr>
        <w:autoSpaceDE w:val="0"/>
        <w:autoSpaceDN w:val="0"/>
        <w:jc w:val="both"/>
        <w:rPr>
          <w:u w:val="single"/>
        </w:rPr>
      </w:pPr>
      <w:r>
        <w:t>V nabídce Nastavení dále ještě zkontrolujeme, zda jsou aktuální informace v agendě Legislativa.</w:t>
      </w:r>
    </w:p>
    <w:p w14:paraId="57793606" w14:textId="77777777" w:rsidR="00CE3C80" w:rsidRDefault="00CE3C80" w:rsidP="00CC678E">
      <w:pPr>
        <w:jc w:val="both"/>
      </w:pPr>
    </w:p>
    <w:p w14:paraId="601A612A" w14:textId="77777777" w:rsidR="00CE3C80" w:rsidRPr="004C1FE8" w:rsidRDefault="00CE3C80" w:rsidP="00CC678E">
      <w:pPr>
        <w:jc w:val="both"/>
        <w:rPr>
          <w:u w:val="single"/>
        </w:rPr>
      </w:pPr>
    </w:p>
    <w:p w14:paraId="6F0E720E" w14:textId="77777777" w:rsidR="00CE3C80" w:rsidRPr="004C1FE8" w:rsidRDefault="00CE3C80" w:rsidP="00CC678E">
      <w:pPr>
        <w:jc w:val="both"/>
        <w:rPr>
          <w:u w:val="single"/>
        </w:rPr>
      </w:pPr>
      <w:r w:rsidRPr="00F61A5A">
        <w:rPr>
          <w:highlight w:val="yellow"/>
          <w:u w:val="single"/>
        </w:rPr>
        <w:t>Zahájení účtování – otevření účetních knih</w:t>
      </w:r>
      <w:r w:rsidRPr="004C1FE8">
        <w:rPr>
          <w:u w:val="single"/>
        </w:rPr>
        <w:t xml:space="preserve"> </w:t>
      </w:r>
    </w:p>
    <w:p w14:paraId="183A6F36" w14:textId="77777777" w:rsidR="00CE3C80" w:rsidRDefault="00CE3C80" w:rsidP="00CC678E">
      <w:pPr>
        <w:numPr>
          <w:ilvl w:val="0"/>
          <w:numId w:val="4"/>
        </w:numPr>
        <w:autoSpaceDE w:val="0"/>
        <w:autoSpaceDN w:val="0"/>
        <w:jc w:val="both"/>
      </w:pPr>
      <w:r>
        <w:t xml:space="preserve">Zahájení účtování provedeme tzv. </w:t>
      </w:r>
      <w:r w:rsidRPr="00F61A5A">
        <w:rPr>
          <w:u w:val="single"/>
        </w:rPr>
        <w:t>zavedením počátečních stavů účtů</w:t>
      </w:r>
      <w:r>
        <w:t xml:space="preserve">. Jedná se </w:t>
      </w:r>
      <w:r>
        <w:br/>
        <w:t>o zaúčtování jednotlivých položek aktiv a pasiv obsažených v zahajovací rozvaze společnosti. Tato zahajovací rozvaha je součástí vlastní přípravy z minulého týdne výuky.</w:t>
      </w:r>
    </w:p>
    <w:p w14:paraId="14C9224B" w14:textId="77777777" w:rsidR="00CE3C80" w:rsidRDefault="00CE3C80" w:rsidP="00CC678E">
      <w:pPr>
        <w:ind w:left="360"/>
        <w:jc w:val="both"/>
      </w:pPr>
    </w:p>
    <w:p w14:paraId="03354927" w14:textId="77777777" w:rsidR="00CE3C80" w:rsidRDefault="00CE3C80" w:rsidP="00CC678E">
      <w:pPr>
        <w:numPr>
          <w:ilvl w:val="0"/>
          <w:numId w:val="4"/>
        </w:numPr>
        <w:autoSpaceDE w:val="0"/>
        <w:autoSpaceDN w:val="0"/>
        <w:jc w:val="both"/>
      </w:pPr>
      <w:r>
        <w:t xml:space="preserve">V nabídce Účetnictví otevřeme agendu Počáteční stavy a v ní sekci Počáteční stavy účtů. Zde doplníme do formuláře počáteční stavy aktivních i pasivních účtů, vždy podvojným zápisem souvztažně k účtu 701 – Počáteční účet </w:t>
      </w:r>
      <w:proofErr w:type="spellStart"/>
      <w:r>
        <w:t>rozvažný</w:t>
      </w:r>
      <w:proofErr w:type="spellEnd"/>
      <w:r>
        <w:t>. Zaúčtované záznamy se objeví v účetním deníku s označením v textu „Počáteční stavy účtů“.</w:t>
      </w:r>
    </w:p>
    <w:p w14:paraId="2E440F99" w14:textId="77777777" w:rsidR="00CE3C80" w:rsidRDefault="00CE3C80" w:rsidP="00CC678E">
      <w:pPr>
        <w:jc w:val="both"/>
      </w:pPr>
    </w:p>
    <w:p w14:paraId="04171D6E" w14:textId="77777777" w:rsidR="00CE3C80" w:rsidRDefault="00CE3C80" w:rsidP="00CC678E">
      <w:pPr>
        <w:numPr>
          <w:ilvl w:val="0"/>
          <w:numId w:val="4"/>
        </w:numPr>
        <w:autoSpaceDE w:val="0"/>
        <w:autoSpaceDN w:val="0"/>
        <w:jc w:val="both"/>
      </w:pPr>
      <w:r>
        <w:t xml:space="preserve">Pokud jsou součástí počátečních stavů peněžní prostředky v hotovosti nebo </w:t>
      </w:r>
      <w:r>
        <w:br/>
        <w:t>na bankovních účtech, musíme po zavedení počátečních stavů výše uvedeným způsobem provést ještě další operaci. V nabídce Účetnictví, agendě Pokladna, případně Banka, vytvoříme první příjmový doklad, uvedeme na něm částku zavedenou v počátečních stavech. Do pole předkontace vybereme variantu „Bez“, doklad se nezaúčtuje (protože už příslušnou částku zaúčtovanou máme z Počátečních stavů), ale vytvoří nám počáteční hodnotu Pokladní (příp. Bankovní) knihy.</w:t>
      </w:r>
    </w:p>
    <w:p w14:paraId="05D0BBF6" w14:textId="77777777" w:rsidR="00CE3C80" w:rsidRDefault="00CE3C80" w:rsidP="00CC678E">
      <w:pPr>
        <w:jc w:val="both"/>
      </w:pPr>
    </w:p>
    <w:p w14:paraId="33C78C48" w14:textId="77777777" w:rsidR="00CE3C80" w:rsidRDefault="00CE3C80" w:rsidP="00CC678E">
      <w:pPr>
        <w:numPr>
          <w:ilvl w:val="0"/>
          <w:numId w:val="4"/>
        </w:numPr>
        <w:autoSpaceDE w:val="0"/>
        <w:autoSpaceDN w:val="0"/>
        <w:jc w:val="both"/>
      </w:pPr>
      <w:r>
        <w:t xml:space="preserve">Zkontrolujeme si, zda se nám podařilo správně zaúčtovat počáteční stavy aktiv a pasiv ve firmě. Uděláme to následujícím postupem: zavřeme všechny otevřené agendy a v nabídce Účetnictví vybereme a otevřeme agendu Účetní deník. Kliknutím na ikonu Tiskových sestav na hlavní liště vybereme sestavu Rozvaha, při jejím náhledu na </w:t>
      </w:r>
      <w:r>
        <w:lastRenderedPageBreak/>
        <w:t>obrazovce zkontrolujeme, zda máme strukturu jednotlivých položek, jejich hodnoty a celkové součty stejné, jako v ručně připravené zahajovací rozvaze.</w:t>
      </w:r>
    </w:p>
    <w:p w14:paraId="095D7DAD" w14:textId="77777777" w:rsidR="00CE3C80" w:rsidRDefault="00CE3C80" w:rsidP="00CC678E">
      <w:pPr>
        <w:jc w:val="both"/>
      </w:pPr>
    </w:p>
    <w:p w14:paraId="62AB0F51" w14:textId="77777777" w:rsidR="00CE3C80" w:rsidRDefault="00CE3C80" w:rsidP="00CC678E">
      <w:pPr>
        <w:jc w:val="both"/>
      </w:pPr>
    </w:p>
    <w:p w14:paraId="57777C7A" w14:textId="77777777" w:rsidR="00CE3C80" w:rsidRPr="00A67984" w:rsidRDefault="00CE3C80" w:rsidP="00CC678E">
      <w:pPr>
        <w:jc w:val="both"/>
        <w:rPr>
          <w:b/>
          <w:i/>
          <w:color w:val="0070C0"/>
        </w:rPr>
      </w:pPr>
      <w:r w:rsidRPr="00A67984">
        <w:rPr>
          <w:b/>
          <w:i/>
          <w:color w:val="0070C0"/>
        </w:rPr>
        <w:t>Vlastní studium</w:t>
      </w:r>
    </w:p>
    <w:p w14:paraId="1DEF3D4C" w14:textId="77777777" w:rsidR="00CE3C80" w:rsidRDefault="00CE3C80" w:rsidP="00CC678E">
      <w:pPr>
        <w:jc w:val="both"/>
      </w:pPr>
    </w:p>
    <w:p w14:paraId="7E0F5270" w14:textId="77777777" w:rsidR="00CE3C80" w:rsidRDefault="00CE3C80" w:rsidP="00CC678E">
      <w:pPr>
        <w:jc w:val="both"/>
      </w:pPr>
      <w:r>
        <w:t>Zopakujte si základní pojmy z oblasti účtování mezd a platů, pojistného na sociální zabezpečení a zdravotní pojištění, zdanění příjmů ze závislé činnosti.</w:t>
      </w:r>
    </w:p>
    <w:p w14:paraId="59EB736F" w14:textId="2773CCBB" w:rsidR="00CE3C80" w:rsidRDefault="00CE3C80" w:rsidP="00CC678E">
      <w:pPr>
        <w:jc w:val="both"/>
      </w:pPr>
    </w:p>
    <w:p w14:paraId="1D7A0CD2" w14:textId="77777777" w:rsidR="00CE3C80" w:rsidRDefault="00CE3C80" w:rsidP="00CC678E">
      <w:pPr>
        <w:jc w:val="both"/>
      </w:pPr>
    </w:p>
    <w:p w14:paraId="6E4A8A29" w14:textId="77777777" w:rsidR="00CE3C80" w:rsidRDefault="00CE3C80" w:rsidP="00CC678E">
      <w:pPr>
        <w:jc w:val="both"/>
      </w:pPr>
      <w:r>
        <w:t>Připravte si identifikační údaje prvních zaměstnanců, typ jejich pracovněprávního vztahu, funkce ve firmě, způsob odměňování apod.</w:t>
      </w:r>
    </w:p>
    <w:p w14:paraId="3CA337BD" w14:textId="77777777" w:rsidR="00CE3C80" w:rsidRDefault="00CE3C80" w:rsidP="00CC678E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09"/>
        <w:gridCol w:w="1276"/>
        <w:gridCol w:w="1418"/>
        <w:gridCol w:w="1275"/>
        <w:gridCol w:w="1276"/>
        <w:gridCol w:w="960"/>
        <w:gridCol w:w="970"/>
      </w:tblGrid>
      <w:tr w:rsidR="00CE3C80" w14:paraId="2723E871" w14:textId="77777777" w:rsidTr="00B338DB">
        <w:tc>
          <w:tcPr>
            <w:tcW w:w="1809" w:type="dxa"/>
          </w:tcPr>
          <w:p w14:paraId="5C9E166A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>Příjmení a jméno</w:t>
            </w:r>
          </w:p>
        </w:tc>
        <w:tc>
          <w:tcPr>
            <w:tcW w:w="1276" w:type="dxa"/>
          </w:tcPr>
          <w:p w14:paraId="37CEC8A9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>Zařazení, funkce</w:t>
            </w:r>
          </w:p>
        </w:tc>
        <w:tc>
          <w:tcPr>
            <w:tcW w:w="1418" w:type="dxa"/>
          </w:tcPr>
          <w:p w14:paraId="12F4C14E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>Druh a výše mzdy</w:t>
            </w:r>
          </w:p>
        </w:tc>
        <w:tc>
          <w:tcPr>
            <w:tcW w:w="1275" w:type="dxa"/>
          </w:tcPr>
          <w:p w14:paraId="52A892DE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>Pracovní poměr /dohoda</w:t>
            </w:r>
          </w:p>
        </w:tc>
        <w:tc>
          <w:tcPr>
            <w:tcW w:w="1276" w:type="dxa"/>
          </w:tcPr>
          <w:p w14:paraId="28173E12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>Den nástupu/ úvazek</w:t>
            </w:r>
          </w:p>
        </w:tc>
        <w:tc>
          <w:tcPr>
            <w:tcW w:w="960" w:type="dxa"/>
          </w:tcPr>
          <w:p w14:paraId="1EB4EFD7" w14:textId="77777777" w:rsidR="00CE3C80" w:rsidRPr="00535773" w:rsidRDefault="00B338DB" w:rsidP="00CC678E">
            <w:pPr>
              <w:jc w:val="both"/>
              <w:rPr>
                <w:b/>
              </w:rPr>
            </w:pPr>
            <w:r>
              <w:rPr>
                <w:b/>
              </w:rPr>
              <w:t>Zdrav. Poj.</w:t>
            </w:r>
          </w:p>
        </w:tc>
        <w:tc>
          <w:tcPr>
            <w:tcW w:w="970" w:type="dxa"/>
          </w:tcPr>
          <w:p w14:paraId="1E61C088" w14:textId="77777777" w:rsidR="00CE3C80" w:rsidRPr="00535773" w:rsidRDefault="00CE3C80" w:rsidP="00CC678E">
            <w:pPr>
              <w:jc w:val="both"/>
              <w:rPr>
                <w:b/>
              </w:rPr>
            </w:pPr>
            <w:r w:rsidRPr="00535773">
              <w:rPr>
                <w:b/>
              </w:rPr>
              <w:t xml:space="preserve">Dopl. údaje </w:t>
            </w:r>
          </w:p>
        </w:tc>
      </w:tr>
      <w:tr w:rsidR="00CE3C80" w14:paraId="35D51D5C" w14:textId="77777777" w:rsidTr="00B338DB">
        <w:tc>
          <w:tcPr>
            <w:tcW w:w="1809" w:type="dxa"/>
          </w:tcPr>
          <w:p w14:paraId="2798F205" w14:textId="77777777" w:rsidR="00CE3C80" w:rsidRDefault="00CE3C80" w:rsidP="00CC678E">
            <w:pPr>
              <w:jc w:val="both"/>
            </w:pPr>
          </w:p>
          <w:p w14:paraId="318981C9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0344B8F1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7E779C83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4DBC38D0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48DC71A2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4C00272C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3CEB9C39" w14:textId="77777777" w:rsidR="00CE3C80" w:rsidRDefault="00CE3C80" w:rsidP="00CC678E">
            <w:pPr>
              <w:jc w:val="both"/>
            </w:pPr>
          </w:p>
        </w:tc>
      </w:tr>
      <w:tr w:rsidR="00CE3C80" w14:paraId="37D01E55" w14:textId="77777777" w:rsidTr="00B338DB">
        <w:tc>
          <w:tcPr>
            <w:tcW w:w="1809" w:type="dxa"/>
          </w:tcPr>
          <w:p w14:paraId="4BD4266B" w14:textId="77777777" w:rsidR="00CE3C80" w:rsidRDefault="00CE3C80" w:rsidP="00CC678E">
            <w:pPr>
              <w:jc w:val="both"/>
            </w:pPr>
          </w:p>
          <w:p w14:paraId="24D2A21A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FA18102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31DF0118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5339C79D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6AABC054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59FE3EBD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09B9CBE7" w14:textId="77777777" w:rsidR="00CE3C80" w:rsidRDefault="00CE3C80" w:rsidP="00CC678E">
            <w:pPr>
              <w:jc w:val="both"/>
            </w:pPr>
          </w:p>
        </w:tc>
      </w:tr>
      <w:tr w:rsidR="00CE3C80" w14:paraId="033BDE6C" w14:textId="77777777" w:rsidTr="00B338DB">
        <w:tc>
          <w:tcPr>
            <w:tcW w:w="1809" w:type="dxa"/>
          </w:tcPr>
          <w:p w14:paraId="46286C4F" w14:textId="77777777" w:rsidR="00CE3C80" w:rsidRDefault="00CE3C80" w:rsidP="00CC678E">
            <w:pPr>
              <w:jc w:val="both"/>
            </w:pPr>
          </w:p>
          <w:p w14:paraId="17CFECD7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1EBDBB4A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6FC6CEC9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38F7EB1B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1A034ED7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0BF45464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37564257" w14:textId="77777777" w:rsidR="00CE3C80" w:rsidRDefault="00CE3C80" w:rsidP="00CC678E">
            <w:pPr>
              <w:jc w:val="both"/>
            </w:pPr>
          </w:p>
        </w:tc>
      </w:tr>
      <w:tr w:rsidR="00CE3C80" w14:paraId="3546F6F1" w14:textId="77777777" w:rsidTr="00B338DB">
        <w:tc>
          <w:tcPr>
            <w:tcW w:w="1809" w:type="dxa"/>
          </w:tcPr>
          <w:p w14:paraId="2AD08E68" w14:textId="77777777" w:rsidR="00CE3C80" w:rsidRDefault="00CE3C80" w:rsidP="00CC678E">
            <w:pPr>
              <w:jc w:val="both"/>
            </w:pPr>
          </w:p>
          <w:p w14:paraId="1DF3F5F7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32FC877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4B2A5EDD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338611C3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96438A3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54DD940A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538520C5" w14:textId="77777777" w:rsidR="00CE3C80" w:rsidRDefault="00CE3C80" w:rsidP="00CC678E">
            <w:pPr>
              <w:jc w:val="both"/>
            </w:pPr>
          </w:p>
        </w:tc>
      </w:tr>
      <w:tr w:rsidR="00CE3C80" w14:paraId="7D47CBA4" w14:textId="77777777" w:rsidTr="00B338DB">
        <w:tc>
          <w:tcPr>
            <w:tcW w:w="1809" w:type="dxa"/>
          </w:tcPr>
          <w:p w14:paraId="7E7C3910" w14:textId="77777777" w:rsidR="00CE3C80" w:rsidRDefault="00CE3C80" w:rsidP="00CC678E">
            <w:pPr>
              <w:jc w:val="both"/>
            </w:pPr>
          </w:p>
          <w:p w14:paraId="7EA61FE2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462211B8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240E99FC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5F361FBA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A6C11D7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5EF534D4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7FF88D0B" w14:textId="77777777" w:rsidR="00CE3C80" w:rsidRDefault="00CE3C80" w:rsidP="00CC678E">
            <w:pPr>
              <w:jc w:val="both"/>
            </w:pPr>
          </w:p>
        </w:tc>
      </w:tr>
      <w:tr w:rsidR="00CE3C80" w14:paraId="4BDFB004" w14:textId="77777777" w:rsidTr="00B338DB">
        <w:tc>
          <w:tcPr>
            <w:tcW w:w="1809" w:type="dxa"/>
          </w:tcPr>
          <w:p w14:paraId="465C3B1A" w14:textId="77777777" w:rsidR="00CE3C80" w:rsidRDefault="00CE3C80" w:rsidP="00CC678E">
            <w:pPr>
              <w:jc w:val="both"/>
            </w:pPr>
          </w:p>
          <w:p w14:paraId="5B543D45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49BF5E53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4D928353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08C4D395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01F5B919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4ACAAFE0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5CC9FC44" w14:textId="77777777" w:rsidR="00CE3C80" w:rsidRDefault="00CE3C80" w:rsidP="00CC678E">
            <w:pPr>
              <w:jc w:val="both"/>
            </w:pPr>
          </w:p>
        </w:tc>
      </w:tr>
      <w:tr w:rsidR="00CE3C80" w14:paraId="78BF17C1" w14:textId="77777777" w:rsidTr="00B338DB">
        <w:tc>
          <w:tcPr>
            <w:tcW w:w="1809" w:type="dxa"/>
          </w:tcPr>
          <w:p w14:paraId="5F707832" w14:textId="77777777" w:rsidR="00CE3C80" w:rsidRDefault="00CE3C80" w:rsidP="00CC678E">
            <w:pPr>
              <w:jc w:val="both"/>
            </w:pPr>
          </w:p>
          <w:p w14:paraId="78C001D5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79134941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73EE2CA2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133343F5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0C2C048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3A575F6D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44F4A733" w14:textId="77777777" w:rsidR="00CE3C80" w:rsidRDefault="00CE3C80" w:rsidP="00CC678E">
            <w:pPr>
              <w:jc w:val="both"/>
            </w:pPr>
          </w:p>
        </w:tc>
      </w:tr>
      <w:tr w:rsidR="00CE3C80" w14:paraId="3FDA50C7" w14:textId="77777777" w:rsidTr="00B338DB">
        <w:tc>
          <w:tcPr>
            <w:tcW w:w="1809" w:type="dxa"/>
          </w:tcPr>
          <w:p w14:paraId="55FF4B36" w14:textId="77777777" w:rsidR="00CE3C80" w:rsidRDefault="00CE3C80" w:rsidP="00CC678E">
            <w:pPr>
              <w:jc w:val="both"/>
            </w:pPr>
          </w:p>
          <w:p w14:paraId="3DF53973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03A9BAA9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216A9C9E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12072E38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3884E57F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5D651A18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0AA6E636" w14:textId="77777777" w:rsidR="00CE3C80" w:rsidRDefault="00CE3C80" w:rsidP="00CC678E">
            <w:pPr>
              <w:jc w:val="both"/>
            </w:pPr>
          </w:p>
        </w:tc>
      </w:tr>
      <w:tr w:rsidR="00CE3C80" w14:paraId="725C6C9F" w14:textId="77777777" w:rsidTr="00B338DB">
        <w:tc>
          <w:tcPr>
            <w:tcW w:w="1809" w:type="dxa"/>
          </w:tcPr>
          <w:p w14:paraId="3559ADBF" w14:textId="77777777" w:rsidR="00CE3C80" w:rsidRDefault="00CE3C80" w:rsidP="00CC678E">
            <w:pPr>
              <w:jc w:val="both"/>
            </w:pPr>
          </w:p>
          <w:p w14:paraId="4C6B4EDB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4BBCF290" w14:textId="77777777" w:rsidR="00CE3C80" w:rsidRDefault="00CE3C80" w:rsidP="00CC678E">
            <w:pPr>
              <w:jc w:val="both"/>
            </w:pPr>
          </w:p>
        </w:tc>
        <w:tc>
          <w:tcPr>
            <w:tcW w:w="1418" w:type="dxa"/>
          </w:tcPr>
          <w:p w14:paraId="2AB25156" w14:textId="77777777" w:rsidR="00CE3C80" w:rsidRDefault="00CE3C80" w:rsidP="00CC678E">
            <w:pPr>
              <w:jc w:val="both"/>
            </w:pPr>
          </w:p>
        </w:tc>
        <w:tc>
          <w:tcPr>
            <w:tcW w:w="1275" w:type="dxa"/>
          </w:tcPr>
          <w:p w14:paraId="15E70D9D" w14:textId="77777777" w:rsidR="00CE3C80" w:rsidRDefault="00CE3C80" w:rsidP="00CC678E">
            <w:pPr>
              <w:jc w:val="both"/>
            </w:pPr>
          </w:p>
        </w:tc>
        <w:tc>
          <w:tcPr>
            <w:tcW w:w="1276" w:type="dxa"/>
          </w:tcPr>
          <w:p w14:paraId="5C01EA71" w14:textId="77777777" w:rsidR="00CE3C80" w:rsidRDefault="00CE3C80" w:rsidP="00CC678E">
            <w:pPr>
              <w:jc w:val="both"/>
            </w:pPr>
          </w:p>
        </w:tc>
        <w:tc>
          <w:tcPr>
            <w:tcW w:w="960" w:type="dxa"/>
          </w:tcPr>
          <w:p w14:paraId="508BE9E9" w14:textId="77777777" w:rsidR="00CE3C80" w:rsidRDefault="00CE3C80" w:rsidP="00CC678E">
            <w:pPr>
              <w:jc w:val="both"/>
            </w:pPr>
          </w:p>
        </w:tc>
        <w:tc>
          <w:tcPr>
            <w:tcW w:w="970" w:type="dxa"/>
          </w:tcPr>
          <w:p w14:paraId="229968F6" w14:textId="77777777" w:rsidR="00CE3C80" w:rsidRDefault="00CE3C80" w:rsidP="00CC678E">
            <w:pPr>
              <w:jc w:val="both"/>
            </w:pPr>
          </w:p>
        </w:tc>
      </w:tr>
    </w:tbl>
    <w:p w14:paraId="5EC005FF" w14:textId="77777777" w:rsidR="00CE3C80" w:rsidRDefault="00CE3C80" w:rsidP="00CC678E">
      <w:pPr>
        <w:jc w:val="both"/>
      </w:pPr>
    </w:p>
    <w:p w14:paraId="07B2F9C2" w14:textId="77777777" w:rsidR="00CE3C80" w:rsidRDefault="00CE3C80" w:rsidP="00CC678E">
      <w:pPr>
        <w:jc w:val="both"/>
      </w:pPr>
      <w:r>
        <w:t>Druh mzdy – úkolová, časová – hodinová, měsíční.</w:t>
      </w:r>
    </w:p>
    <w:p w14:paraId="78242D16" w14:textId="77777777" w:rsidR="00CE3C80" w:rsidRDefault="00CE3C80" w:rsidP="00CC678E">
      <w:pPr>
        <w:jc w:val="both"/>
      </w:pPr>
      <w:r>
        <w:t>Pracovní poměr – hlavní, vedlejší; dohody – o pracovní činnosti, o provedení práce.</w:t>
      </w:r>
    </w:p>
    <w:p w14:paraId="1EE2AC3D" w14:textId="77777777" w:rsidR="00CE3C80" w:rsidRDefault="00CE3C80" w:rsidP="00CC678E">
      <w:pPr>
        <w:jc w:val="both"/>
      </w:pPr>
      <w:r>
        <w:t>Úvazek – počet dnů a hodin v týdnu.</w:t>
      </w:r>
    </w:p>
    <w:p w14:paraId="78F674C0" w14:textId="77777777" w:rsidR="00CE3C80" w:rsidRDefault="00CE3C80" w:rsidP="00CC678E">
      <w:pPr>
        <w:jc w:val="both"/>
      </w:pPr>
      <w:r>
        <w:t>Zdravotní pojišťovna – název existující zdravotní pojišťovny.</w:t>
      </w:r>
    </w:p>
    <w:p w14:paraId="21E9ECBA" w14:textId="77777777" w:rsidR="00CE3C80" w:rsidRDefault="00CE3C80" w:rsidP="00CC678E">
      <w:pPr>
        <w:jc w:val="both"/>
      </w:pPr>
      <w:r>
        <w:t xml:space="preserve">Doplňující údaje – uplatňování </w:t>
      </w:r>
      <w:r w:rsidR="00791473">
        <w:t>slev na dani, srážky ze mzdy,</w:t>
      </w:r>
      <w:r>
        <w:t xml:space="preserve"> pobírání důchodu apod.</w:t>
      </w:r>
    </w:p>
    <w:p w14:paraId="262B6288" w14:textId="77777777" w:rsidR="00CE3C80" w:rsidRDefault="00CE3C80" w:rsidP="00CC678E">
      <w:pPr>
        <w:jc w:val="both"/>
      </w:pPr>
    </w:p>
    <w:p w14:paraId="696FAF67" w14:textId="77777777" w:rsidR="00CE3C80" w:rsidRDefault="00CE3C80" w:rsidP="00CC678E">
      <w:pPr>
        <w:jc w:val="both"/>
      </w:pPr>
    </w:p>
    <w:p w14:paraId="308CA5ED" w14:textId="77777777" w:rsidR="00911878" w:rsidRDefault="00911878" w:rsidP="00CC678E">
      <w:pPr>
        <w:jc w:val="both"/>
      </w:pPr>
    </w:p>
    <w:sectPr w:rsidR="0091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4E4"/>
    <w:multiLevelType w:val="hybridMultilevel"/>
    <w:tmpl w:val="B0461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081"/>
    <w:multiLevelType w:val="hybridMultilevel"/>
    <w:tmpl w:val="05A87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4A00"/>
    <w:multiLevelType w:val="hybridMultilevel"/>
    <w:tmpl w:val="C0D645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276A"/>
    <w:multiLevelType w:val="hybridMultilevel"/>
    <w:tmpl w:val="7F627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7E34"/>
    <w:multiLevelType w:val="hybridMultilevel"/>
    <w:tmpl w:val="CDA6E9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1241591">
    <w:abstractNumId w:val="4"/>
  </w:num>
  <w:num w:numId="2" w16cid:durableId="2110080416">
    <w:abstractNumId w:val="2"/>
  </w:num>
  <w:num w:numId="3" w16cid:durableId="1694067721">
    <w:abstractNumId w:val="0"/>
  </w:num>
  <w:num w:numId="4" w16cid:durableId="1452819870">
    <w:abstractNumId w:val="3"/>
  </w:num>
  <w:num w:numId="5" w16cid:durableId="90337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80"/>
    <w:rsid w:val="003B59B3"/>
    <w:rsid w:val="00791473"/>
    <w:rsid w:val="008C0AB5"/>
    <w:rsid w:val="00911878"/>
    <w:rsid w:val="00A31B29"/>
    <w:rsid w:val="00A5451E"/>
    <w:rsid w:val="00A67984"/>
    <w:rsid w:val="00B338DB"/>
    <w:rsid w:val="00CC678E"/>
    <w:rsid w:val="00CE3C80"/>
    <w:rsid w:val="00F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1090"/>
  <w15:docId w15:val="{037E758B-46C2-442C-B8E0-F8732887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C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krizovaz</dc:creator>
  <cp:keywords/>
  <cp:lastModifiedBy>Vladimíra Hvozdenská</cp:lastModifiedBy>
  <cp:revision>4</cp:revision>
  <dcterms:created xsi:type="dcterms:W3CDTF">2022-02-23T22:10:00Z</dcterms:created>
  <dcterms:modified xsi:type="dcterms:W3CDTF">2024-02-18T13:29:00Z</dcterms:modified>
</cp:coreProperties>
</file>