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EE95A"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0DA40F2D" wp14:editId="69E6E44C">
                <wp:extent cx="4572000" cy="1404620"/>
                <wp:effectExtent l="0" t="0" r="0" b="0"/>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75E7069D"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511848DD" wp14:editId="2BB025E5">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3AF5A61A" w14:textId="77777777" w:rsidR="00832CB3" w:rsidRDefault="009D3C27" w:rsidP="00832CB3">
                            <w:pPr>
                              <w:pStyle w:val="ZPTitulkafakulta"/>
                            </w:pPr>
                            <w:r>
                              <w:t>Ekonomicko-správní fakulta</w:t>
                            </w:r>
                          </w:p>
                          <w:p w14:paraId="7CF21107" w14:textId="3AB8AE61" w:rsidR="00832CB3" w:rsidRDefault="00000000"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rsidR="009B21B9" w:rsidRPr="00E47DE3">
                                  <w:t>Finanční analýza podniku S</w:t>
                                </w:r>
                                <w:r w:rsidR="00A4769B" w:rsidRPr="00E47DE3">
                                  <w:t>&amp;K Label</w:t>
                                </w:r>
                              </w:sdtContent>
                            </w:sdt>
                          </w:p>
                        </w:txbxContent>
                      </wps:txbx>
                      <wps:bodyPr rot="0" vert="horz" wrap="square" lIns="91440" tIns="45720" rIns="91440" bIns="45720" anchor="t" anchorCtr="0">
                        <a:spAutoFit/>
                      </wps:bodyPr>
                    </wps:wsp>
                  </a:graphicData>
                </a:graphic>
              </wp:inline>
            </w:drawing>
          </mc:Choice>
          <mc:Fallback>
            <w:pict>
              <v:shapetype w14:anchorId="0DA40F2D" id="_x0000_t202" coordsize="21600,21600" o:spt="202" path="m,l,21600r21600,l21600,xe">
                <v:stroke joinstyle="miter"/>
                <v:path gradientshapeok="t" o:connecttype="rect"/>
              </v:shapetype>
              <v:shape id="Textové pole 4"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" stroked="f">
                <v:textbox style="mso-fit-shape-to-text:t">
                  <w:txbxContent>
                    <w:p w14:paraId="75E7069D"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511848DD" wp14:editId="2BB025E5">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3AF5A61A" w14:textId="77777777" w:rsidR="00832CB3" w:rsidRDefault="009D3C27" w:rsidP="00832CB3">
                      <w:pPr>
                        <w:pStyle w:val="ZPTitulkafakulta"/>
                      </w:pPr>
                      <w:r>
                        <w:t>Ekonomicko-správní fakulta</w:t>
                      </w:r>
                    </w:p>
                    <w:p w14:paraId="7CF21107" w14:textId="3AB8AE61" w:rsidR="00832CB3" w:rsidRDefault="00000000"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rsidR="009B21B9" w:rsidRPr="00E47DE3">
                            <w:t>Finanční analýza podniku S</w:t>
                          </w:r>
                          <w:r w:rsidR="00A4769B" w:rsidRPr="00E47DE3">
                            <w:t>&amp;K Label</w:t>
                          </w:r>
                        </w:sdtContent>
                      </w:sdt>
                    </w:p>
                  </w:txbxContent>
                </v:textbox>
                <w10:anchorlock/>
              </v:shape>
            </w:pict>
          </mc:Fallback>
        </mc:AlternateContent>
      </w:r>
    </w:p>
    <w:p w14:paraId="6B1AF3AA" w14:textId="086CB3B7" w:rsidR="00832CB3" w:rsidRPr="00746487" w:rsidRDefault="00832CB3" w:rsidP="00832CB3">
      <w:pPr>
        <w:pStyle w:val="ZPTitulkahlavn"/>
      </w:pPr>
    </w:p>
    <w:p w14:paraId="770DC1FE" w14:textId="77777777" w:rsidR="00832CB3" w:rsidRPr="00746487" w:rsidRDefault="00832CB3" w:rsidP="00704143">
      <w:pPr>
        <w:pStyle w:val="ZPTitulkadra"/>
      </w:pPr>
    </w:p>
    <w:p w14:paraId="65D827DB" w14:textId="202128A9" w:rsidR="00B75A1B" w:rsidRPr="00746487" w:rsidRDefault="00B75A1B" w:rsidP="00704143">
      <w:pPr>
        <w:pStyle w:val="ZPPatatitulnstrnky"/>
        <w:keepNext w:val="0"/>
        <w:keepLines w:val="0"/>
        <w:widowControl w:val="0"/>
      </w:pPr>
    </w:p>
    <w:p w14:paraId="307DDCB1" w14:textId="07519621" w:rsidR="00825B26" w:rsidRPr="00746487" w:rsidRDefault="00DD5A2A" w:rsidP="00832CB3">
      <w:pPr>
        <w:pStyle w:val="ZPTitulkarok"/>
        <w:sectPr w:rsidR="00825B26" w:rsidRPr="00746487" w:rsidSect="009D3C27">
          <w:headerReference w:type="even" r:id="rId12"/>
          <w:footerReference w:type="even" r:id="rId13"/>
          <w:pgSz w:w="11906" w:h="16838" w:code="9"/>
          <w:pgMar w:top="2380" w:right="2020" w:bottom="2380" w:left="2020" w:header="1900" w:footer="1280" w:gutter="500"/>
          <w:cols w:space="708"/>
          <w:vAlign w:val="both"/>
          <w:docGrid w:linePitch="360"/>
        </w:sectPr>
      </w:pPr>
      <w:r w:rsidRPr="00746487">
        <w:t>Brno</w:t>
      </w:r>
      <w:r w:rsidR="007468F6" w:rsidRPr="00746487">
        <w:t xml:space="preserve"> </w:t>
      </w:r>
      <w:bookmarkStart w:id="0" w:name="ROK_ODEVZDANI"/>
      <w:sdt>
        <w:sdtPr>
          <w:alias w:val="Rok odevzdání"/>
          <w:tag w:val="ROK_ODEVZDANI"/>
          <w:id w:val="-513071692"/>
          <w:placeholder>
            <w:docPart w:val="A71D21A822A747CF89D0619D3F3669AA"/>
          </w:placeholder>
          <w:text/>
        </w:sdtPr>
        <w:sdtContent>
          <w:r w:rsidR="00A4769B">
            <w:t>2023</w:t>
          </w:r>
        </w:sdtContent>
      </w:sdt>
      <w:bookmarkEnd w:id="0"/>
      <w:r w:rsidR="00194596">
        <w:t xml:space="preserve">  </w:t>
      </w:r>
    </w:p>
    <w:p w14:paraId="67884DDC" w14:textId="13ADD5E5" w:rsidR="00E5465E" w:rsidRPr="00746487" w:rsidRDefault="00E5465E" w:rsidP="00F343E4">
      <w:pPr>
        <w:pStyle w:val="ZPTitulkadra"/>
      </w:pPr>
    </w:p>
    <w:p w14:paraId="731FEFC6" w14:textId="77777777" w:rsidR="004932BC" w:rsidRPr="00746487" w:rsidRDefault="009D3C27" w:rsidP="004932BC">
      <w:pPr>
        <w:pStyle w:val="inZPKlovslova"/>
        <w:jc w:val="center"/>
      </w:pPr>
      <w:r>
        <w:rPr>
          <w:noProof/>
        </w:rPr>
        <w:drawing>
          <wp:inline distT="0" distB="0" distL="0" distR="0" wp14:anchorId="75D8B989" wp14:editId="1652A419">
            <wp:extent cx="1151467" cy="778933"/>
            <wp:effectExtent l="0" t="0" r="0" b="254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51467" cy="778933"/>
                    </a:xfrm>
                    <a:prstGeom prst="rect">
                      <a:avLst/>
                    </a:prstGeom>
                  </pic:spPr>
                </pic:pic>
              </a:graphicData>
            </a:graphic>
          </wp:inline>
        </w:drawing>
      </w:r>
    </w:p>
    <w:p w14:paraId="2B3E6CA0" w14:textId="77777777" w:rsidR="00E5465E" w:rsidRPr="00746487" w:rsidRDefault="00E5465E" w:rsidP="00F343E4">
      <w:pPr>
        <w:pStyle w:val="ZPTitulkadra"/>
      </w:pPr>
    </w:p>
    <w:p w14:paraId="312A7532" w14:textId="77777777" w:rsidR="002C0686" w:rsidRPr="00746487" w:rsidRDefault="002C0686" w:rsidP="007C294D">
      <w:pPr>
        <w:pStyle w:val="inZPKlovslova"/>
        <w:sectPr w:rsidR="002C0686" w:rsidRPr="00746487" w:rsidSect="009D3C27">
          <w:headerReference w:type="default" r:id="rId15"/>
          <w:footerReference w:type="even" r:id="rId16"/>
          <w:footerReference w:type="default" r:id="rId17"/>
          <w:type w:val="evenPage"/>
          <w:pgSz w:w="11906" w:h="16838" w:code="9"/>
          <w:pgMar w:top="2380" w:right="2020" w:bottom="2380" w:left="2020" w:header="1900" w:footer="1280" w:gutter="500"/>
          <w:cols w:space="708"/>
          <w:docGrid w:linePitch="360"/>
        </w:sectPr>
      </w:pPr>
    </w:p>
    <w:p w14:paraId="44DED688" w14:textId="77777777" w:rsidR="006613D4" w:rsidRPr="00746487" w:rsidRDefault="006613D4" w:rsidP="00CE1A04">
      <w:pPr>
        <w:pStyle w:val="ZPNadpis1vodn"/>
      </w:pPr>
      <w:r w:rsidRPr="00746487">
        <w:lastRenderedPageBreak/>
        <w:t>Čestné prohlášení</w:t>
      </w:r>
    </w:p>
    <w:p w14:paraId="33D8F14E" w14:textId="7F6D4AF1" w:rsidR="009D3C27" w:rsidRDefault="009D3C27" w:rsidP="00A65BB4">
      <w:r w:rsidRPr="00167632">
        <w:t>Prohlašuj</w:t>
      </w:r>
      <w:r w:rsidR="00C0338B">
        <w:t>eme</w:t>
      </w:r>
      <w:r w:rsidRPr="00167632">
        <w:t>, že js</w:t>
      </w:r>
      <w:r w:rsidR="001541B2">
        <w:t>me</w:t>
      </w:r>
      <w:r w:rsidRPr="00167632">
        <w:t xml:space="preserve"> </w:t>
      </w:r>
      <w:r w:rsidR="001541B2">
        <w:t>tuto seminární práci</w:t>
      </w:r>
      <w:r w:rsidRPr="00167632">
        <w:t xml:space="preserve"> na téma </w:t>
      </w:r>
      <w:sdt>
        <w:sdtPr>
          <w:alias w:val="Název"/>
          <w:tag w:val=""/>
          <w:id w:val="-991870310"/>
          <w:placeholder>
            <w:docPart w:val="BA7543F43B8C4E398DC4208E7618844E"/>
          </w:placeholder>
          <w:dataBinding w:prefixMappings="xmlns:ns0='http://purl.org/dc/elements/1.1/' xmlns:ns1='http://schemas.openxmlformats.org/package/2006/metadata/core-properties' " w:xpath="/ns1:coreProperties[1]/ns0:title[1]" w:storeItemID="{6C3C8BC8-F283-45AE-878A-BAB7291924A1}"/>
          <w:text/>
        </w:sdtPr>
        <w:sdtContent>
          <w:r w:rsidR="00A4769B">
            <w:t>Finanční analýza podniku S&amp;K Label</w:t>
          </w:r>
        </w:sdtContent>
      </w:sdt>
      <w:r>
        <w:t xml:space="preserve"> </w:t>
      </w:r>
      <w:sdt>
        <w:sdtPr>
          <w:id w:val="-542056811"/>
          <w:placeholder>
            <w:docPart w:val="C2CC473D7E64436F923109795C9B7603"/>
          </w:placeholder>
          <w:dropDownList>
            <w:listItem w:value="Vyberte podle rodu"/>
            <w:listItem w:displayText="vypracoval" w:value="vypracoval"/>
            <w:listItem w:displayText="vypracovala" w:value="vypracovala"/>
          </w:dropDownList>
        </w:sdtPr>
        <w:sdtContent>
          <w:r w:rsidR="0020697F">
            <w:t>vypracoval</w:t>
          </w:r>
        </w:sdtContent>
      </w:sdt>
      <w:r w:rsidR="0020697F">
        <w:t>y</w:t>
      </w:r>
      <w:r w:rsidRPr="00167632">
        <w:t xml:space="preserve"> </w:t>
      </w:r>
      <w:r>
        <w:t>sa</w:t>
      </w:r>
      <w:r w:rsidRPr="00167632">
        <w:t xml:space="preserve">mostatně a </w:t>
      </w:r>
      <w:r w:rsidR="0020697F">
        <w:t>uvedly</w:t>
      </w:r>
      <w:r w:rsidRPr="00167632">
        <w:t xml:space="preserve"> </w:t>
      </w:r>
      <w:r>
        <w:t>v ní všechny použité lite</w:t>
      </w:r>
      <w:r w:rsidRPr="00167632">
        <w:t>rární a</w:t>
      </w:r>
      <w:r>
        <w:t> </w:t>
      </w:r>
      <w:r w:rsidRPr="00167632">
        <w:t>jiné odborné zdroje v</w:t>
      </w:r>
      <w:r>
        <w:t> </w:t>
      </w:r>
      <w:r w:rsidRPr="00167632">
        <w:t>souladu s</w:t>
      </w:r>
      <w:r>
        <w:t> </w:t>
      </w:r>
      <w:r w:rsidRPr="00167632">
        <w:t>právními předpisy, vnitřními p</w:t>
      </w:r>
      <w:r>
        <w:t>ředpisy Masary</w:t>
      </w:r>
      <w:r w:rsidRPr="00167632">
        <w:t>kovy uni</w:t>
      </w:r>
      <w:r>
        <w:t>verzity a </w:t>
      </w:r>
      <w:r w:rsidRPr="00167632">
        <w:t>vnitřními akty řízení Masarykovy univerzity a Ekonomicko-správní fakulty MU.</w:t>
      </w:r>
    </w:p>
    <w:p w14:paraId="61771C56" w14:textId="440CAF16" w:rsidR="00FF3438" w:rsidRPr="00746487" w:rsidRDefault="00F40517" w:rsidP="00485E98">
      <w:pPr>
        <w:pStyle w:val="inZPPodpisprohlen"/>
        <w:spacing w:before="600"/>
        <w:sectPr w:rsidR="00FF3438" w:rsidRPr="00746487" w:rsidSect="009D3C27">
          <w:type w:val="oddPage"/>
          <w:pgSz w:w="11906" w:h="16838" w:code="9"/>
          <w:pgMar w:top="2380" w:right="2020" w:bottom="2380" w:left="2020" w:header="1900" w:footer="1280" w:gutter="500"/>
          <w:cols w:space="708"/>
          <w:vAlign w:val="bottom"/>
          <w:docGrid w:linePitch="360"/>
        </w:sectPr>
      </w:pPr>
      <w:r w:rsidRPr="00746487">
        <w:t xml:space="preserve">V Brně </w:t>
      </w:r>
      <w:sdt>
        <w:sdtPr>
          <w:tag w:val="DATUM"/>
          <w:id w:val="541563648"/>
          <w:placeholder>
            <w:docPart w:val="4CFF21B2AC1D42ECB48B9A0FFF8BBAAA"/>
          </w:placeholder>
          <w:date w:fullDate="2023-02-27T00:00:00Z">
            <w:dateFormat w:val="d. MMMM yyyy"/>
            <w:lid w:val="cs-CZ"/>
            <w:storeMappedDataAs w:val="dateTime"/>
            <w:calendar w:val="gregorian"/>
          </w:date>
        </w:sdtPr>
        <w:sdtContent>
          <w:r w:rsidR="004046BD">
            <w:t>27. února 2023</w:t>
          </w:r>
        </w:sdtContent>
      </w:sdt>
      <w:r w:rsidR="00581933" w:rsidRPr="00746487">
        <w:tab/>
      </w:r>
      <w:r w:rsidR="00FF3438" w:rsidRPr="00746487">
        <w:t>.......................................</w:t>
      </w:r>
      <w:r w:rsidR="00581933" w:rsidRPr="00746487">
        <w:tab/>
      </w:r>
      <w:sdt>
        <w:sdtPr>
          <w:alias w:val="Autor"/>
          <w:tag w:val=""/>
          <w:id w:val="-1420636599"/>
          <w:placeholder>
            <w:docPart w:val="450D929C76FE462A8343E7AF0A36BC6C"/>
          </w:placeholder>
          <w:dataBinding w:prefixMappings="xmlns:ns0='http://purl.org/dc/elements/1.1/' xmlns:ns1='http://schemas.openxmlformats.org/package/2006/metadata/core-properties' " w:xpath="/ns1:coreProperties[1]/ns0:creator[1]" w:storeItemID="{6C3C8BC8-F283-45AE-878A-BAB7291924A1}"/>
          <w:text/>
        </w:sdtPr>
        <w:sdtContent>
          <w:r w:rsidR="00853640">
            <w:t>Viliam Záthurecký</w:t>
          </w:r>
        </w:sdtContent>
      </w:sdt>
    </w:p>
    <w:p w14:paraId="4D3C867A" w14:textId="77777777" w:rsidR="00E76694" w:rsidRPr="00746487" w:rsidRDefault="00F44C00" w:rsidP="002E640F">
      <w:pPr>
        <w:pStyle w:val="ZPNadpis1vodn"/>
      </w:pPr>
      <w:r w:rsidRPr="00746487">
        <w:lastRenderedPageBreak/>
        <w:t>Obsah</w:t>
      </w:r>
    </w:p>
    <w:p w14:paraId="551CA567" w14:textId="77BEE067" w:rsidR="006F16A7" w:rsidRDefault="00825A03">
      <w:pPr>
        <w:pStyle w:val="Obsah1"/>
        <w:rPr>
          <w:rFonts w:asciiTheme="minorHAnsi" w:eastAsiaTheme="minorEastAsia" w:hAnsiTheme="minorHAnsi" w:cstheme="minorBidi"/>
          <w:b w:val="0"/>
          <w:color w:val="auto"/>
          <w:sz w:val="22"/>
          <w:szCs w:val="22"/>
        </w:rPr>
      </w:pPr>
      <w:r w:rsidRPr="00746487">
        <w:rPr>
          <w:rFonts w:ascii="Arial" w:hAnsi="Arial"/>
          <w:bCs/>
          <w:noProof w:val="0"/>
        </w:rPr>
        <w:fldChar w:fldCharType="begin"/>
      </w:r>
      <w:r w:rsidRPr="00746487">
        <w:rPr>
          <w:noProof w:val="0"/>
        </w:rPr>
        <w:instrText xml:space="preserve"> TOC \o "1-</w:instrText>
      </w:r>
      <w:r w:rsidR="004E0F2F">
        <w:rPr>
          <w:noProof w:val="0"/>
        </w:rPr>
        <w:instrText>2</w:instrText>
      </w:r>
      <w:r w:rsidRPr="00746487">
        <w:rPr>
          <w:noProof w:val="0"/>
        </w:rPr>
        <w:instrText xml:space="preserve">" </w:instrText>
      </w:r>
      <w:r w:rsidRPr="00746487">
        <w:rPr>
          <w:rFonts w:ascii="Arial" w:hAnsi="Arial"/>
          <w:bCs/>
          <w:noProof w:val="0"/>
        </w:rPr>
        <w:fldChar w:fldCharType="separate"/>
      </w:r>
      <w:r w:rsidR="006F16A7">
        <w:t>Seznam tabulek</w:t>
      </w:r>
      <w:r w:rsidR="006F16A7">
        <w:tab/>
      </w:r>
      <w:r w:rsidR="006F16A7">
        <w:fldChar w:fldCharType="begin"/>
      </w:r>
      <w:r w:rsidR="006F16A7">
        <w:instrText xml:space="preserve"> PAGEREF _Toc132567243 \h </w:instrText>
      </w:r>
      <w:r w:rsidR="006F16A7">
        <w:fldChar w:fldCharType="separate"/>
      </w:r>
      <w:r w:rsidR="006F16A7">
        <w:t>7</w:t>
      </w:r>
      <w:r w:rsidR="006F16A7">
        <w:fldChar w:fldCharType="end"/>
      </w:r>
    </w:p>
    <w:p w14:paraId="47024FD6" w14:textId="04D0CF17" w:rsidR="006F16A7" w:rsidRDefault="006F16A7">
      <w:pPr>
        <w:pStyle w:val="Obsah1"/>
        <w:rPr>
          <w:rFonts w:asciiTheme="minorHAnsi" w:eastAsiaTheme="minorEastAsia" w:hAnsiTheme="minorHAnsi" w:cstheme="minorBidi"/>
          <w:b w:val="0"/>
          <w:color w:val="auto"/>
          <w:sz w:val="22"/>
          <w:szCs w:val="22"/>
        </w:rPr>
      </w:pPr>
      <w:r>
        <w:t>Seznam grafů</w:t>
      </w:r>
      <w:r>
        <w:tab/>
      </w:r>
      <w:r>
        <w:fldChar w:fldCharType="begin"/>
      </w:r>
      <w:r>
        <w:instrText xml:space="preserve"> PAGEREF _Toc132567244 \h </w:instrText>
      </w:r>
      <w:r>
        <w:fldChar w:fldCharType="separate"/>
      </w:r>
      <w:r>
        <w:t>8</w:t>
      </w:r>
      <w:r>
        <w:fldChar w:fldCharType="end"/>
      </w:r>
    </w:p>
    <w:p w14:paraId="3EBDA267" w14:textId="25DE6917" w:rsidR="006F16A7" w:rsidRDefault="006F16A7">
      <w:pPr>
        <w:pStyle w:val="Obsah1"/>
        <w:rPr>
          <w:rFonts w:asciiTheme="minorHAnsi" w:eastAsiaTheme="minorEastAsia" w:hAnsiTheme="minorHAnsi" w:cstheme="minorBidi"/>
          <w:b w:val="0"/>
          <w:color w:val="auto"/>
          <w:sz w:val="22"/>
          <w:szCs w:val="22"/>
        </w:rPr>
      </w:pPr>
      <w:r w:rsidRPr="006F16A7">
        <w:rPr>
          <w:rFonts w:asciiTheme="majorHAnsi" w:hAnsiTheme="majorHAnsi" w:cstheme="majorHAnsi"/>
        </w:rPr>
        <w:t>1</w:t>
      </w:r>
      <w:r>
        <w:rPr>
          <w:rFonts w:asciiTheme="minorHAnsi" w:eastAsiaTheme="minorEastAsia" w:hAnsiTheme="minorHAnsi" w:cstheme="minorBidi"/>
          <w:b w:val="0"/>
          <w:color w:val="auto"/>
          <w:sz w:val="22"/>
          <w:szCs w:val="22"/>
        </w:rPr>
        <w:tab/>
      </w:r>
      <w:r>
        <w:t>Typologie podniku S</w:t>
      </w:r>
      <w:r w:rsidRPr="006F16A7">
        <w:t>&amp;K Label</w:t>
      </w:r>
      <w:r>
        <w:tab/>
      </w:r>
      <w:r>
        <w:fldChar w:fldCharType="begin"/>
      </w:r>
      <w:r>
        <w:instrText xml:space="preserve"> PAGEREF _Toc132567245 \h </w:instrText>
      </w:r>
      <w:r>
        <w:fldChar w:fldCharType="separate"/>
      </w:r>
      <w:r>
        <w:t>9</w:t>
      </w:r>
      <w:r>
        <w:fldChar w:fldCharType="end"/>
      </w:r>
    </w:p>
    <w:p w14:paraId="0C0C2535" w14:textId="66271600" w:rsidR="006F16A7" w:rsidRDefault="006F16A7">
      <w:pPr>
        <w:pStyle w:val="Obsah2"/>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Historie</w:t>
      </w:r>
      <w:r>
        <w:tab/>
      </w:r>
      <w:r>
        <w:fldChar w:fldCharType="begin"/>
      </w:r>
      <w:r>
        <w:instrText xml:space="preserve"> PAGEREF _Toc132567246 \h </w:instrText>
      </w:r>
      <w:r>
        <w:fldChar w:fldCharType="separate"/>
      </w:r>
      <w:r>
        <w:t>9</w:t>
      </w:r>
      <w:r>
        <w:fldChar w:fldCharType="end"/>
      </w:r>
    </w:p>
    <w:p w14:paraId="48FC2949" w14:textId="5E17ED04" w:rsidR="006F16A7" w:rsidRDefault="006F16A7">
      <w:pPr>
        <w:pStyle w:val="Obsah2"/>
        <w:rPr>
          <w:rFonts w:asciiTheme="minorHAnsi" w:eastAsiaTheme="minorEastAsia" w:hAnsiTheme="minorHAnsi" w:cstheme="minorBidi"/>
          <w:iCs w:val="0"/>
          <w:sz w:val="22"/>
          <w:szCs w:val="22"/>
        </w:rPr>
      </w:pPr>
      <w:r>
        <w:t>1.2</w:t>
      </w:r>
      <w:r>
        <w:rPr>
          <w:rFonts w:asciiTheme="minorHAnsi" w:eastAsiaTheme="minorEastAsia" w:hAnsiTheme="minorHAnsi" w:cstheme="minorBidi"/>
          <w:iCs w:val="0"/>
          <w:sz w:val="22"/>
          <w:szCs w:val="22"/>
        </w:rPr>
        <w:tab/>
      </w:r>
      <w:r>
        <w:t>Základní typologické znaky</w:t>
      </w:r>
      <w:r>
        <w:tab/>
      </w:r>
      <w:r>
        <w:fldChar w:fldCharType="begin"/>
      </w:r>
      <w:r>
        <w:instrText xml:space="preserve"> PAGEREF _Toc132567247 \h </w:instrText>
      </w:r>
      <w:r>
        <w:fldChar w:fldCharType="separate"/>
      </w:r>
      <w:r>
        <w:t>10</w:t>
      </w:r>
      <w:r>
        <w:fldChar w:fldCharType="end"/>
      </w:r>
    </w:p>
    <w:p w14:paraId="0CC8B6DB" w14:textId="1C8E105E" w:rsidR="006F16A7" w:rsidRDefault="006F16A7">
      <w:pPr>
        <w:pStyle w:val="Obsah1"/>
        <w:rPr>
          <w:rFonts w:asciiTheme="minorHAnsi" w:eastAsiaTheme="minorEastAsia" w:hAnsiTheme="minorHAnsi" w:cstheme="minorBidi"/>
          <w:b w:val="0"/>
          <w:color w:val="auto"/>
          <w:sz w:val="22"/>
          <w:szCs w:val="22"/>
        </w:rPr>
      </w:pPr>
      <w:r w:rsidRPr="00EA393B">
        <w:rPr>
          <w:rFonts w:ascii="Times New Roman" w:hAnsi="Times New Roman"/>
        </w:rPr>
        <w:t>2</w:t>
      </w:r>
      <w:r>
        <w:rPr>
          <w:rFonts w:asciiTheme="minorHAnsi" w:eastAsiaTheme="minorEastAsia" w:hAnsiTheme="minorHAnsi" w:cstheme="minorBidi"/>
          <w:b w:val="0"/>
          <w:color w:val="auto"/>
          <w:sz w:val="22"/>
          <w:szCs w:val="22"/>
        </w:rPr>
        <w:tab/>
      </w:r>
      <w:r>
        <w:t>Strategická analýza</w:t>
      </w:r>
      <w:r>
        <w:tab/>
      </w:r>
      <w:r>
        <w:fldChar w:fldCharType="begin"/>
      </w:r>
      <w:r>
        <w:instrText xml:space="preserve"> PAGEREF _Toc132567248 \h </w:instrText>
      </w:r>
      <w:r>
        <w:fldChar w:fldCharType="separate"/>
      </w:r>
      <w:r>
        <w:t>12</w:t>
      </w:r>
      <w:r>
        <w:fldChar w:fldCharType="end"/>
      </w:r>
    </w:p>
    <w:p w14:paraId="0B1BA12A" w14:textId="1267926F" w:rsidR="006F16A7" w:rsidRDefault="006F16A7">
      <w:pPr>
        <w:pStyle w:val="Obsah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PEST analýza</w:t>
      </w:r>
      <w:r>
        <w:tab/>
      </w:r>
      <w:r>
        <w:fldChar w:fldCharType="begin"/>
      </w:r>
      <w:r>
        <w:instrText xml:space="preserve"> PAGEREF _Toc132567249 \h </w:instrText>
      </w:r>
      <w:r>
        <w:fldChar w:fldCharType="separate"/>
      </w:r>
      <w:r>
        <w:t>12</w:t>
      </w:r>
      <w:r>
        <w:fldChar w:fldCharType="end"/>
      </w:r>
    </w:p>
    <w:p w14:paraId="3E02852D" w14:textId="7F22D363" w:rsidR="006F16A7" w:rsidRDefault="006F16A7">
      <w:pPr>
        <w:pStyle w:val="Obsah2"/>
        <w:rPr>
          <w:rFonts w:asciiTheme="minorHAnsi" w:eastAsiaTheme="minorEastAsia" w:hAnsiTheme="minorHAnsi" w:cstheme="minorBidi"/>
          <w:iCs w:val="0"/>
          <w:sz w:val="22"/>
          <w:szCs w:val="22"/>
        </w:rPr>
      </w:pPr>
      <w:r w:rsidRPr="00EA393B">
        <w:rPr>
          <w:rFonts w:ascii="Times New Roman" w:hAnsi="Times New Roman"/>
        </w:rPr>
        <w:t>2.2</w:t>
      </w:r>
      <w:r>
        <w:rPr>
          <w:rFonts w:asciiTheme="minorHAnsi" w:eastAsiaTheme="minorEastAsia" w:hAnsiTheme="minorHAnsi" w:cstheme="minorBidi"/>
          <w:iCs w:val="0"/>
          <w:sz w:val="22"/>
          <w:szCs w:val="22"/>
        </w:rPr>
        <w:tab/>
      </w:r>
      <w:r>
        <w:t>Porterova analýza pěti sil</w:t>
      </w:r>
      <w:r>
        <w:tab/>
      </w:r>
      <w:r>
        <w:fldChar w:fldCharType="begin"/>
      </w:r>
      <w:r>
        <w:instrText xml:space="preserve"> PAGEREF _Toc132567250 \h </w:instrText>
      </w:r>
      <w:r>
        <w:fldChar w:fldCharType="separate"/>
      </w:r>
      <w:r>
        <w:t>15</w:t>
      </w:r>
      <w:r>
        <w:fldChar w:fldCharType="end"/>
      </w:r>
    </w:p>
    <w:p w14:paraId="01BBDCAE" w14:textId="1C11C978" w:rsidR="006F16A7" w:rsidRDefault="006F16A7">
      <w:pPr>
        <w:pStyle w:val="Obsah1"/>
        <w:rPr>
          <w:rFonts w:asciiTheme="minorHAnsi" w:eastAsiaTheme="minorEastAsia" w:hAnsiTheme="minorHAnsi" w:cstheme="minorBidi"/>
          <w:b w:val="0"/>
          <w:color w:val="auto"/>
          <w:sz w:val="22"/>
          <w:szCs w:val="22"/>
        </w:rPr>
      </w:pPr>
      <w:r>
        <w:t>3</w:t>
      </w:r>
      <w:r>
        <w:rPr>
          <w:rFonts w:asciiTheme="minorHAnsi" w:eastAsiaTheme="minorEastAsia" w:hAnsiTheme="minorHAnsi" w:cstheme="minorBidi"/>
          <w:b w:val="0"/>
          <w:color w:val="auto"/>
          <w:sz w:val="22"/>
          <w:szCs w:val="22"/>
        </w:rPr>
        <w:tab/>
      </w:r>
      <w:r>
        <w:t>Vertikální a horizontální analýza podniku</w:t>
      </w:r>
      <w:r>
        <w:tab/>
      </w:r>
      <w:r>
        <w:fldChar w:fldCharType="begin"/>
      </w:r>
      <w:r>
        <w:instrText xml:space="preserve"> PAGEREF _Toc132567251 \h </w:instrText>
      </w:r>
      <w:r>
        <w:fldChar w:fldCharType="separate"/>
      </w:r>
      <w:r>
        <w:t>17</w:t>
      </w:r>
      <w:r>
        <w:fldChar w:fldCharType="end"/>
      </w:r>
    </w:p>
    <w:p w14:paraId="1F0D9DB6" w14:textId="5AB6FDB2" w:rsidR="006F16A7" w:rsidRDefault="006F16A7">
      <w:pPr>
        <w:pStyle w:val="Obsah2"/>
        <w:rPr>
          <w:rFonts w:asciiTheme="minorHAnsi" w:eastAsiaTheme="minorEastAsia" w:hAnsiTheme="minorHAnsi" w:cstheme="minorBidi"/>
          <w:iCs w:val="0"/>
          <w:sz w:val="22"/>
          <w:szCs w:val="22"/>
        </w:rPr>
      </w:pPr>
      <w:r>
        <w:t>3.1</w:t>
      </w:r>
      <w:r>
        <w:rPr>
          <w:rFonts w:asciiTheme="minorHAnsi" w:eastAsiaTheme="minorEastAsia" w:hAnsiTheme="minorHAnsi" w:cstheme="minorBidi"/>
          <w:iCs w:val="0"/>
          <w:sz w:val="22"/>
          <w:szCs w:val="22"/>
        </w:rPr>
        <w:tab/>
      </w:r>
      <w:r>
        <w:t>Vertikální rozbor rozvahy</w:t>
      </w:r>
      <w:r>
        <w:tab/>
      </w:r>
      <w:r>
        <w:fldChar w:fldCharType="begin"/>
      </w:r>
      <w:r>
        <w:instrText xml:space="preserve"> PAGEREF _Toc132567252 \h </w:instrText>
      </w:r>
      <w:r>
        <w:fldChar w:fldCharType="separate"/>
      </w:r>
      <w:r>
        <w:t>18</w:t>
      </w:r>
      <w:r>
        <w:fldChar w:fldCharType="end"/>
      </w:r>
    </w:p>
    <w:p w14:paraId="6867FFD2" w14:textId="2A6DBFFF" w:rsidR="006F16A7" w:rsidRDefault="006F16A7">
      <w:pPr>
        <w:pStyle w:val="Obsah2"/>
        <w:rPr>
          <w:rFonts w:asciiTheme="minorHAnsi" w:eastAsiaTheme="minorEastAsia" w:hAnsiTheme="minorHAnsi" w:cstheme="minorBidi"/>
          <w:iCs w:val="0"/>
          <w:sz w:val="22"/>
          <w:szCs w:val="22"/>
        </w:rPr>
      </w:pPr>
      <w:r>
        <w:t>3.2</w:t>
      </w:r>
      <w:r>
        <w:rPr>
          <w:rFonts w:asciiTheme="minorHAnsi" w:eastAsiaTheme="minorEastAsia" w:hAnsiTheme="minorHAnsi" w:cstheme="minorBidi"/>
          <w:iCs w:val="0"/>
          <w:sz w:val="22"/>
          <w:szCs w:val="22"/>
        </w:rPr>
        <w:tab/>
      </w:r>
      <w:r>
        <w:t>Horizontální rozbor rozvahy</w:t>
      </w:r>
      <w:r>
        <w:tab/>
      </w:r>
      <w:r>
        <w:fldChar w:fldCharType="begin"/>
      </w:r>
      <w:r>
        <w:instrText xml:space="preserve"> PAGEREF _Toc132567253 \h </w:instrText>
      </w:r>
      <w:r>
        <w:fldChar w:fldCharType="separate"/>
      </w:r>
      <w:r>
        <w:t>21</w:t>
      </w:r>
      <w:r>
        <w:fldChar w:fldCharType="end"/>
      </w:r>
    </w:p>
    <w:p w14:paraId="78CE0EAD" w14:textId="0BAB818A" w:rsidR="006F16A7" w:rsidRDefault="006F16A7">
      <w:pPr>
        <w:pStyle w:val="Obsah2"/>
        <w:rPr>
          <w:rFonts w:asciiTheme="minorHAnsi" w:eastAsiaTheme="minorEastAsia" w:hAnsiTheme="minorHAnsi" w:cstheme="minorBidi"/>
          <w:iCs w:val="0"/>
          <w:sz w:val="22"/>
          <w:szCs w:val="22"/>
        </w:rPr>
      </w:pPr>
      <w:r>
        <w:t>3.3</w:t>
      </w:r>
      <w:r>
        <w:rPr>
          <w:rFonts w:asciiTheme="minorHAnsi" w:eastAsiaTheme="minorEastAsia" w:hAnsiTheme="minorHAnsi" w:cstheme="minorBidi"/>
          <w:iCs w:val="0"/>
          <w:sz w:val="22"/>
          <w:szCs w:val="22"/>
        </w:rPr>
        <w:tab/>
      </w:r>
      <w:r>
        <w:t>Vertikální rozbor výkazu zisků a ztrát</w:t>
      </w:r>
      <w:r>
        <w:tab/>
      </w:r>
      <w:r>
        <w:fldChar w:fldCharType="begin"/>
      </w:r>
      <w:r>
        <w:instrText xml:space="preserve"> PAGEREF _Toc132567254 \h </w:instrText>
      </w:r>
      <w:r>
        <w:fldChar w:fldCharType="separate"/>
      </w:r>
      <w:r>
        <w:t>24</w:t>
      </w:r>
      <w:r>
        <w:fldChar w:fldCharType="end"/>
      </w:r>
    </w:p>
    <w:p w14:paraId="1415F890" w14:textId="66CCA3AF" w:rsidR="006F16A7" w:rsidRDefault="006F16A7">
      <w:pPr>
        <w:pStyle w:val="Obsah2"/>
        <w:rPr>
          <w:rFonts w:asciiTheme="minorHAnsi" w:eastAsiaTheme="minorEastAsia" w:hAnsiTheme="minorHAnsi" w:cstheme="minorBidi"/>
          <w:iCs w:val="0"/>
          <w:sz w:val="22"/>
          <w:szCs w:val="22"/>
        </w:rPr>
      </w:pPr>
      <w:r>
        <w:t>3.4</w:t>
      </w:r>
      <w:r>
        <w:rPr>
          <w:rFonts w:asciiTheme="minorHAnsi" w:eastAsiaTheme="minorEastAsia" w:hAnsiTheme="minorHAnsi" w:cstheme="minorBidi"/>
          <w:iCs w:val="0"/>
          <w:sz w:val="22"/>
          <w:szCs w:val="22"/>
        </w:rPr>
        <w:tab/>
      </w:r>
      <w:r>
        <w:t>Horizontální rozbor výkazu zisků a ztrát</w:t>
      </w:r>
      <w:r>
        <w:tab/>
      </w:r>
      <w:r>
        <w:fldChar w:fldCharType="begin"/>
      </w:r>
      <w:r>
        <w:instrText xml:space="preserve"> PAGEREF _Toc132567255 \h </w:instrText>
      </w:r>
      <w:r>
        <w:fldChar w:fldCharType="separate"/>
      </w:r>
      <w:r>
        <w:t>28</w:t>
      </w:r>
      <w:r>
        <w:fldChar w:fldCharType="end"/>
      </w:r>
    </w:p>
    <w:p w14:paraId="29ED6D94" w14:textId="77E3867C" w:rsidR="006F16A7" w:rsidRDefault="006F16A7">
      <w:pPr>
        <w:pStyle w:val="Obsah2"/>
        <w:rPr>
          <w:rFonts w:asciiTheme="minorHAnsi" w:eastAsiaTheme="minorEastAsia" w:hAnsiTheme="minorHAnsi" w:cstheme="minorBidi"/>
          <w:iCs w:val="0"/>
          <w:sz w:val="22"/>
          <w:szCs w:val="22"/>
        </w:rPr>
      </w:pPr>
      <w:r>
        <w:t>3.5</w:t>
      </w:r>
      <w:r>
        <w:rPr>
          <w:rFonts w:asciiTheme="minorHAnsi" w:eastAsiaTheme="minorEastAsia" w:hAnsiTheme="minorHAnsi" w:cstheme="minorBidi"/>
          <w:iCs w:val="0"/>
          <w:sz w:val="22"/>
          <w:szCs w:val="22"/>
        </w:rPr>
        <w:tab/>
      </w:r>
      <w:r>
        <w:t>Výstupy do SWOT analýzy</w:t>
      </w:r>
      <w:r>
        <w:tab/>
      </w:r>
      <w:r>
        <w:fldChar w:fldCharType="begin"/>
      </w:r>
      <w:r>
        <w:instrText xml:space="preserve"> PAGEREF _Toc132567256 \h </w:instrText>
      </w:r>
      <w:r>
        <w:fldChar w:fldCharType="separate"/>
      </w:r>
      <w:r>
        <w:t>30</w:t>
      </w:r>
      <w:r>
        <w:fldChar w:fldCharType="end"/>
      </w:r>
    </w:p>
    <w:p w14:paraId="14918243" w14:textId="15AC9908" w:rsidR="006F16A7" w:rsidRDefault="006F16A7">
      <w:pPr>
        <w:pStyle w:val="Obsah1"/>
        <w:rPr>
          <w:rFonts w:asciiTheme="minorHAnsi" w:eastAsiaTheme="minorEastAsia" w:hAnsiTheme="minorHAnsi" w:cstheme="minorBidi"/>
          <w:b w:val="0"/>
          <w:color w:val="auto"/>
          <w:sz w:val="22"/>
          <w:szCs w:val="22"/>
        </w:rPr>
      </w:pPr>
      <w:r>
        <w:t>4</w:t>
      </w:r>
      <w:r>
        <w:rPr>
          <w:rFonts w:asciiTheme="minorHAnsi" w:eastAsiaTheme="minorEastAsia" w:hAnsiTheme="minorHAnsi" w:cstheme="minorBidi"/>
          <w:b w:val="0"/>
          <w:color w:val="auto"/>
          <w:sz w:val="22"/>
          <w:szCs w:val="22"/>
        </w:rPr>
        <w:tab/>
      </w:r>
      <w:r>
        <w:t>Analýza poměrových ukazatelů</w:t>
      </w:r>
      <w:r>
        <w:tab/>
      </w:r>
      <w:r>
        <w:fldChar w:fldCharType="begin"/>
      </w:r>
      <w:r>
        <w:instrText xml:space="preserve"> PAGEREF _Toc132567257 \h </w:instrText>
      </w:r>
      <w:r>
        <w:fldChar w:fldCharType="separate"/>
      </w:r>
      <w:r>
        <w:t>32</w:t>
      </w:r>
      <w:r>
        <w:fldChar w:fldCharType="end"/>
      </w:r>
    </w:p>
    <w:p w14:paraId="2D3F005C" w14:textId="43AE1BBF" w:rsidR="006F16A7" w:rsidRDefault="006F16A7">
      <w:pPr>
        <w:pStyle w:val="Obsah2"/>
        <w:rPr>
          <w:rFonts w:asciiTheme="minorHAnsi" w:eastAsiaTheme="minorEastAsia" w:hAnsiTheme="minorHAnsi" w:cstheme="minorBidi"/>
          <w:iCs w:val="0"/>
          <w:sz w:val="22"/>
          <w:szCs w:val="22"/>
        </w:rPr>
      </w:pPr>
      <w:r>
        <w:t>4.1</w:t>
      </w:r>
      <w:r>
        <w:rPr>
          <w:rFonts w:asciiTheme="minorHAnsi" w:eastAsiaTheme="minorEastAsia" w:hAnsiTheme="minorHAnsi" w:cstheme="minorBidi"/>
          <w:iCs w:val="0"/>
          <w:sz w:val="22"/>
          <w:szCs w:val="22"/>
        </w:rPr>
        <w:tab/>
      </w:r>
      <w:r>
        <w:t>Rentabilita</w:t>
      </w:r>
      <w:r>
        <w:tab/>
      </w:r>
      <w:r>
        <w:fldChar w:fldCharType="begin"/>
      </w:r>
      <w:r>
        <w:instrText xml:space="preserve"> PAGEREF _Toc132567258 \h </w:instrText>
      </w:r>
      <w:r>
        <w:fldChar w:fldCharType="separate"/>
      </w:r>
      <w:r>
        <w:t>32</w:t>
      </w:r>
      <w:r>
        <w:fldChar w:fldCharType="end"/>
      </w:r>
    </w:p>
    <w:p w14:paraId="64FD8FDA" w14:textId="6758D7F7" w:rsidR="006F16A7" w:rsidRDefault="006F16A7">
      <w:pPr>
        <w:pStyle w:val="Obsah2"/>
        <w:rPr>
          <w:rFonts w:asciiTheme="minorHAnsi" w:eastAsiaTheme="minorEastAsia" w:hAnsiTheme="minorHAnsi" w:cstheme="minorBidi"/>
          <w:iCs w:val="0"/>
          <w:sz w:val="22"/>
          <w:szCs w:val="22"/>
        </w:rPr>
      </w:pPr>
      <w:r>
        <w:t>4.2</w:t>
      </w:r>
      <w:r>
        <w:rPr>
          <w:rFonts w:asciiTheme="minorHAnsi" w:eastAsiaTheme="minorEastAsia" w:hAnsiTheme="minorHAnsi" w:cstheme="minorBidi"/>
          <w:iCs w:val="0"/>
          <w:sz w:val="22"/>
          <w:szCs w:val="22"/>
        </w:rPr>
        <w:tab/>
      </w:r>
      <w:r>
        <w:t>Ukazatele zadluženosti</w:t>
      </w:r>
      <w:r>
        <w:tab/>
      </w:r>
      <w:r>
        <w:fldChar w:fldCharType="begin"/>
      </w:r>
      <w:r>
        <w:instrText xml:space="preserve"> PAGEREF _Toc132567259 \h </w:instrText>
      </w:r>
      <w:r>
        <w:fldChar w:fldCharType="separate"/>
      </w:r>
      <w:r>
        <w:t>35</w:t>
      </w:r>
      <w:r>
        <w:fldChar w:fldCharType="end"/>
      </w:r>
    </w:p>
    <w:p w14:paraId="6E849481" w14:textId="59C0F82B" w:rsidR="006F16A7" w:rsidRDefault="006F16A7">
      <w:pPr>
        <w:pStyle w:val="Obsah2"/>
        <w:rPr>
          <w:rFonts w:asciiTheme="minorHAnsi" w:eastAsiaTheme="minorEastAsia" w:hAnsiTheme="minorHAnsi" w:cstheme="minorBidi"/>
          <w:iCs w:val="0"/>
          <w:sz w:val="22"/>
          <w:szCs w:val="22"/>
        </w:rPr>
      </w:pPr>
      <w:r>
        <w:t>4.3</w:t>
      </w:r>
      <w:r>
        <w:rPr>
          <w:rFonts w:asciiTheme="minorHAnsi" w:eastAsiaTheme="minorEastAsia" w:hAnsiTheme="minorHAnsi" w:cstheme="minorBidi"/>
          <w:iCs w:val="0"/>
          <w:sz w:val="22"/>
          <w:szCs w:val="22"/>
        </w:rPr>
        <w:tab/>
      </w:r>
      <w:r>
        <w:t>Aktivita</w:t>
      </w:r>
      <w:r>
        <w:tab/>
      </w:r>
      <w:r>
        <w:fldChar w:fldCharType="begin"/>
      </w:r>
      <w:r>
        <w:instrText xml:space="preserve"> PAGEREF _Toc132567260 \h </w:instrText>
      </w:r>
      <w:r>
        <w:fldChar w:fldCharType="separate"/>
      </w:r>
      <w:r>
        <w:t>39</w:t>
      </w:r>
      <w:r>
        <w:fldChar w:fldCharType="end"/>
      </w:r>
    </w:p>
    <w:p w14:paraId="6F4211CC" w14:textId="4E922EC1" w:rsidR="006F16A7" w:rsidRDefault="006F16A7">
      <w:pPr>
        <w:pStyle w:val="Obsah2"/>
        <w:rPr>
          <w:rFonts w:asciiTheme="minorHAnsi" w:eastAsiaTheme="minorEastAsia" w:hAnsiTheme="minorHAnsi" w:cstheme="minorBidi"/>
          <w:iCs w:val="0"/>
          <w:sz w:val="22"/>
          <w:szCs w:val="22"/>
        </w:rPr>
      </w:pPr>
      <w:r>
        <w:t>4.4</w:t>
      </w:r>
      <w:r>
        <w:rPr>
          <w:rFonts w:asciiTheme="minorHAnsi" w:eastAsiaTheme="minorEastAsia" w:hAnsiTheme="minorHAnsi" w:cstheme="minorBidi"/>
          <w:iCs w:val="0"/>
          <w:sz w:val="22"/>
          <w:szCs w:val="22"/>
        </w:rPr>
        <w:tab/>
      </w:r>
      <w:r>
        <w:t>Likvidita</w:t>
      </w:r>
      <w:r>
        <w:tab/>
      </w:r>
      <w:r>
        <w:fldChar w:fldCharType="begin"/>
      </w:r>
      <w:r>
        <w:instrText xml:space="preserve"> PAGEREF _Toc132567261 \h </w:instrText>
      </w:r>
      <w:r>
        <w:fldChar w:fldCharType="separate"/>
      </w:r>
      <w:r>
        <w:t>42</w:t>
      </w:r>
      <w:r>
        <w:fldChar w:fldCharType="end"/>
      </w:r>
    </w:p>
    <w:p w14:paraId="54B19F8B" w14:textId="206ACB95" w:rsidR="006F16A7" w:rsidRDefault="006F16A7">
      <w:pPr>
        <w:pStyle w:val="Obsah2"/>
        <w:rPr>
          <w:rFonts w:asciiTheme="minorHAnsi" w:eastAsiaTheme="minorEastAsia" w:hAnsiTheme="minorHAnsi" w:cstheme="minorBidi"/>
          <w:iCs w:val="0"/>
          <w:sz w:val="22"/>
          <w:szCs w:val="22"/>
        </w:rPr>
      </w:pPr>
      <w:r>
        <w:t>4.5</w:t>
      </w:r>
      <w:r>
        <w:rPr>
          <w:rFonts w:asciiTheme="minorHAnsi" w:eastAsiaTheme="minorEastAsia" w:hAnsiTheme="minorHAnsi" w:cstheme="minorBidi"/>
          <w:iCs w:val="0"/>
          <w:sz w:val="22"/>
          <w:szCs w:val="22"/>
        </w:rPr>
        <w:tab/>
      </w:r>
      <w:r>
        <w:t>Výstupy do SWOT analýzy</w:t>
      </w:r>
      <w:r>
        <w:tab/>
      </w:r>
      <w:r>
        <w:fldChar w:fldCharType="begin"/>
      </w:r>
      <w:r>
        <w:instrText xml:space="preserve"> PAGEREF _Toc132567262 \h </w:instrText>
      </w:r>
      <w:r>
        <w:fldChar w:fldCharType="separate"/>
      </w:r>
      <w:r>
        <w:t>44</w:t>
      </w:r>
      <w:r>
        <w:fldChar w:fldCharType="end"/>
      </w:r>
    </w:p>
    <w:p w14:paraId="3D4268A5" w14:textId="64A8B728" w:rsidR="006F16A7" w:rsidRDefault="006F16A7">
      <w:pPr>
        <w:pStyle w:val="Obsah1"/>
        <w:rPr>
          <w:rFonts w:asciiTheme="minorHAnsi" w:eastAsiaTheme="minorEastAsia" w:hAnsiTheme="minorHAnsi" w:cstheme="minorBidi"/>
          <w:b w:val="0"/>
          <w:color w:val="auto"/>
          <w:sz w:val="22"/>
          <w:szCs w:val="22"/>
        </w:rPr>
      </w:pPr>
      <w:r>
        <w:t>5</w:t>
      </w:r>
      <w:r>
        <w:rPr>
          <w:rFonts w:asciiTheme="minorHAnsi" w:eastAsiaTheme="minorEastAsia" w:hAnsiTheme="minorHAnsi" w:cstheme="minorBidi"/>
          <w:b w:val="0"/>
          <w:color w:val="auto"/>
          <w:sz w:val="22"/>
          <w:szCs w:val="22"/>
        </w:rPr>
        <w:tab/>
      </w:r>
      <w:r>
        <w:t>Finanční páka</w:t>
      </w:r>
      <w:r>
        <w:tab/>
      </w:r>
      <w:r>
        <w:fldChar w:fldCharType="begin"/>
      </w:r>
      <w:r>
        <w:instrText xml:space="preserve"> PAGEREF _Toc132567263 \h </w:instrText>
      </w:r>
      <w:r>
        <w:fldChar w:fldCharType="separate"/>
      </w:r>
      <w:r>
        <w:t>45</w:t>
      </w:r>
      <w:r>
        <w:fldChar w:fldCharType="end"/>
      </w:r>
    </w:p>
    <w:p w14:paraId="37B550EB" w14:textId="79880E19" w:rsidR="006F16A7" w:rsidRDefault="006F16A7">
      <w:pPr>
        <w:pStyle w:val="Obsah1"/>
        <w:rPr>
          <w:rFonts w:asciiTheme="minorHAnsi" w:eastAsiaTheme="minorEastAsia" w:hAnsiTheme="minorHAnsi" w:cstheme="minorBidi"/>
          <w:b w:val="0"/>
          <w:color w:val="auto"/>
          <w:sz w:val="22"/>
          <w:szCs w:val="22"/>
        </w:rPr>
      </w:pPr>
      <w:r>
        <w:t>6</w:t>
      </w:r>
      <w:r>
        <w:rPr>
          <w:rFonts w:asciiTheme="minorHAnsi" w:eastAsiaTheme="minorEastAsia" w:hAnsiTheme="minorHAnsi" w:cstheme="minorBidi"/>
          <w:b w:val="0"/>
          <w:color w:val="auto"/>
          <w:sz w:val="22"/>
          <w:szCs w:val="22"/>
        </w:rPr>
        <w:tab/>
      </w:r>
      <w:r>
        <w:t>Pyramidový rozklad</w:t>
      </w:r>
      <w:r>
        <w:tab/>
      </w:r>
      <w:r>
        <w:fldChar w:fldCharType="begin"/>
      </w:r>
      <w:r>
        <w:instrText xml:space="preserve"> PAGEREF _Toc132567264 \h </w:instrText>
      </w:r>
      <w:r>
        <w:fldChar w:fldCharType="separate"/>
      </w:r>
      <w:r>
        <w:t>46</w:t>
      </w:r>
      <w:r>
        <w:fldChar w:fldCharType="end"/>
      </w:r>
    </w:p>
    <w:p w14:paraId="41EE0C15" w14:textId="403DFE59" w:rsidR="006F16A7" w:rsidRDefault="006F16A7">
      <w:pPr>
        <w:pStyle w:val="Obsah1"/>
        <w:rPr>
          <w:rFonts w:asciiTheme="minorHAnsi" w:eastAsiaTheme="minorEastAsia" w:hAnsiTheme="minorHAnsi" w:cstheme="minorBidi"/>
          <w:b w:val="0"/>
          <w:color w:val="auto"/>
          <w:sz w:val="22"/>
          <w:szCs w:val="22"/>
        </w:rPr>
      </w:pPr>
      <w:r>
        <w:t>7</w:t>
      </w:r>
      <w:r>
        <w:rPr>
          <w:rFonts w:asciiTheme="minorHAnsi" w:eastAsiaTheme="minorEastAsia" w:hAnsiTheme="minorHAnsi" w:cstheme="minorBidi"/>
          <w:b w:val="0"/>
          <w:color w:val="auto"/>
          <w:sz w:val="22"/>
          <w:szCs w:val="22"/>
        </w:rPr>
        <w:tab/>
      </w:r>
      <w:r>
        <w:t>Vážený průměr nákladů na kapitál (WACC)</w:t>
      </w:r>
      <w:r>
        <w:tab/>
      </w:r>
      <w:r>
        <w:fldChar w:fldCharType="begin"/>
      </w:r>
      <w:r>
        <w:instrText xml:space="preserve"> PAGEREF _Toc132567265 \h </w:instrText>
      </w:r>
      <w:r>
        <w:fldChar w:fldCharType="separate"/>
      </w:r>
      <w:r>
        <w:t>48</w:t>
      </w:r>
      <w:r>
        <w:fldChar w:fldCharType="end"/>
      </w:r>
    </w:p>
    <w:p w14:paraId="64524AC2" w14:textId="4B74D297" w:rsidR="006F16A7" w:rsidRDefault="006F16A7">
      <w:pPr>
        <w:pStyle w:val="Obsah1"/>
        <w:rPr>
          <w:rFonts w:asciiTheme="minorHAnsi" w:eastAsiaTheme="minorEastAsia" w:hAnsiTheme="minorHAnsi" w:cstheme="minorBidi"/>
          <w:b w:val="0"/>
          <w:color w:val="auto"/>
          <w:sz w:val="22"/>
          <w:szCs w:val="22"/>
        </w:rPr>
      </w:pPr>
      <w:r>
        <w:t>8</w:t>
      </w:r>
      <w:r>
        <w:rPr>
          <w:rFonts w:asciiTheme="minorHAnsi" w:eastAsiaTheme="minorEastAsia" w:hAnsiTheme="minorHAnsi" w:cstheme="minorBidi"/>
          <w:b w:val="0"/>
          <w:color w:val="auto"/>
          <w:sz w:val="22"/>
          <w:szCs w:val="22"/>
        </w:rPr>
        <w:tab/>
      </w:r>
      <w:r>
        <w:t>Ekonomická přidaná hodnota (EVA)</w:t>
      </w:r>
      <w:r>
        <w:tab/>
      </w:r>
      <w:r>
        <w:fldChar w:fldCharType="begin"/>
      </w:r>
      <w:r>
        <w:instrText xml:space="preserve"> PAGEREF _Toc132567266 \h </w:instrText>
      </w:r>
      <w:r>
        <w:fldChar w:fldCharType="separate"/>
      </w:r>
      <w:r>
        <w:t>51</w:t>
      </w:r>
      <w:r>
        <w:fldChar w:fldCharType="end"/>
      </w:r>
    </w:p>
    <w:p w14:paraId="440AD91B" w14:textId="00BB1775" w:rsidR="006F16A7" w:rsidRDefault="006F16A7">
      <w:pPr>
        <w:pStyle w:val="Obsah1"/>
        <w:rPr>
          <w:rFonts w:asciiTheme="minorHAnsi" w:eastAsiaTheme="minorEastAsia" w:hAnsiTheme="minorHAnsi" w:cstheme="minorBidi"/>
          <w:b w:val="0"/>
          <w:color w:val="auto"/>
          <w:sz w:val="22"/>
          <w:szCs w:val="22"/>
        </w:rPr>
      </w:pPr>
      <w:r>
        <w:lastRenderedPageBreak/>
        <w:t>9</w:t>
      </w:r>
      <w:r>
        <w:rPr>
          <w:rFonts w:asciiTheme="minorHAnsi" w:eastAsiaTheme="minorEastAsia" w:hAnsiTheme="minorHAnsi" w:cstheme="minorBidi"/>
          <w:b w:val="0"/>
          <w:color w:val="auto"/>
          <w:sz w:val="22"/>
          <w:szCs w:val="22"/>
        </w:rPr>
        <w:tab/>
      </w:r>
      <w:r>
        <w:t>Bonitní model – Quick-test</w:t>
      </w:r>
      <w:r>
        <w:tab/>
      </w:r>
      <w:r>
        <w:fldChar w:fldCharType="begin"/>
      </w:r>
      <w:r>
        <w:instrText xml:space="preserve"> PAGEREF _Toc132567267 \h </w:instrText>
      </w:r>
      <w:r>
        <w:fldChar w:fldCharType="separate"/>
      </w:r>
      <w:r>
        <w:t>54</w:t>
      </w:r>
      <w:r>
        <w:fldChar w:fldCharType="end"/>
      </w:r>
    </w:p>
    <w:p w14:paraId="6F37B879" w14:textId="7A033975" w:rsidR="006F16A7" w:rsidRDefault="006F16A7">
      <w:pPr>
        <w:pStyle w:val="Obsah1"/>
        <w:rPr>
          <w:rFonts w:asciiTheme="minorHAnsi" w:eastAsiaTheme="minorEastAsia" w:hAnsiTheme="minorHAnsi" w:cstheme="minorBidi"/>
          <w:b w:val="0"/>
          <w:color w:val="auto"/>
          <w:sz w:val="22"/>
          <w:szCs w:val="22"/>
        </w:rPr>
      </w:pPr>
      <w:r>
        <w:t>10</w:t>
      </w:r>
      <w:r>
        <w:rPr>
          <w:rFonts w:asciiTheme="minorHAnsi" w:eastAsiaTheme="minorEastAsia" w:hAnsiTheme="minorHAnsi" w:cstheme="minorBidi"/>
          <w:b w:val="0"/>
          <w:color w:val="auto"/>
          <w:sz w:val="22"/>
          <w:szCs w:val="22"/>
        </w:rPr>
        <w:tab/>
      </w:r>
      <w:r>
        <w:t>Bankrotní model – Index IN05</w:t>
      </w:r>
      <w:r>
        <w:tab/>
      </w:r>
      <w:r>
        <w:fldChar w:fldCharType="begin"/>
      </w:r>
      <w:r>
        <w:instrText xml:space="preserve"> PAGEREF _Toc132567268 \h </w:instrText>
      </w:r>
      <w:r>
        <w:fldChar w:fldCharType="separate"/>
      </w:r>
      <w:r>
        <w:t>56</w:t>
      </w:r>
      <w:r>
        <w:fldChar w:fldCharType="end"/>
      </w:r>
    </w:p>
    <w:p w14:paraId="47ACE7BA" w14:textId="0F8AD7B1" w:rsidR="006F16A7" w:rsidRDefault="006F16A7">
      <w:pPr>
        <w:pStyle w:val="Obsah2"/>
        <w:rPr>
          <w:rFonts w:asciiTheme="minorHAnsi" w:eastAsiaTheme="minorEastAsia" w:hAnsiTheme="minorHAnsi" w:cstheme="minorBidi"/>
          <w:iCs w:val="0"/>
          <w:sz w:val="22"/>
          <w:szCs w:val="22"/>
        </w:rPr>
      </w:pPr>
      <w:r>
        <w:t>10.1</w:t>
      </w:r>
      <w:r>
        <w:rPr>
          <w:rFonts w:asciiTheme="minorHAnsi" w:eastAsiaTheme="minorEastAsia" w:hAnsiTheme="minorHAnsi" w:cstheme="minorBidi"/>
          <w:iCs w:val="0"/>
          <w:sz w:val="22"/>
          <w:szCs w:val="22"/>
        </w:rPr>
        <w:tab/>
      </w:r>
      <w:r>
        <w:t>Výstupy do SWOT analýzy</w:t>
      </w:r>
      <w:r>
        <w:tab/>
      </w:r>
      <w:r>
        <w:fldChar w:fldCharType="begin"/>
      </w:r>
      <w:r>
        <w:instrText xml:space="preserve"> PAGEREF _Toc132567269 \h </w:instrText>
      </w:r>
      <w:r>
        <w:fldChar w:fldCharType="separate"/>
      </w:r>
      <w:r>
        <w:t>58</w:t>
      </w:r>
      <w:r>
        <w:fldChar w:fldCharType="end"/>
      </w:r>
    </w:p>
    <w:p w14:paraId="4F42A874" w14:textId="417EC498" w:rsidR="006F16A7" w:rsidRDefault="006F16A7">
      <w:pPr>
        <w:pStyle w:val="Obsah1"/>
        <w:rPr>
          <w:rFonts w:asciiTheme="minorHAnsi" w:eastAsiaTheme="minorEastAsia" w:hAnsiTheme="minorHAnsi" w:cstheme="minorBidi"/>
          <w:b w:val="0"/>
          <w:color w:val="auto"/>
          <w:sz w:val="22"/>
          <w:szCs w:val="22"/>
        </w:rPr>
      </w:pPr>
      <w:r>
        <w:t>Použité zdroje</w:t>
      </w:r>
      <w:r>
        <w:tab/>
      </w:r>
      <w:r>
        <w:fldChar w:fldCharType="begin"/>
      </w:r>
      <w:r>
        <w:instrText xml:space="preserve"> PAGEREF _Toc132567270 \h </w:instrText>
      </w:r>
      <w:r>
        <w:fldChar w:fldCharType="separate"/>
      </w:r>
      <w:r>
        <w:t>59</w:t>
      </w:r>
      <w:r>
        <w:fldChar w:fldCharType="end"/>
      </w:r>
    </w:p>
    <w:p w14:paraId="4B455AD5" w14:textId="4A54B1F3" w:rsidR="006F16A7" w:rsidRDefault="006F16A7">
      <w:pPr>
        <w:pStyle w:val="Obsah1"/>
        <w:tabs>
          <w:tab w:val="left" w:pos="1440"/>
        </w:tabs>
        <w:rPr>
          <w:rFonts w:asciiTheme="minorHAnsi" w:eastAsiaTheme="minorEastAsia" w:hAnsiTheme="minorHAnsi" w:cstheme="minorBidi"/>
          <w:b w:val="0"/>
          <w:color w:val="auto"/>
          <w:sz w:val="22"/>
          <w:szCs w:val="22"/>
        </w:rPr>
      </w:pPr>
      <w:r>
        <w:t>Příloha A</w:t>
      </w:r>
      <w:r>
        <w:rPr>
          <w:rFonts w:asciiTheme="minorHAnsi" w:eastAsiaTheme="minorEastAsia" w:hAnsiTheme="minorHAnsi" w:cstheme="minorBidi"/>
          <w:b w:val="0"/>
          <w:color w:val="auto"/>
          <w:sz w:val="22"/>
          <w:szCs w:val="22"/>
        </w:rPr>
        <w:tab/>
      </w:r>
      <w:r>
        <w:t>Vertikální analýza VZZ</w:t>
      </w:r>
      <w:r>
        <w:tab/>
      </w:r>
      <w:r>
        <w:fldChar w:fldCharType="begin"/>
      </w:r>
      <w:r>
        <w:instrText xml:space="preserve"> PAGEREF _Toc132567271 \h </w:instrText>
      </w:r>
      <w:r>
        <w:fldChar w:fldCharType="separate"/>
      </w:r>
      <w:r>
        <w:t>61</w:t>
      </w:r>
      <w:r>
        <w:fldChar w:fldCharType="end"/>
      </w:r>
    </w:p>
    <w:p w14:paraId="3EBA7E69" w14:textId="52574115" w:rsidR="006F16A7" w:rsidRDefault="006F16A7">
      <w:pPr>
        <w:pStyle w:val="Obsah1"/>
        <w:rPr>
          <w:rFonts w:asciiTheme="minorHAnsi" w:eastAsiaTheme="minorEastAsia" w:hAnsiTheme="minorHAnsi" w:cstheme="minorBidi"/>
          <w:b w:val="0"/>
          <w:color w:val="auto"/>
          <w:sz w:val="22"/>
          <w:szCs w:val="22"/>
        </w:rPr>
      </w:pPr>
      <w:r>
        <w:t>Příloha B  Horizontální analýza VZZ</w:t>
      </w:r>
      <w:r>
        <w:tab/>
      </w:r>
      <w:r>
        <w:fldChar w:fldCharType="begin"/>
      </w:r>
      <w:r>
        <w:instrText xml:space="preserve"> PAGEREF _Toc132567272 \h </w:instrText>
      </w:r>
      <w:r>
        <w:fldChar w:fldCharType="separate"/>
      </w:r>
      <w:r>
        <w:t>62</w:t>
      </w:r>
      <w:r>
        <w:fldChar w:fldCharType="end"/>
      </w:r>
    </w:p>
    <w:p w14:paraId="4FE4D942" w14:textId="1390649A" w:rsidR="00F5609F" w:rsidRPr="00746487" w:rsidRDefault="00825A03" w:rsidP="00A2558D">
      <w:pPr>
        <w:pStyle w:val="Dalodstavce"/>
      </w:pPr>
      <w:r w:rsidRPr="00746487">
        <w:fldChar w:fldCharType="end"/>
      </w:r>
    </w:p>
    <w:p w14:paraId="196F9E82" w14:textId="77777777" w:rsidR="00A639A6" w:rsidRPr="00746487" w:rsidRDefault="00A639A6" w:rsidP="00A2558D">
      <w:pPr>
        <w:pStyle w:val="Dalodstavce"/>
        <w:sectPr w:rsidR="00A639A6" w:rsidRPr="00746487" w:rsidSect="009D3C27">
          <w:headerReference w:type="even" r:id="rId18"/>
          <w:headerReference w:type="default" r:id="rId19"/>
          <w:footerReference w:type="default" r:id="rId20"/>
          <w:type w:val="oddPage"/>
          <w:pgSz w:w="11906" w:h="16838" w:code="9"/>
          <w:pgMar w:top="2380" w:right="2020" w:bottom="2380" w:left="2020" w:header="1900" w:footer="1280" w:gutter="500"/>
          <w:cols w:space="708"/>
          <w:docGrid w:linePitch="360"/>
        </w:sectPr>
      </w:pPr>
    </w:p>
    <w:p w14:paraId="50D24150" w14:textId="77777777" w:rsidR="008B1BE6" w:rsidRPr="00746487" w:rsidRDefault="008B1BE6" w:rsidP="008B1BE6">
      <w:pPr>
        <w:pStyle w:val="Nadpis10"/>
      </w:pPr>
      <w:bookmarkStart w:id="1" w:name="_Toc132567243"/>
      <w:r w:rsidRPr="00746487">
        <w:lastRenderedPageBreak/>
        <w:t>Seznam tabulek</w:t>
      </w:r>
      <w:bookmarkEnd w:id="1"/>
    </w:p>
    <w:p w14:paraId="14A8CEA3" w14:textId="0374A2BD" w:rsidR="00FF2CB5" w:rsidRDefault="0098522A">
      <w:pPr>
        <w:pStyle w:val="Seznamobrzk"/>
        <w:tabs>
          <w:tab w:val="right" w:leader="dot" w:pos="7356"/>
        </w:tabs>
        <w:rPr>
          <w:rFonts w:asciiTheme="minorHAnsi" w:eastAsiaTheme="minorEastAsia" w:hAnsiTheme="minorHAnsi" w:cstheme="minorBidi"/>
          <w:noProof/>
          <w:sz w:val="22"/>
          <w:szCs w:val="22"/>
        </w:rPr>
      </w:pPr>
      <w:r>
        <w:rPr>
          <w:b/>
          <w:bCs/>
          <w:noProof/>
        </w:rPr>
        <w:fldChar w:fldCharType="begin"/>
      </w:r>
      <w:r>
        <w:rPr>
          <w:b/>
          <w:bCs/>
          <w:noProof/>
        </w:rPr>
        <w:instrText xml:space="preserve"> TOC \h \z \t "Titulek tabulky" \c </w:instrText>
      </w:r>
      <w:r>
        <w:rPr>
          <w:b/>
          <w:bCs/>
          <w:noProof/>
        </w:rPr>
        <w:fldChar w:fldCharType="separate"/>
      </w:r>
      <w:hyperlink w:anchor="_Toc133180288" w:history="1">
        <w:r w:rsidR="00FF2CB5" w:rsidRPr="00B47ED4">
          <w:rPr>
            <w:rStyle w:val="Hypertextovodkaz"/>
            <w:noProof/>
          </w:rPr>
          <w:t>Tabulka č. 1: Základní typologické znaky</w:t>
        </w:r>
        <w:r w:rsidR="00FF2CB5">
          <w:rPr>
            <w:noProof/>
            <w:webHidden/>
          </w:rPr>
          <w:tab/>
        </w:r>
        <w:r w:rsidR="00FF2CB5">
          <w:rPr>
            <w:noProof/>
            <w:webHidden/>
          </w:rPr>
          <w:fldChar w:fldCharType="begin"/>
        </w:r>
        <w:r w:rsidR="00FF2CB5">
          <w:rPr>
            <w:noProof/>
            <w:webHidden/>
          </w:rPr>
          <w:instrText xml:space="preserve"> PAGEREF _Toc133180288 \h </w:instrText>
        </w:r>
        <w:r w:rsidR="00FF2CB5">
          <w:rPr>
            <w:noProof/>
            <w:webHidden/>
          </w:rPr>
        </w:r>
        <w:r w:rsidR="00FF2CB5">
          <w:rPr>
            <w:noProof/>
            <w:webHidden/>
          </w:rPr>
          <w:fldChar w:fldCharType="separate"/>
        </w:r>
        <w:r w:rsidR="00FF2CB5">
          <w:rPr>
            <w:noProof/>
            <w:webHidden/>
          </w:rPr>
          <w:t>10</w:t>
        </w:r>
        <w:r w:rsidR="00FF2CB5">
          <w:rPr>
            <w:noProof/>
            <w:webHidden/>
          </w:rPr>
          <w:fldChar w:fldCharType="end"/>
        </w:r>
      </w:hyperlink>
    </w:p>
    <w:p w14:paraId="2B0C0621" w14:textId="7914D603"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89" w:history="1">
        <w:r w:rsidR="00FF2CB5" w:rsidRPr="00B47ED4">
          <w:rPr>
            <w:rStyle w:val="Hypertextovodkaz"/>
            <w:noProof/>
          </w:rPr>
          <w:t>Tabulka č. 2.: Zařazení CZ NACE</w:t>
        </w:r>
        <w:r w:rsidR="00FF2CB5">
          <w:rPr>
            <w:noProof/>
            <w:webHidden/>
          </w:rPr>
          <w:tab/>
        </w:r>
        <w:r w:rsidR="00FF2CB5">
          <w:rPr>
            <w:noProof/>
            <w:webHidden/>
          </w:rPr>
          <w:fldChar w:fldCharType="begin"/>
        </w:r>
        <w:r w:rsidR="00FF2CB5">
          <w:rPr>
            <w:noProof/>
            <w:webHidden/>
          </w:rPr>
          <w:instrText xml:space="preserve"> PAGEREF _Toc133180289 \h </w:instrText>
        </w:r>
        <w:r w:rsidR="00FF2CB5">
          <w:rPr>
            <w:noProof/>
            <w:webHidden/>
          </w:rPr>
        </w:r>
        <w:r w:rsidR="00FF2CB5">
          <w:rPr>
            <w:noProof/>
            <w:webHidden/>
          </w:rPr>
          <w:fldChar w:fldCharType="separate"/>
        </w:r>
        <w:r w:rsidR="00FF2CB5">
          <w:rPr>
            <w:noProof/>
            <w:webHidden/>
          </w:rPr>
          <w:t>11</w:t>
        </w:r>
        <w:r w:rsidR="00FF2CB5">
          <w:rPr>
            <w:noProof/>
            <w:webHidden/>
          </w:rPr>
          <w:fldChar w:fldCharType="end"/>
        </w:r>
      </w:hyperlink>
    </w:p>
    <w:p w14:paraId="0753DB56" w14:textId="7667CBBB"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0" w:history="1">
        <w:r w:rsidR="00FF2CB5" w:rsidRPr="00B47ED4">
          <w:rPr>
            <w:rStyle w:val="Hypertextovodkaz"/>
            <w:noProof/>
          </w:rPr>
          <w:t>Tabulka č. 3: Ekonomické faktory</w:t>
        </w:r>
        <w:r w:rsidR="00FF2CB5">
          <w:rPr>
            <w:noProof/>
            <w:webHidden/>
          </w:rPr>
          <w:tab/>
        </w:r>
        <w:r w:rsidR="00FF2CB5">
          <w:rPr>
            <w:noProof/>
            <w:webHidden/>
          </w:rPr>
          <w:fldChar w:fldCharType="begin"/>
        </w:r>
        <w:r w:rsidR="00FF2CB5">
          <w:rPr>
            <w:noProof/>
            <w:webHidden/>
          </w:rPr>
          <w:instrText xml:space="preserve"> PAGEREF _Toc133180290 \h </w:instrText>
        </w:r>
        <w:r w:rsidR="00FF2CB5">
          <w:rPr>
            <w:noProof/>
            <w:webHidden/>
          </w:rPr>
        </w:r>
        <w:r w:rsidR="00FF2CB5">
          <w:rPr>
            <w:noProof/>
            <w:webHidden/>
          </w:rPr>
          <w:fldChar w:fldCharType="separate"/>
        </w:r>
        <w:r w:rsidR="00FF2CB5">
          <w:rPr>
            <w:noProof/>
            <w:webHidden/>
          </w:rPr>
          <w:t>12</w:t>
        </w:r>
        <w:r w:rsidR="00FF2CB5">
          <w:rPr>
            <w:noProof/>
            <w:webHidden/>
          </w:rPr>
          <w:fldChar w:fldCharType="end"/>
        </w:r>
      </w:hyperlink>
    </w:p>
    <w:p w14:paraId="37122053" w14:textId="0EDD5462"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1" w:history="1">
        <w:r w:rsidR="00FF2CB5" w:rsidRPr="00B47ED4">
          <w:rPr>
            <w:rStyle w:val="Hypertextovodkaz"/>
            <w:noProof/>
          </w:rPr>
          <w:t>Tabulka č. 4: Vertikální analýza aktiv</w:t>
        </w:r>
        <w:r w:rsidR="00FF2CB5">
          <w:rPr>
            <w:noProof/>
            <w:webHidden/>
          </w:rPr>
          <w:tab/>
        </w:r>
        <w:r w:rsidR="00FF2CB5">
          <w:rPr>
            <w:noProof/>
            <w:webHidden/>
          </w:rPr>
          <w:fldChar w:fldCharType="begin"/>
        </w:r>
        <w:r w:rsidR="00FF2CB5">
          <w:rPr>
            <w:noProof/>
            <w:webHidden/>
          </w:rPr>
          <w:instrText xml:space="preserve"> PAGEREF _Toc133180291 \h </w:instrText>
        </w:r>
        <w:r w:rsidR="00FF2CB5">
          <w:rPr>
            <w:noProof/>
            <w:webHidden/>
          </w:rPr>
        </w:r>
        <w:r w:rsidR="00FF2CB5">
          <w:rPr>
            <w:noProof/>
            <w:webHidden/>
          </w:rPr>
          <w:fldChar w:fldCharType="separate"/>
        </w:r>
        <w:r w:rsidR="00FF2CB5">
          <w:rPr>
            <w:noProof/>
            <w:webHidden/>
          </w:rPr>
          <w:t>17</w:t>
        </w:r>
        <w:r w:rsidR="00FF2CB5">
          <w:rPr>
            <w:noProof/>
            <w:webHidden/>
          </w:rPr>
          <w:fldChar w:fldCharType="end"/>
        </w:r>
      </w:hyperlink>
    </w:p>
    <w:p w14:paraId="4D6EDED4" w14:textId="55281355"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2" w:history="1">
        <w:r w:rsidR="00FF2CB5" w:rsidRPr="00B47ED4">
          <w:rPr>
            <w:rStyle w:val="Hypertextovodkaz"/>
            <w:noProof/>
          </w:rPr>
          <w:t>Tabulka č. 5: Vertikální analýza pasiv</w:t>
        </w:r>
        <w:r w:rsidR="00FF2CB5">
          <w:rPr>
            <w:noProof/>
            <w:webHidden/>
          </w:rPr>
          <w:tab/>
        </w:r>
        <w:r w:rsidR="00FF2CB5">
          <w:rPr>
            <w:noProof/>
            <w:webHidden/>
          </w:rPr>
          <w:fldChar w:fldCharType="begin"/>
        </w:r>
        <w:r w:rsidR="00FF2CB5">
          <w:rPr>
            <w:noProof/>
            <w:webHidden/>
          </w:rPr>
          <w:instrText xml:space="preserve"> PAGEREF _Toc133180292 \h </w:instrText>
        </w:r>
        <w:r w:rsidR="00FF2CB5">
          <w:rPr>
            <w:noProof/>
            <w:webHidden/>
          </w:rPr>
        </w:r>
        <w:r w:rsidR="00FF2CB5">
          <w:rPr>
            <w:noProof/>
            <w:webHidden/>
          </w:rPr>
          <w:fldChar w:fldCharType="separate"/>
        </w:r>
        <w:r w:rsidR="00FF2CB5">
          <w:rPr>
            <w:noProof/>
            <w:webHidden/>
          </w:rPr>
          <w:t>18</w:t>
        </w:r>
        <w:r w:rsidR="00FF2CB5">
          <w:rPr>
            <w:noProof/>
            <w:webHidden/>
          </w:rPr>
          <w:fldChar w:fldCharType="end"/>
        </w:r>
      </w:hyperlink>
    </w:p>
    <w:p w14:paraId="31673A37" w14:textId="16ABD81F"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3" w:history="1">
        <w:r w:rsidR="00FF2CB5" w:rsidRPr="00B47ED4">
          <w:rPr>
            <w:rStyle w:val="Hypertextovodkaz"/>
            <w:noProof/>
          </w:rPr>
          <w:t>Tabulka č. 6: Horizontální analýza aktiv</w:t>
        </w:r>
        <w:r w:rsidR="00FF2CB5">
          <w:rPr>
            <w:noProof/>
            <w:webHidden/>
          </w:rPr>
          <w:tab/>
        </w:r>
        <w:r w:rsidR="00FF2CB5">
          <w:rPr>
            <w:noProof/>
            <w:webHidden/>
          </w:rPr>
          <w:fldChar w:fldCharType="begin"/>
        </w:r>
        <w:r w:rsidR="00FF2CB5">
          <w:rPr>
            <w:noProof/>
            <w:webHidden/>
          </w:rPr>
          <w:instrText xml:space="preserve"> PAGEREF _Toc133180293 \h </w:instrText>
        </w:r>
        <w:r w:rsidR="00FF2CB5">
          <w:rPr>
            <w:noProof/>
            <w:webHidden/>
          </w:rPr>
        </w:r>
        <w:r w:rsidR="00FF2CB5">
          <w:rPr>
            <w:noProof/>
            <w:webHidden/>
          </w:rPr>
          <w:fldChar w:fldCharType="separate"/>
        </w:r>
        <w:r w:rsidR="00FF2CB5">
          <w:rPr>
            <w:noProof/>
            <w:webHidden/>
          </w:rPr>
          <w:t>19</w:t>
        </w:r>
        <w:r w:rsidR="00FF2CB5">
          <w:rPr>
            <w:noProof/>
            <w:webHidden/>
          </w:rPr>
          <w:fldChar w:fldCharType="end"/>
        </w:r>
      </w:hyperlink>
    </w:p>
    <w:p w14:paraId="60312998" w14:textId="67B3D18F"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4" w:history="1">
        <w:r w:rsidR="00FF2CB5" w:rsidRPr="00B47ED4">
          <w:rPr>
            <w:rStyle w:val="Hypertextovodkaz"/>
            <w:noProof/>
          </w:rPr>
          <w:t>Tabulka č. 8: Vertikální rozbor výkazu zisků a ztrát</w:t>
        </w:r>
        <w:r w:rsidR="00FF2CB5">
          <w:rPr>
            <w:noProof/>
            <w:webHidden/>
          </w:rPr>
          <w:tab/>
        </w:r>
        <w:r w:rsidR="00FF2CB5">
          <w:rPr>
            <w:noProof/>
            <w:webHidden/>
          </w:rPr>
          <w:fldChar w:fldCharType="begin"/>
        </w:r>
        <w:r w:rsidR="00FF2CB5">
          <w:rPr>
            <w:noProof/>
            <w:webHidden/>
          </w:rPr>
          <w:instrText xml:space="preserve"> PAGEREF _Toc133180294 \h </w:instrText>
        </w:r>
        <w:r w:rsidR="00FF2CB5">
          <w:rPr>
            <w:noProof/>
            <w:webHidden/>
          </w:rPr>
        </w:r>
        <w:r w:rsidR="00FF2CB5">
          <w:rPr>
            <w:noProof/>
            <w:webHidden/>
          </w:rPr>
          <w:fldChar w:fldCharType="separate"/>
        </w:r>
        <w:r w:rsidR="00FF2CB5">
          <w:rPr>
            <w:noProof/>
            <w:webHidden/>
          </w:rPr>
          <w:t>21</w:t>
        </w:r>
        <w:r w:rsidR="00FF2CB5">
          <w:rPr>
            <w:noProof/>
            <w:webHidden/>
          </w:rPr>
          <w:fldChar w:fldCharType="end"/>
        </w:r>
      </w:hyperlink>
    </w:p>
    <w:p w14:paraId="59158F59" w14:textId="7B5FC914"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5" w:history="1">
        <w:r w:rsidR="00FF2CB5" w:rsidRPr="00B47ED4">
          <w:rPr>
            <w:rStyle w:val="Hypertextovodkaz"/>
            <w:noProof/>
          </w:rPr>
          <w:t>Tabulka č. 9: Horizontální rozbor výkazu zisků a ztrát</w:t>
        </w:r>
        <w:r w:rsidR="00FF2CB5">
          <w:rPr>
            <w:noProof/>
            <w:webHidden/>
          </w:rPr>
          <w:tab/>
        </w:r>
        <w:r w:rsidR="00FF2CB5">
          <w:rPr>
            <w:noProof/>
            <w:webHidden/>
          </w:rPr>
          <w:fldChar w:fldCharType="begin"/>
        </w:r>
        <w:r w:rsidR="00FF2CB5">
          <w:rPr>
            <w:noProof/>
            <w:webHidden/>
          </w:rPr>
          <w:instrText xml:space="preserve"> PAGEREF _Toc133180295 \h </w:instrText>
        </w:r>
        <w:r w:rsidR="00FF2CB5">
          <w:rPr>
            <w:noProof/>
            <w:webHidden/>
          </w:rPr>
        </w:r>
        <w:r w:rsidR="00FF2CB5">
          <w:rPr>
            <w:noProof/>
            <w:webHidden/>
          </w:rPr>
          <w:fldChar w:fldCharType="separate"/>
        </w:r>
        <w:r w:rsidR="00FF2CB5">
          <w:rPr>
            <w:noProof/>
            <w:webHidden/>
          </w:rPr>
          <w:t>22</w:t>
        </w:r>
        <w:r w:rsidR="00FF2CB5">
          <w:rPr>
            <w:noProof/>
            <w:webHidden/>
          </w:rPr>
          <w:fldChar w:fldCharType="end"/>
        </w:r>
      </w:hyperlink>
    </w:p>
    <w:p w14:paraId="2B292F16" w14:textId="2576969F"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6" w:history="1">
        <w:r w:rsidR="00FF2CB5" w:rsidRPr="00B47ED4">
          <w:rPr>
            <w:rStyle w:val="Hypertextovodkaz"/>
            <w:noProof/>
          </w:rPr>
          <w:t>Tabulka č. 10: Analýza ukazatelů rentability</w:t>
        </w:r>
        <w:r w:rsidR="00FF2CB5">
          <w:rPr>
            <w:noProof/>
            <w:webHidden/>
          </w:rPr>
          <w:tab/>
        </w:r>
        <w:r w:rsidR="00FF2CB5">
          <w:rPr>
            <w:noProof/>
            <w:webHidden/>
          </w:rPr>
          <w:fldChar w:fldCharType="begin"/>
        </w:r>
        <w:r w:rsidR="00FF2CB5">
          <w:rPr>
            <w:noProof/>
            <w:webHidden/>
          </w:rPr>
          <w:instrText xml:space="preserve"> PAGEREF _Toc133180296 \h </w:instrText>
        </w:r>
        <w:r w:rsidR="00FF2CB5">
          <w:rPr>
            <w:noProof/>
            <w:webHidden/>
          </w:rPr>
        </w:r>
        <w:r w:rsidR="00FF2CB5">
          <w:rPr>
            <w:noProof/>
            <w:webHidden/>
          </w:rPr>
          <w:fldChar w:fldCharType="separate"/>
        </w:r>
        <w:r w:rsidR="00FF2CB5">
          <w:rPr>
            <w:noProof/>
            <w:webHidden/>
          </w:rPr>
          <w:t>24</w:t>
        </w:r>
        <w:r w:rsidR="00FF2CB5">
          <w:rPr>
            <w:noProof/>
            <w:webHidden/>
          </w:rPr>
          <w:fldChar w:fldCharType="end"/>
        </w:r>
      </w:hyperlink>
    </w:p>
    <w:p w14:paraId="66002C17" w14:textId="3CD524BF"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7" w:history="1">
        <w:r w:rsidR="00FF2CB5" w:rsidRPr="00B47ED4">
          <w:rPr>
            <w:rStyle w:val="Hypertextovodkaz"/>
            <w:noProof/>
          </w:rPr>
          <w:t>Tabulka č. 11: Analýza ukazatelů zadluženosti</w:t>
        </w:r>
        <w:r w:rsidR="00FF2CB5">
          <w:rPr>
            <w:noProof/>
            <w:webHidden/>
          </w:rPr>
          <w:tab/>
        </w:r>
        <w:r w:rsidR="00FF2CB5">
          <w:rPr>
            <w:noProof/>
            <w:webHidden/>
          </w:rPr>
          <w:fldChar w:fldCharType="begin"/>
        </w:r>
        <w:r w:rsidR="00FF2CB5">
          <w:rPr>
            <w:noProof/>
            <w:webHidden/>
          </w:rPr>
          <w:instrText xml:space="preserve"> PAGEREF _Toc133180297 \h </w:instrText>
        </w:r>
        <w:r w:rsidR="00FF2CB5">
          <w:rPr>
            <w:noProof/>
            <w:webHidden/>
          </w:rPr>
        </w:r>
        <w:r w:rsidR="00FF2CB5">
          <w:rPr>
            <w:noProof/>
            <w:webHidden/>
          </w:rPr>
          <w:fldChar w:fldCharType="separate"/>
        </w:r>
        <w:r w:rsidR="00FF2CB5">
          <w:rPr>
            <w:noProof/>
            <w:webHidden/>
          </w:rPr>
          <w:t>26</w:t>
        </w:r>
        <w:r w:rsidR="00FF2CB5">
          <w:rPr>
            <w:noProof/>
            <w:webHidden/>
          </w:rPr>
          <w:fldChar w:fldCharType="end"/>
        </w:r>
      </w:hyperlink>
    </w:p>
    <w:p w14:paraId="2FA86B0A" w14:textId="797ACE35"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8" w:history="1">
        <w:r w:rsidR="00FF2CB5" w:rsidRPr="00B47ED4">
          <w:rPr>
            <w:rStyle w:val="Hypertextovodkaz"/>
            <w:noProof/>
          </w:rPr>
          <w:t>Tabulka č. 12: Krytí úroků či majetku společnosti</w:t>
        </w:r>
        <w:r w:rsidR="00FF2CB5">
          <w:rPr>
            <w:noProof/>
            <w:webHidden/>
          </w:rPr>
          <w:tab/>
        </w:r>
        <w:r w:rsidR="00FF2CB5">
          <w:rPr>
            <w:noProof/>
            <w:webHidden/>
          </w:rPr>
          <w:fldChar w:fldCharType="begin"/>
        </w:r>
        <w:r w:rsidR="00FF2CB5">
          <w:rPr>
            <w:noProof/>
            <w:webHidden/>
          </w:rPr>
          <w:instrText xml:space="preserve"> PAGEREF _Toc133180298 \h </w:instrText>
        </w:r>
        <w:r w:rsidR="00FF2CB5">
          <w:rPr>
            <w:noProof/>
            <w:webHidden/>
          </w:rPr>
        </w:r>
        <w:r w:rsidR="00FF2CB5">
          <w:rPr>
            <w:noProof/>
            <w:webHidden/>
          </w:rPr>
          <w:fldChar w:fldCharType="separate"/>
        </w:r>
        <w:r w:rsidR="00FF2CB5">
          <w:rPr>
            <w:noProof/>
            <w:webHidden/>
          </w:rPr>
          <w:t>28</w:t>
        </w:r>
        <w:r w:rsidR="00FF2CB5">
          <w:rPr>
            <w:noProof/>
            <w:webHidden/>
          </w:rPr>
          <w:fldChar w:fldCharType="end"/>
        </w:r>
      </w:hyperlink>
    </w:p>
    <w:p w14:paraId="6B1F1BB2" w14:textId="05AC0B9F"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299" w:history="1">
        <w:r w:rsidR="00FF2CB5" w:rsidRPr="00B47ED4">
          <w:rPr>
            <w:rStyle w:val="Hypertextovodkaz"/>
            <w:noProof/>
          </w:rPr>
          <w:t>Tabulka č. 13: Ukazatelé aktivity</w:t>
        </w:r>
        <w:r w:rsidR="00FF2CB5">
          <w:rPr>
            <w:noProof/>
            <w:webHidden/>
          </w:rPr>
          <w:tab/>
        </w:r>
        <w:r w:rsidR="00FF2CB5">
          <w:rPr>
            <w:noProof/>
            <w:webHidden/>
          </w:rPr>
          <w:fldChar w:fldCharType="begin"/>
        </w:r>
        <w:r w:rsidR="00FF2CB5">
          <w:rPr>
            <w:noProof/>
            <w:webHidden/>
          </w:rPr>
          <w:instrText xml:space="preserve"> PAGEREF _Toc133180299 \h </w:instrText>
        </w:r>
        <w:r w:rsidR="00FF2CB5">
          <w:rPr>
            <w:noProof/>
            <w:webHidden/>
          </w:rPr>
        </w:r>
        <w:r w:rsidR="00FF2CB5">
          <w:rPr>
            <w:noProof/>
            <w:webHidden/>
          </w:rPr>
          <w:fldChar w:fldCharType="separate"/>
        </w:r>
        <w:r w:rsidR="00FF2CB5">
          <w:rPr>
            <w:noProof/>
            <w:webHidden/>
          </w:rPr>
          <w:t>29</w:t>
        </w:r>
        <w:r w:rsidR="00FF2CB5">
          <w:rPr>
            <w:noProof/>
            <w:webHidden/>
          </w:rPr>
          <w:fldChar w:fldCharType="end"/>
        </w:r>
      </w:hyperlink>
    </w:p>
    <w:p w14:paraId="23767D4B" w14:textId="0FF08D41"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0" w:history="1">
        <w:r w:rsidR="00FF2CB5" w:rsidRPr="00B47ED4">
          <w:rPr>
            <w:rStyle w:val="Hypertextovodkaz"/>
            <w:noProof/>
          </w:rPr>
          <w:t>Tabulka č. 14: Obrat aktiv v odvětví</w:t>
        </w:r>
        <w:r w:rsidR="00FF2CB5">
          <w:rPr>
            <w:noProof/>
            <w:webHidden/>
          </w:rPr>
          <w:tab/>
        </w:r>
        <w:r w:rsidR="00FF2CB5">
          <w:rPr>
            <w:noProof/>
            <w:webHidden/>
          </w:rPr>
          <w:fldChar w:fldCharType="begin"/>
        </w:r>
        <w:r w:rsidR="00FF2CB5">
          <w:rPr>
            <w:noProof/>
            <w:webHidden/>
          </w:rPr>
          <w:instrText xml:space="preserve"> PAGEREF _Toc133180300 \h </w:instrText>
        </w:r>
        <w:r w:rsidR="00FF2CB5">
          <w:rPr>
            <w:noProof/>
            <w:webHidden/>
          </w:rPr>
        </w:r>
        <w:r w:rsidR="00FF2CB5">
          <w:rPr>
            <w:noProof/>
            <w:webHidden/>
          </w:rPr>
          <w:fldChar w:fldCharType="separate"/>
        </w:r>
        <w:r w:rsidR="00FF2CB5">
          <w:rPr>
            <w:noProof/>
            <w:webHidden/>
          </w:rPr>
          <w:t>30</w:t>
        </w:r>
        <w:r w:rsidR="00FF2CB5">
          <w:rPr>
            <w:noProof/>
            <w:webHidden/>
          </w:rPr>
          <w:fldChar w:fldCharType="end"/>
        </w:r>
      </w:hyperlink>
    </w:p>
    <w:p w14:paraId="13B16304" w14:textId="15BF964E"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1" w:history="1">
        <w:r w:rsidR="00FF2CB5" w:rsidRPr="00B47ED4">
          <w:rPr>
            <w:rStyle w:val="Hypertextovodkaz"/>
            <w:noProof/>
          </w:rPr>
          <w:t>Tabulka č. 15: Likvidita</w:t>
        </w:r>
        <w:r w:rsidR="00FF2CB5">
          <w:rPr>
            <w:noProof/>
            <w:webHidden/>
          </w:rPr>
          <w:tab/>
        </w:r>
        <w:r w:rsidR="00FF2CB5">
          <w:rPr>
            <w:noProof/>
            <w:webHidden/>
          </w:rPr>
          <w:fldChar w:fldCharType="begin"/>
        </w:r>
        <w:r w:rsidR="00FF2CB5">
          <w:rPr>
            <w:noProof/>
            <w:webHidden/>
          </w:rPr>
          <w:instrText xml:space="preserve"> PAGEREF _Toc133180301 \h </w:instrText>
        </w:r>
        <w:r w:rsidR="00FF2CB5">
          <w:rPr>
            <w:noProof/>
            <w:webHidden/>
          </w:rPr>
        </w:r>
        <w:r w:rsidR="00FF2CB5">
          <w:rPr>
            <w:noProof/>
            <w:webHidden/>
          </w:rPr>
          <w:fldChar w:fldCharType="separate"/>
        </w:r>
        <w:r w:rsidR="00FF2CB5">
          <w:rPr>
            <w:noProof/>
            <w:webHidden/>
          </w:rPr>
          <w:t>31</w:t>
        </w:r>
        <w:r w:rsidR="00FF2CB5">
          <w:rPr>
            <w:noProof/>
            <w:webHidden/>
          </w:rPr>
          <w:fldChar w:fldCharType="end"/>
        </w:r>
      </w:hyperlink>
    </w:p>
    <w:p w14:paraId="17304FD8" w14:textId="5FC36817"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2" w:history="1">
        <w:r w:rsidR="00FF2CB5" w:rsidRPr="00B47ED4">
          <w:rPr>
            <w:rStyle w:val="Hypertextovodkaz"/>
            <w:noProof/>
          </w:rPr>
          <w:t>Tabulka č. 16: Finanční páka</w:t>
        </w:r>
        <w:r w:rsidR="00FF2CB5">
          <w:rPr>
            <w:noProof/>
            <w:webHidden/>
          </w:rPr>
          <w:tab/>
        </w:r>
        <w:r w:rsidR="00FF2CB5">
          <w:rPr>
            <w:noProof/>
            <w:webHidden/>
          </w:rPr>
          <w:fldChar w:fldCharType="begin"/>
        </w:r>
        <w:r w:rsidR="00FF2CB5">
          <w:rPr>
            <w:noProof/>
            <w:webHidden/>
          </w:rPr>
          <w:instrText xml:space="preserve"> PAGEREF _Toc133180302 \h </w:instrText>
        </w:r>
        <w:r w:rsidR="00FF2CB5">
          <w:rPr>
            <w:noProof/>
            <w:webHidden/>
          </w:rPr>
        </w:r>
        <w:r w:rsidR="00FF2CB5">
          <w:rPr>
            <w:noProof/>
            <w:webHidden/>
          </w:rPr>
          <w:fldChar w:fldCharType="separate"/>
        </w:r>
        <w:r w:rsidR="00FF2CB5">
          <w:rPr>
            <w:noProof/>
            <w:webHidden/>
          </w:rPr>
          <w:t>33</w:t>
        </w:r>
        <w:r w:rsidR="00FF2CB5">
          <w:rPr>
            <w:noProof/>
            <w:webHidden/>
          </w:rPr>
          <w:fldChar w:fldCharType="end"/>
        </w:r>
      </w:hyperlink>
    </w:p>
    <w:p w14:paraId="3373DE92" w14:textId="73CC7344"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3" w:history="1">
        <w:r w:rsidR="00FF2CB5" w:rsidRPr="00B47ED4">
          <w:rPr>
            <w:rStyle w:val="Hypertextovodkaz"/>
            <w:noProof/>
          </w:rPr>
          <w:t>Tabulka č. 17: Výpočet WACC</w:t>
        </w:r>
        <w:r w:rsidR="00FF2CB5">
          <w:rPr>
            <w:noProof/>
            <w:webHidden/>
          </w:rPr>
          <w:tab/>
        </w:r>
        <w:r w:rsidR="00FF2CB5">
          <w:rPr>
            <w:noProof/>
            <w:webHidden/>
          </w:rPr>
          <w:fldChar w:fldCharType="begin"/>
        </w:r>
        <w:r w:rsidR="00FF2CB5">
          <w:rPr>
            <w:noProof/>
            <w:webHidden/>
          </w:rPr>
          <w:instrText xml:space="preserve"> PAGEREF _Toc133180303 \h </w:instrText>
        </w:r>
        <w:r w:rsidR="00FF2CB5">
          <w:rPr>
            <w:noProof/>
            <w:webHidden/>
          </w:rPr>
        </w:r>
        <w:r w:rsidR="00FF2CB5">
          <w:rPr>
            <w:noProof/>
            <w:webHidden/>
          </w:rPr>
          <w:fldChar w:fldCharType="separate"/>
        </w:r>
        <w:r w:rsidR="00FF2CB5">
          <w:rPr>
            <w:noProof/>
            <w:webHidden/>
          </w:rPr>
          <w:t>37</w:t>
        </w:r>
        <w:r w:rsidR="00FF2CB5">
          <w:rPr>
            <w:noProof/>
            <w:webHidden/>
          </w:rPr>
          <w:fldChar w:fldCharType="end"/>
        </w:r>
      </w:hyperlink>
    </w:p>
    <w:p w14:paraId="7F2E5D5A" w14:textId="7540C7FB"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4" w:history="1">
        <w:r w:rsidR="00FF2CB5" w:rsidRPr="00B47ED4">
          <w:rPr>
            <w:rStyle w:val="Hypertextovodkaz"/>
            <w:noProof/>
          </w:rPr>
          <w:t>Tabulka č. 18: Výpočet ukazatele NOPAT</w:t>
        </w:r>
        <w:r w:rsidR="00FF2CB5">
          <w:rPr>
            <w:noProof/>
            <w:webHidden/>
          </w:rPr>
          <w:tab/>
        </w:r>
        <w:r w:rsidR="00FF2CB5">
          <w:rPr>
            <w:noProof/>
            <w:webHidden/>
          </w:rPr>
          <w:fldChar w:fldCharType="begin"/>
        </w:r>
        <w:r w:rsidR="00FF2CB5">
          <w:rPr>
            <w:noProof/>
            <w:webHidden/>
          </w:rPr>
          <w:instrText xml:space="preserve"> PAGEREF _Toc133180304 \h </w:instrText>
        </w:r>
        <w:r w:rsidR="00FF2CB5">
          <w:rPr>
            <w:noProof/>
            <w:webHidden/>
          </w:rPr>
        </w:r>
        <w:r w:rsidR="00FF2CB5">
          <w:rPr>
            <w:noProof/>
            <w:webHidden/>
          </w:rPr>
          <w:fldChar w:fldCharType="separate"/>
        </w:r>
        <w:r w:rsidR="00FF2CB5">
          <w:rPr>
            <w:noProof/>
            <w:webHidden/>
          </w:rPr>
          <w:t>39</w:t>
        </w:r>
        <w:r w:rsidR="00FF2CB5">
          <w:rPr>
            <w:noProof/>
            <w:webHidden/>
          </w:rPr>
          <w:fldChar w:fldCharType="end"/>
        </w:r>
      </w:hyperlink>
    </w:p>
    <w:p w14:paraId="30C04F7D" w14:textId="41A06232"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5" w:history="1">
        <w:r w:rsidR="00FF2CB5" w:rsidRPr="00B47ED4">
          <w:rPr>
            <w:rStyle w:val="Hypertextovodkaz"/>
            <w:noProof/>
          </w:rPr>
          <w:t>Tabulka č. 19: Výpočet EVA</w:t>
        </w:r>
        <w:r w:rsidR="00FF2CB5">
          <w:rPr>
            <w:noProof/>
            <w:webHidden/>
          </w:rPr>
          <w:tab/>
        </w:r>
        <w:r w:rsidR="00FF2CB5">
          <w:rPr>
            <w:noProof/>
            <w:webHidden/>
          </w:rPr>
          <w:fldChar w:fldCharType="begin"/>
        </w:r>
        <w:r w:rsidR="00FF2CB5">
          <w:rPr>
            <w:noProof/>
            <w:webHidden/>
          </w:rPr>
          <w:instrText xml:space="preserve"> PAGEREF _Toc133180305 \h </w:instrText>
        </w:r>
        <w:r w:rsidR="00FF2CB5">
          <w:rPr>
            <w:noProof/>
            <w:webHidden/>
          </w:rPr>
        </w:r>
        <w:r w:rsidR="00FF2CB5">
          <w:rPr>
            <w:noProof/>
            <w:webHidden/>
          </w:rPr>
          <w:fldChar w:fldCharType="separate"/>
        </w:r>
        <w:r w:rsidR="00FF2CB5">
          <w:rPr>
            <w:noProof/>
            <w:webHidden/>
          </w:rPr>
          <w:t>40</w:t>
        </w:r>
        <w:r w:rsidR="00FF2CB5">
          <w:rPr>
            <w:noProof/>
            <w:webHidden/>
          </w:rPr>
          <w:fldChar w:fldCharType="end"/>
        </w:r>
      </w:hyperlink>
    </w:p>
    <w:p w14:paraId="5CB649BF" w14:textId="4DB67B38"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6" w:history="1">
        <w:r w:rsidR="00FF2CB5" w:rsidRPr="00B47ED4">
          <w:rPr>
            <w:rStyle w:val="Hypertextovodkaz"/>
            <w:noProof/>
          </w:rPr>
          <w:t>Tabulka č. 20: Výpočet Quick testu</w:t>
        </w:r>
        <w:r w:rsidR="00FF2CB5">
          <w:rPr>
            <w:noProof/>
            <w:webHidden/>
          </w:rPr>
          <w:tab/>
        </w:r>
        <w:r w:rsidR="00FF2CB5">
          <w:rPr>
            <w:noProof/>
            <w:webHidden/>
          </w:rPr>
          <w:fldChar w:fldCharType="begin"/>
        </w:r>
        <w:r w:rsidR="00FF2CB5">
          <w:rPr>
            <w:noProof/>
            <w:webHidden/>
          </w:rPr>
          <w:instrText xml:space="preserve"> PAGEREF _Toc133180306 \h </w:instrText>
        </w:r>
        <w:r w:rsidR="00FF2CB5">
          <w:rPr>
            <w:noProof/>
            <w:webHidden/>
          </w:rPr>
        </w:r>
        <w:r w:rsidR="00FF2CB5">
          <w:rPr>
            <w:noProof/>
            <w:webHidden/>
          </w:rPr>
          <w:fldChar w:fldCharType="separate"/>
        </w:r>
        <w:r w:rsidR="00FF2CB5">
          <w:rPr>
            <w:noProof/>
            <w:webHidden/>
          </w:rPr>
          <w:t>42</w:t>
        </w:r>
        <w:r w:rsidR="00FF2CB5">
          <w:rPr>
            <w:noProof/>
            <w:webHidden/>
          </w:rPr>
          <w:fldChar w:fldCharType="end"/>
        </w:r>
      </w:hyperlink>
    </w:p>
    <w:p w14:paraId="58380E56" w14:textId="1F4485FE"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7" w:history="1">
        <w:r w:rsidR="00FF2CB5" w:rsidRPr="00B47ED4">
          <w:rPr>
            <w:rStyle w:val="Hypertextovodkaz"/>
            <w:noProof/>
          </w:rPr>
          <w:t>Tabulka č. 21: Výsledky Quick-testu společnosti S&amp;K LABEL</w:t>
        </w:r>
        <w:r w:rsidR="00FF2CB5">
          <w:rPr>
            <w:noProof/>
            <w:webHidden/>
          </w:rPr>
          <w:tab/>
        </w:r>
        <w:r w:rsidR="00FF2CB5">
          <w:rPr>
            <w:noProof/>
            <w:webHidden/>
          </w:rPr>
          <w:fldChar w:fldCharType="begin"/>
        </w:r>
        <w:r w:rsidR="00FF2CB5">
          <w:rPr>
            <w:noProof/>
            <w:webHidden/>
          </w:rPr>
          <w:instrText xml:space="preserve"> PAGEREF _Toc133180307 \h </w:instrText>
        </w:r>
        <w:r w:rsidR="00FF2CB5">
          <w:rPr>
            <w:noProof/>
            <w:webHidden/>
          </w:rPr>
        </w:r>
        <w:r w:rsidR="00FF2CB5">
          <w:rPr>
            <w:noProof/>
            <w:webHidden/>
          </w:rPr>
          <w:fldChar w:fldCharType="separate"/>
        </w:r>
        <w:r w:rsidR="00FF2CB5">
          <w:rPr>
            <w:noProof/>
            <w:webHidden/>
          </w:rPr>
          <w:t>42</w:t>
        </w:r>
        <w:r w:rsidR="00FF2CB5">
          <w:rPr>
            <w:noProof/>
            <w:webHidden/>
          </w:rPr>
          <w:fldChar w:fldCharType="end"/>
        </w:r>
      </w:hyperlink>
    </w:p>
    <w:p w14:paraId="798ACCEF" w14:textId="16A4D9E0"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8" w:history="1">
        <w:r w:rsidR="00FF2CB5" w:rsidRPr="00B47ED4">
          <w:rPr>
            <w:rStyle w:val="Hypertextovodkaz"/>
            <w:noProof/>
          </w:rPr>
          <w:t>Tabulka č. 22: Výsledky indexu IN05</w:t>
        </w:r>
        <w:r w:rsidR="00FF2CB5">
          <w:rPr>
            <w:noProof/>
            <w:webHidden/>
          </w:rPr>
          <w:tab/>
        </w:r>
        <w:r w:rsidR="00FF2CB5">
          <w:rPr>
            <w:noProof/>
            <w:webHidden/>
          </w:rPr>
          <w:fldChar w:fldCharType="begin"/>
        </w:r>
        <w:r w:rsidR="00FF2CB5">
          <w:rPr>
            <w:noProof/>
            <w:webHidden/>
          </w:rPr>
          <w:instrText xml:space="preserve"> PAGEREF _Toc133180308 \h </w:instrText>
        </w:r>
        <w:r w:rsidR="00FF2CB5">
          <w:rPr>
            <w:noProof/>
            <w:webHidden/>
          </w:rPr>
        </w:r>
        <w:r w:rsidR="00FF2CB5">
          <w:rPr>
            <w:noProof/>
            <w:webHidden/>
          </w:rPr>
          <w:fldChar w:fldCharType="separate"/>
        </w:r>
        <w:r w:rsidR="00FF2CB5">
          <w:rPr>
            <w:noProof/>
            <w:webHidden/>
          </w:rPr>
          <w:t>44</w:t>
        </w:r>
        <w:r w:rsidR="00FF2CB5">
          <w:rPr>
            <w:noProof/>
            <w:webHidden/>
          </w:rPr>
          <w:fldChar w:fldCharType="end"/>
        </w:r>
      </w:hyperlink>
    </w:p>
    <w:p w14:paraId="5CE4E8E7" w14:textId="6CFCA129"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09" w:history="1">
        <w:r w:rsidR="00FF2CB5" w:rsidRPr="00B47ED4">
          <w:rPr>
            <w:rStyle w:val="Hypertextovodkaz"/>
            <w:noProof/>
          </w:rPr>
          <w:t>Tabulka č. 23: Porovnání IN05 a EVA</w:t>
        </w:r>
        <w:r w:rsidR="00FF2CB5">
          <w:rPr>
            <w:noProof/>
            <w:webHidden/>
          </w:rPr>
          <w:tab/>
        </w:r>
        <w:r w:rsidR="00FF2CB5">
          <w:rPr>
            <w:noProof/>
            <w:webHidden/>
          </w:rPr>
          <w:fldChar w:fldCharType="begin"/>
        </w:r>
        <w:r w:rsidR="00FF2CB5">
          <w:rPr>
            <w:noProof/>
            <w:webHidden/>
          </w:rPr>
          <w:instrText xml:space="preserve"> PAGEREF _Toc133180309 \h </w:instrText>
        </w:r>
        <w:r w:rsidR="00FF2CB5">
          <w:rPr>
            <w:noProof/>
            <w:webHidden/>
          </w:rPr>
        </w:r>
        <w:r w:rsidR="00FF2CB5">
          <w:rPr>
            <w:noProof/>
            <w:webHidden/>
          </w:rPr>
          <w:fldChar w:fldCharType="separate"/>
        </w:r>
        <w:r w:rsidR="00FF2CB5">
          <w:rPr>
            <w:noProof/>
            <w:webHidden/>
          </w:rPr>
          <w:t>45</w:t>
        </w:r>
        <w:r w:rsidR="00FF2CB5">
          <w:rPr>
            <w:noProof/>
            <w:webHidden/>
          </w:rPr>
          <w:fldChar w:fldCharType="end"/>
        </w:r>
      </w:hyperlink>
    </w:p>
    <w:p w14:paraId="54C7DE54" w14:textId="34F85911"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0" w:history="1">
        <w:r w:rsidR="00FF2CB5" w:rsidRPr="00B47ED4">
          <w:rPr>
            <w:rStyle w:val="Hypertextovodkaz"/>
            <w:noProof/>
          </w:rPr>
          <w:t>Tabulka č. 24: SWOT analýza</w:t>
        </w:r>
        <w:r w:rsidR="00FF2CB5">
          <w:rPr>
            <w:noProof/>
            <w:webHidden/>
          </w:rPr>
          <w:tab/>
        </w:r>
        <w:r w:rsidR="00FF2CB5">
          <w:rPr>
            <w:noProof/>
            <w:webHidden/>
          </w:rPr>
          <w:fldChar w:fldCharType="begin"/>
        </w:r>
        <w:r w:rsidR="00FF2CB5">
          <w:rPr>
            <w:noProof/>
            <w:webHidden/>
          </w:rPr>
          <w:instrText xml:space="preserve"> PAGEREF _Toc133180310 \h </w:instrText>
        </w:r>
        <w:r w:rsidR="00FF2CB5">
          <w:rPr>
            <w:noProof/>
            <w:webHidden/>
          </w:rPr>
        </w:r>
        <w:r w:rsidR="00FF2CB5">
          <w:rPr>
            <w:noProof/>
            <w:webHidden/>
          </w:rPr>
          <w:fldChar w:fldCharType="separate"/>
        </w:r>
        <w:r w:rsidR="00FF2CB5">
          <w:rPr>
            <w:noProof/>
            <w:webHidden/>
          </w:rPr>
          <w:t>47</w:t>
        </w:r>
        <w:r w:rsidR="00FF2CB5">
          <w:rPr>
            <w:noProof/>
            <w:webHidden/>
          </w:rPr>
          <w:fldChar w:fldCharType="end"/>
        </w:r>
      </w:hyperlink>
    </w:p>
    <w:p w14:paraId="2D207FE4" w14:textId="12A91263" w:rsidR="008B1BE6" w:rsidRPr="00746487" w:rsidRDefault="0098522A" w:rsidP="00457A41">
      <w:pPr>
        <w:pStyle w:val="Odstavec1"/>
      </w:pPr>
      <w:r>
        <w:rPr>
          <w:b/>
          <w:bCs/>
          <w:noProof/>
        </w:rPr>
        <w:fldChar w:fldCharType="end"/>
      </w:r>
    </w:p>
    <w:p w14:paraId="60514CA5" w14:textId="1F7DC047" w:rsidR="00F243CE" w:rsidRDefault="00F243CE">
      <w:r>
        <w:br w:type="page"/>
      </w:r>
    </w:p>
    <w:p w14:paraId="69487C81" w14:textId="3C7702DF" w:rsidR="00F243CE" w:rsidRDefault="00F243CE" w:rsidP="00F243CE">
      <w:pPr>
        <w:pStyle w:val="Nadpis10"/>
      </w:pPr>
      <w:bookmarkStart w:id="2" w:name="_Toc132567244"/>
      <w:r w:rsidRPr="00746487">
        <w:lastRenderedPageBreak/>
        <w:t xml:space="preserve">Seznam </w:t>
      </w:r>
      <w:r>
        <w:t>grafů</w:t>
      </w:r>
      <w:bookmarkEnd w:id="2"/>
    </w:p>
    <w:p w14:paraId="0EDE5068" w14:textId="482A208F" w:rsidR="00FF2CB5" w:rsidRDefault="00F12D07">
      <w:pPr>
        <w:pStyle w:val="Seznamobrzk"/>
        <w:tabs>
          <w:tab w:val="right" w:leader="dot" w:pos="7356"/>
        </w:tabs>
        <w:rPr>
          <w:rFonts w:asciiTheme="minorHAnsi" w:eastAsiaTheme="minorEastAsia" w:hAnsiTheme="minorHAnsi" w:cstheme="minorBidi"/>
          <w:noProof/>
          <w:sz w:val="22"/>
          <w:szCs w:val="22"/>
        </w:rPr>
      </w:pPr>
      <w:r>
        <w:fldChar w:fldCharType="begin"/>
      </w:r>
      <w:r>
        <w:instrText xml:space="preserve"> TOC \h \z \t "Titulek grafů" \c </w:instrText>
      </w:r>
      <w:r>
        <w:fldChar w:fldCharType="separate"/>
      </w:r>
      <w:hyperlink w:anchor="_Toc133180311" w:history="1">
        <w:r w:rsidR="00FF2CB5" w:rsidRPr="003D221D">
          <w:rPr>
            <w:rStyle w:val="Hypertextovodkaz"/>
            <w:noProof/>
          </w:rPr>
          <w:t>Graf  č. 1: Přírůstek/úbytek počtu obyvatel</w:t>
        </w:r>
        <w:r w:rsidR="00FF2CB5">
          <w:rPr>
            <w:noProof/>
            <w:webHidden/>
          </w:rPr>
          <w:tab/>
        </w:r>
        <w:r w:rsidR="00FF2CB5">
          <w:rPr>
            <w:noProof/>
            <w:webHidden/>
          </w:rPr>
          <w:fldChar w:fldCharType="begin"/>
        </w:r>
        <w:r w:rsidR="00FF2CB5">
          <w:rPr>
            <w:noProof/>
            <w:webHidden/>
          </w:rPr>
          <w:instrText xml:space="preserve"> PAGEREF _Toc133180311 \h </w:instrText>
        </w:r>
        <w:r w:rsidR="00FF2CB5">
          <w:rPr>
            <w:noProof/>
            <w:webHidden/>
          </w:rPr>
        </w:r>
        <w:r w:rsidR="00FF2CB5">
          <w:rPr>
            <w:noProof/>
            <w:webHidden/>
          </w:rPr>
          <w:fldChar w:fldCharType="separate"/>
        </w:r>
        <w:r w:rsidR="00FF2CB5">
          <w:rPr>
            <w:noProof/>
            <w:webHidden/>
          </w:rPr>
          <w:t>13</w:t>
        </w:r>
        <w:r w:rsidR="00FF2CB5">
          <w:rPr>
            <w:noProof/>
            <w:webHidden/>
          </w:rPr>
          <w:fldChar w:fldCharType="end"/>
        </w:r>
      </w:hyperlink>
    </w:p>
    <w:p w14:paraId="01BF6387" w14:textId="596E6DA2"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2" w:history="1">
        <w:r w:rsidR="00FF2CB5" w:rsidRPr="003D221D">
          <w:rPr>
            <w:rStyle w:val="Hypertextovodkaz"/>
            <w:noProof/>
          </w:rPr>
          <w:t>Graf č. 2: Odběratelé podniku</w:t>
        </w:r>
        <w:r w:rsidR="00FF2CB5">
          <w:rPr>
            <w:noProof/>
            <w:webHidden/>
          </w:rPr>
          <w:tab/>
        </w:r>
        <w:r w:rsidR="00FF2CB5">
          <w:rPr>
            <w:noProof/>
            <w:webHidden/>
          </w:rPr>
          <w:fldChar w:fldCharType="begin"/>
        </w:r>
        <w:r w:rsidR="00FF2CB5">
          <w:rPr>
            <w:noProof/>
            <w:webHidden/>
          </w:rPr>
          <w:instrText xml:space="preserve"> PAGEREF _Toc133180312 \h </w:instrText>
        </w:r>
        <w:r w:rsidR="00FF2CB5">
          <w:rPr>
            <w:noProof/>
            <w:webHidden/>
          </w:rPr>
        </w:r>
        <w:r w:rsidR="00FF2CB5">
          <w:rPr>
            <w:noProof/>
            <w:webHidden/>
          </w:rPr>
          <w:fldChar w:fldCharType="separate"/>
        </w:r>
        <w:r w:rsidR="00FF2CB5">
          <w:rPr>
            <w:noProof/>
            <w:webHidden/>
          </w:rPr>
          <w:t>14</w:t>
        </w:r>
        <w:r w:rsidR="00FF2CB5">
          <w:rPr>
            <w:noProof/>
            <w:webHidden/>
          </w:rPr>
          <w:fldChar w:fldCharType="end"/>
        </w:r>
      </w:hyperlink>
    </w:p>
    <w:p w14:paraId="2659D8EF" w14:textId="7E9CAEA7"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3" w:history="1">
        <w:r w:rsidR="00FF2CB5" w:rsidRPr="003D221D">
          <w:rPr>
            <w:rStyle w:val="Hypertextovodkaz"/>
            <w:noProof/>
          </w:rPr>
          <w:t>Graf č. 3: Vertikální analýza Aktiv</w:t>
        </w:r>
        <w:r w:rsidR="00FF2CB5">
          <w:rPr>
            <w:noProof/>
            <w:webHidden/>
          </w:rPr>
          <w:tab/>
        </w:r>
        <w:r w:rsidR="00FF2CB5">
          <w:rPr>
            <w:noProof/>
            <w:webHidden/>
          </w:rPr>
          <w:fldChar w:fldCharType="begin"/>
        </w:r>
        <w:r w:rsidR="00FF2CB5">
          <w:rPr>
            <w:noProof/>
            <w:webHidden/>
          </w:rPr>
          <w:instrText xml:space="preserve"> PAGEREF _Toc133180313 \h </w:instrText>
        </w:r>
        <w:r w:rsidR="00FF2CB5">
          <w:rPr>
            <w:noProof/>
            <w:webHidden/>
          </w:rPr>
        </w:r>
        <w:r w:rsidR="00FF2CB5">
          <w:rPr>
            <w:noProof/>
            <w:webHidden/>
          </w:rPr>
          <w:fldChar w:fldCharType="separate"/>
        </w:r>
        <w:r w:rsidR="00FF2CB5">
          <w:rPr>
            <w:noProof/>
            <w:webHidden/>
          </w:rPr>
          <w:t>17</w:t>
        </w:r>
        <w:r w:rsidR="00FF2CB5">
          <w:rPr>
            <w:noProof/>
            <w:webHidden/>
          </w:rPr>
          <w:fldChar w:fldCharType="end"/>
        </w:r>
      </w:hyperlink>
    </w:p>
    <w:p w14:paraId="5FE406B7" w14:textId="72B3A168"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4" w:history="1">
        <w:r w:rsidR="00FF2CB5" w:rsidRPr="003D221D">
          <w:rPr>
            <w:rStyle w:val="Hypertextovodkaz"/>
            <w:noProof/>
          </w:rPr>
          <w:t>Graf č. 4: Vertikální analýza VZZ</w:t>
        </w:r>
        <w:r w:rsidR="00FF2CB5">
          <w:rPr>
            <w:noProof/>
            <w:webHidden/>
          </w:rPr>
          <w:tab/>
        </w:r>
        <w:r w:rsidR="00FF2CB5">
          <w:rPr>
            <w:noProof/>
            <w:webHidden/>
          </w:rPr>
          <w:fldChar w:fldCharType="begin"/>
        </w:r>
        <w:r w:rsidR="00FF2CB5">
          <w:rPr>
            <w:noProof/>
            <w:webHidden/>
          </w:rPr>
          <w:instrText xml:space="preserve"> PAGEREF _Toc133180314 \h </w:instrText>
        </w:r>
        <w:r w:rsidR="00FF2CB5">
          <w:rPr>
            <w:noProof/>
            <w:webHidden/>
          </w:rPr>
        </w:r>
        <w:r w:rsidR="00FF2CB5">
          <w:rPr>
            <w:noProof/>
            <w:webHidden/>
          </w:rPr>
          <w:fldChar w:fldCharType="separate"/>
        </w:r>
        <w:r w:rsidR="00FF2CB5">
          <w:rPr>
            <w:noProof/>
            <w:webHidden/>
          </w:rPr>
          <w:t>22</w:t>
        </w:r>
        <w:r w:rsidR="00FF2CB5">
          <w:rPr>
            <w:noProof/>
            <w:webHidden/>
          </w:rPr>
          <w:fldChar w:fldCharType="end"/>
        </w:r>
      </w:hyperlink>
    </w:p>
    <w:p w14:paraId="49E28CAC" w14:textId="689AAC52"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5" w:history="1">
        <w:r w:rsidR="00FF2CB5" w:rsidRPr="003D221D">
          <w:rPr>
            <w:rStyle w:val="Hypertextovodkaz"/>
            <w:noProof/>
          </w:rPr>
          <w:t>Graf č. 5: Vývoj ukazatelů rentability</w:t>
        </w:r>
        <w:r w:rsidR="00FF2CB5">
          <w:rPr>
            <w:noProof/>
            <w:webHidden/>
          </w:rPr>
          <w:tab/>
        </w:r>
        <w:r w:rsidR="00FF2CB5">
          <w:rPr>
            <w:noProof/>
            <w:webHidden/>
          </w:rPr>
          <w:fldChar w:fldCharType="begin"/>
        </w:r>
        <w:r w:rsidR="00FF2CB5">
          <w:rPr>
            <w:noProof/>
            <w:webHidden/>
          </w:rPr>
          <w:instrText xml:space="preserve"> PAGEREF _Toc133180315 \h </w:instrText>
        </w:r>
        <w:r w:rsidR="00FF2CB5">
          <w:rPr>
            <w:noProof/>
            <w:webHidden/>
          </w:rPr>
        </w:r>
        <w:r w:rsidR="00FF2CB5">
          <w:rPr>
            <w:noProof/>
            <w:webHidden/>
          </w:rPr>
          <w:fldChar w:fldCharType="separate"/>
        </w:r>
        <w:r w:rsidR="00FF2CB5">
          <w:rPr>
            <w:noProof/>
            <w:webHidden/>
          </w:rPr>
          <w:t>25</w:t>
        </w:r>
        <w:r w:rsidR="00FF2CB5">
          <w:rPr>
            <w:noProof/>
            <w:webHidden/>
          </w:rPr>
          <w:fldChar w:fldCharType="end"/>
        </w:r>
      </w:hyperlink>
    </w:p>
    <w:p w14:paraId="133B756F" w14:textId="67B258D9"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6" w:history="1">
        <w:r w:rsidR="00FF2CB5" w:rsidRPr="003D221D">
          <w:rPr>
            <w:rStyle w:val="Hypertextovodkaz"/>
            <w:noProof/>
          </w:rPr>
          <w:t>Graf č. 6: Porovnání obratovosti a doby obratu zásob</w:t>
        </w:r>
        <w:r w:rsidR="00FF2CB5">
          <w:rPr>
            <w:noProof/>
            <w:webHidden/>
          </w:rPr>
          <w:tab/>
        </w:r>
        <w:r w:rsidR="00FF2CB5">
          <w:rPr>
            <w:noProof/>
            <w:webHidden/>
          </w:rPr>
          <w:fldChar w:fldCharType="begin"/>
        </w:r>
        <w:r w:rsidR="00FF2CB5">
          <w:rPr>
            <w:noProof/>
            <w:webHidden/>
          </w:rPr>
          <w:instrText xml:space="preserve"> PAGEREF _Toc133180316 \h </w:instrText>
        </w:r>
        <w:r w:rsidR="00FF2CB5">
          <w:rPr>
            <w:noProof/>
            <w:webHidden/>
          </w:rPr>
        </w:r>
        <w:r w:rsidR="00FF2CB5">
          <w:rPr>
            <w:noProof/>
            <w:webHidden/>
          </w:rPr>
          <w:fldChar w:fldCharType="separate"/>
        </w:r>
        <w:r w:rsidR="00FF2CB5">
          <w:rPr>
            <w:noProof/>
            <w:webHidden/>
          </w:rPr>
          <w:t>30</w:t>
        </w:r>
        <w:r w:rsidR="00FF2CB5">
          <w:rPr>
            <w:noProof/>
            <w:webHidden/>
          </w:rPr>
          <w:fldChar w:fldCharType="end"/>
        </w:r>
      </w:hyperlink>
    </w:p>
    <w:p w14:paraId="6B14D9B8" w14:textId="15CF78B5"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7" w:history="1">
        <w:r w:rsidR="00FF2CB5" w:rsidRPr="003D221D">
          <w:rPr>
            <w:rStyle w:val="Hypertextovodkaz"/>
            <w:noProof/>
          </w:rPr>
          <w:t>Graf č. 7: Vývoj WACC</w:t>
        </w:r>
        <w:r w:rsidR="00FF2CB5">
          <w:rPr>
            <w:noProof/>
            <w:webHidden/>
          </w:rPr>
          <w:tab/>
        </w:r>
        <w:r w:rsidR="00FF2CB5">
          <w:rPr>
            <w:noProof/>
            <w:webHidden/>
          </w:rPr>
          <w:fldChar w:fldCharType="begin"/>
        </w:r>
        <w:r w:rsidR="00FF2CB5">
          <w:rPr>
            <w:noProof/>
            <w:webHidden/>
          </w:rPr>
          <w:instrText xml:space="preserve"> PAGEREF _Toc133180317 \h </w:instrText>
        </w:r>
        <w:r w:rsidR="00FF2CB5">
          <w:rPr>
            <w:noProof/>
            <w:webHidden/>
          </w:rPr>
        </w:r>
        <w:r w:rsidR="00FF2CB5">
          <w:rPr>
            <w:noProof/>
            <w:webHidden/>
          </w:rPr>
          <w:fldChar w:fldCharType="separate"/>
        </w:r>
        <w:r w:rsidR="00FF2CB5">
          <w:rPr>
            <w:noProof/>
            <w:webHidden/>
          </w:rPr>
          <w:t>38</w:t>
        </w:r>
        <w:r w:rsidR="00FF2CB5">
          <w:rPr>
            <w:noProof/>
            <w:webHidden/>
          </w:rPr>
          <w:fldChar w:fldCharType="end"/>
        </w:r>
      </w:hyperlink>
    </w:p>
    <w:p w14:paraId="19F1631A" w14:textId="4AFC51C6"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8" w:history="1">
        <w:r w:rsidR="00FF2CB5" w:rsidRPr="003D221D">
          <w:rPr>
            <w:rStyle w:val="Hypertextovodkaz"/>
            <w:noProof/>
          </w:rPr>
          <w:t>Graf č. 8: Vývoj EVA a dalších ukazatelů</w:t>
        </w:r>
        <w:r w:rsidR="00FF2CB5">
          <w:rPr>
            <w:noProof/>
            <w:webHidden/>
          </w:rPr>
          <w:tab/>
        </w:r>
        <w:r w:rsidR="00FF2CB5">
          <w:rPr>
            <w:noProof/>
            <w:webHidden/>
          </w:rPr>
          <w:fldChar w:fldCharType="begin"/>
        </w:r>
        <w:r w:rsidR="00FF2CB5">
          <w:rPr>
            <w:noProof/>
            <w:webHidden/>
          </w:rPr>
          <w:instrText xml:space="preserve"> PAGEREF _Toc133180318 \h </w:instrText>
        </w:r>
        <w:r w:rsidR="00FF2CB5">
          <w:rPr>
            <w:noProof/>
            <w:webHidden/>
          </w:rPr>
        </w:r>
        <w:r w:rsidR="00FF2CB5">
          <w:rPr>
            <w:noProof/>
            <w:webHidden/>
          </w:rPr>
          <w:fldChar w:fldCharType="separate"/>
        </w:r>
        <w:r w:rsidR="00FF2CB5">
          <w:rPr>
            <w:noProof/>
            <w:webHidden/>
          </w:rPr>
          <w:t>41</w:t>
        </w:r>
        <w:r w:rsidR="00FF2CB5">
          <w:rPr>
            <w:noProof/>
            <w:webHidden/>
          </w:rPr>
          <w:fldChar w:fldCharType="end"/>
        </w:r>
      </w:hyperlink>
    </w:p>
    <w:p w14:paraId="5C73AEA4" w14:textId="79A33C4F" w:rsidR="00FF2CB5" w:rsidRDefault="00000000">
      <w:pPr>
        <w:pStyle w:val="Seznamobrzk"/>
        <w:tabs>
          <w:tab w:val="right" w:leader="dot" w:pos="7356"/>
        </w:tabs>
        <w:rPr>
          <w:rFonts w:asciiTheme="minorHAnsi" w:eastAsiaTheme="minorEastAsia" w:hAnsiTheme="minorHAnsi" w:cstheme="minorBidi"/>
          <w:noProof/>
          <w:sz w:val="22"/>
          <w:szCs w:val="22"/>
        </w:rPr>
      </w:pPr>
      <w:hyperlink w:anchor="_Toc133180319" w:history="1">
        <w:r w:rsidR="00FF2CB5" w:rsidRPr="003D221D">
          <w:rPr>
            <w:rStyle w:val="Hypertextovodkaz"/>
            <w:noProof/>
          </w:rPr>
          <w:t>Graf č. 9: Vývoj R1-R4 v čase</w:t>
        </w:r>
        <w:r w:rsidR="00FF2CB5">
          <w:rPr>
            <w:noProof/>
            <w:webHidden/>
          </w:rPr>
          <w:tab/>
        </w:r>
        <w:r w:rsidR="00FF2CB5">
          <w:rPr>
            <w:noProof/>
            <w:webHidden/>
          </w:rPr>
          <w:fldChar w:fldCharType="begin"/>
        </w:r>
        <w:r w:rsidR="00FF2CB5">
          <w:rPr>
            <w:noProof/>
            <w:webHidden/>
          </w:rPr>
          <w:instrText xml:space="preserve"> PAGEREF _Toc133180319 \h </w:instrText>
        </w:r>
        <w:r w:rsidR="00FF2CB5">
          <w:rPr>
            <w:noProof/>
            <w:webHidden/>
          </w:rPr>
        </w:r>
        <w:r w:rsidR="00FF2CB5">
          <w:rPr>
            <w:noProof/>
            <w:webHidden/>
          </w:rPr>
          <w:fldChar w:fldCharType="separate"/>
        </w:r>
        <w:r w:rsidR="00FF2CB5">
          <w:rPr>
            <w:noProof/>
            <w:webHidden/>
          </w:rPr>
          <w:t>43</w:t>
        </w:r>
        <w:r w:rsidR="00FF2CB5">
          <w:rPr>
            <w:noProof/>
            <w:webHidden/>
          </w:rPr>
          <w:fldChar w:fldCharType="end"/>
        </w:r>
      </w:hyperlink>
    </w:p>
    <w:p w14:paraId="70576801" w14:textId="5CFFAD62" w:rsidR="00F243CE" w:rsidRPr="00F243CE" w:rsidRDefault="00F12D07" w:rsidP="00F243CE">
      <w:pPr>
        <w:pStyle w:val="Odstavec1"/>
      </w:pPr>
      <w:r>
        <w:fldChar w:fldCharType="end"/>
      </w:r>
    </w:p>
    <w:p w14:paraId="36462582" w14:textId="77777777" w:rsidR="0098522A" w:rsidRPr="00746487" w:rsidRDefault="0098522A" w:rsidP="0098522A">
      <w:pPr>
        <w:pStyle w:val="ZPSeznamzkratek"/>
        <w:ind w:left="0" w:firstLine="0"/>
      </w:pPr>
    </w:p>
    <w:p w14:paraId="115B8790" w14:textId="35B4C36A" w:rsidR="009D3C27" w:rsidRDefault="0032599D" w:rsidP="00B02F6E">
      <w:pPr>
        <w:pStyle w:val="Nadpis1"/>
        <w:numPr>
          <w:ilvl w:val="0"/>
          <w:numId w:val="18"/>
        </w:numPr>
        <w:rPr>
          <w:lang w:val="de-DE"/>
        </w:rPr>
      </w:pPr>
      <w:bookmarkStart w:id="3" w:name="_Toc20320071"/>
      <w:bookmarkStart w:id="4" w:name="_Toc132567245"/>
      <w:r>
        <w:lastRenderedPageBreak/>
        <w:t>T</w:t>
      </w:r>
      <w:bookmarkEnd w:id="3"/>
      <w:r>
        <w:t>ypologie podniku S</w:t>
      </w:r>
      <w:r w:rsidRPr="0032599D">
        <w:rPr>
          <w:lang w:val="de-DE"/>
        </w:rPr>
        <w:t>&amp;K L</w:t>
      </w:r>
      <w:r>
        <w:rPr>
          <w:lang w:val="de-DE"/>
        </w:rPr>
        <w:t>abel</w:t>
      </w:r>
      <w:bookmarkEnd w:id="4"/>
    </w:p>
    <w:p w14:paraId="4A1F0BEA" w14:textId="5DF3471F" w:rsidR="00E20729" w:rsidRPr="0019484B" w:rsidRDefault="00E20729" w:rsidP="00E20729">
      <w:pPr>
        <w:pStyle w:val="Dalodstavce"/>
        <w:ind w:firstLine="0"/>
        <w:rPr>
          <w:rFonts w:asciiTheme="minorHAnsi" w:hAnsiTheme="minorHAnsi"/>
        </w:rPr>
      </w:pPr>
      <w:r>
        <w:rPr>
          <w:rFonts w:asciiTheme="minorHAnsi" w:hAnsiTheme="minorHAnsi"/>
        </w:rPr>
        <w:t>Podnik</w:t>
      </w:r>
      <w:r w:rsidRPr="0019484B">
        <w:rPr>
          <w:rFonts w:asciiTheme="minorHAnsi" w:hAnsiTheme="minorHAnsi"/>
        </w:rPr>
        <w:t xml:space="preserve"> S&amp;K LABEL spol. s r.o. byl založen v roce 1991 jako polygrafická společnost specializující se na výrobu samolepicích etiket. Společnost aktuálně působí v České republice, Německu, Polsku, Rakousku, Maďarsku, Švýcarsku a na Slovensku. Sídlo společnosti je na adrese Praha 6, Hošťálkova 117, PSČ 16900.</w:t>
      </w:r>
    </w:p>
    <w:p w14:paraId="2418ED5F" w14:textId="77777777" w:rsidR="00E20729" w:rsidRPr="0019484B" w:rsidRDefault="00E20729" w:rsidP="00E20729">
      <w:pPr>
        <w:pStyle w:val="Dalodstavce"/>
        <w:rPr>
          <w:rFonts w:asciiTheme="minorHAnsi" w:hAnsiTheme="minorHAnsi"/>
        </w:rPr>
      </w:pPr>
      <w:r w:rsidRPr="0019484B">
        <w:rPr>
          <w:rFonts w:asciiTheme="minorHAnsi" w:hAnsiTheme="minorHAnsi"/>
        </w:rPr>
        <w:t>Společnost klade také důraz na udržitelnost svého podnikání nabízí výrobky s certifikátem FSC® a stala se držitelem certifikace Systém environmentálního řízení dle ČSN EN ISO 14001(S&amp;K LABEL, 2023)</w:t>
      </w:r>
      <w:r>
        <w:rPr>
          <w:rFonts w:asciiTheme="minorHAnsi" w:hAnsiTheme="minorHAnsi"/>
        </w:rPr>
        <w:t>.</w:t>
      </w:r>
    </w:p>
    <w:p w14:paraId="6B57156C" w14:textId="77777777" w:rsidR="00E20729" w:rsidRPr="0019484B" w:rsidRDefault="00E20729" w:rsidP="00E20729">
      <w:pPr>
        <w:pStyle w:val="text"/>
      </w:pPr>
      <w:r w:rsidRPr="0019484B">
        <w:t>Společnost S&amp;K LABEL, která se tedy specializuje na výrobu etiket a obalů pro různé druhy průmyslu, můžeme typologicky zařadit jako výrobní podnik. V současné době se zaměřuje na výrobu etiket a obalů pro různé průmyslové odvětví jako je potravinářství, farmacie, kosmetika, chemický a elektrotechnický průmysl</w:t>
      </w:r>
      <w:r>
        <w:t>.</w:t>
      </w:r>
    </w:p>
    <w:p w14:paraId="06DDCE1E" w14:textId="77777777" w:rsidR="00E20729" w:rsidRDefault="00E20729" w:rsidP="00E20729">
      <w:pPr>
        <w:pStyle w:val="text"/>
      </w:pPr>
      <w:r w:rsidRPr="0019484B">
        <w:t>V posledních letech S&amp;K LABEL investuje do výzkumu a vývoje nových technologií, které umožňují výrobu etiket s novými funkcemi, jako je například snadná identifikace a sledování výrobků, ochrana proti padělání nebo interaktivní funkce pro zákazníky. S&amp;K LABEL využívá technologie a stroje, které umožňují výrobu etiket v různých velikostech, tvarech a materiálech. Díky tomu nabízí zákazníkům širší spektrum výrobků a individuální řešení podle uvedených požadavků.</w:t>
      </w:r>
    </w:p>
    <w:p w14:paraId="1B252E4B" w14:textId="77777777" w:rsidR="0062322B" w:rsidRPr="00E20729" w:rsidRDefault="0062322B" w:rsidP="0062322B">
      <w:pPr>
        <w:pStyle w:val="Odstavec1"/>
      </w:pPr>
    </w:p>
    <w:p w14:paraId="7F6C5662" w14:textId="08D75C54" w:rsidR="009D3C27" w:rsidRDefault="0062322B" w:rsidP="00B02F6E">
      <w:pPr>
        <w:pStyle w:val="Nadpis2"/>
        <w:numPr>
          <w:ilvl w:val="1"/>
          <w:numId w:val="18"/>
        </w:numPr>
      </w:pPr>
      <w:bookmarkStart w:id="5" w:name="_Toc132567246"/>
      <w:r>
        <w:t>Historie</w:t>
      </w:r>
      <w:bookmarkEnd w:id="5"/>
    </w:p>
    <w:p w14:paraId="3869D70E" w14:textId="77777777" w:rsidR="005D299A" w:rsidRDefault="005D299A" w:rsidP="005D299A">
      <w:pPr>
        <w:pStyle w:val="text"/>
        <w:ind w:firstLine="0"/>
      </w:pPr>
      <w:r>
        <w:t xml:space="preserve">Podnik se 2 roky po svém založení roku 1991 přesunul do nových výrobních prostor na ulici Šumavská. Roku 1995 obohatil svůj produktový sortiment o print etikety a tabelační etikety. Podnik se v průběhu let neustále rozvíjel a prováděl investice do tiskových strojů a informačních systémů. Tento rozvoj podnik dovedl roku 2005 k přípravě na výstavbu vlastního výrobního závodu v Kuřimi nedaleko Brna. Výstavba závodu podnik nezastavila v investicích do výroby a podnik roku 2006 přešel na digitální a termickou výrobu flexotiskových polymerů. V roce 2008 se podnik přestěhoval do nově vystaveného výrobního závodu, ve kterém působí i nyní. Podnik i nadále investuje do nových tiskařských technologií a monitorování výroby </w:t>
      </w:r>
      <w:r w:rsidRPr="00F12D07">
        <w:t>(Výroční zpráva, 2021, str. 4-5).</w:t>
      </w:r>
    </w:p>
    <w:p w14:paraId="4F6C17BD" w14:textId="77777777" w:rsidR="005D299A" w:rsidRDefault="005D299A" w:rsidP="00A53E9E">
      <w:pPr>
        <w:pStyle w:val="text"/>
      </w:pPr>
      <w:r>
        <w:lastRenderedPageBreak/>
        <w:t>Podnik také disponuje řadou certifikací, což započalo roku 2006 zavádění standardizace dle ISO 9001. Roku 2008 byl podnik certifikován na systém řízení kvality dle ISO 9001. Své certifikace rozšířil roku 2011 o systém řízení životního prostředí ISO 14001:2004 a o rok později také o certifikace na vývoj a výzkum ISO 9001(</w:t>
      </w:r>
      <w:r w:rsidRPr="00F12D07">
        <w:t>Výroční zpráva, 2021, str. 4-5).</w:t>
      </w:r>
    </w:p>
    <w:p w14:paraId="1F4898D2" w14:textId="7FC52D9C" w:rsidR="00A53E9E" w:rsidRDefault="00191452" w:rsidP="00B02F6E">
      <w:pPr>
        <w:pStyle w:val="Nadpis2"/>
        <w:numPr>
          <w:ilvl w:val="1"/>
          <w:numId w:val="18"/>
        </w:numPr>
      </w:pPr>
      <w:bookmarkStart w:id="6" w:name="_Toc132567247"/>
      <w:r>
        <w:t>Základní typologické znaky</w:t>
      </w:r>
      <w:bookmarkEnd w:id="6"/>
      <w:r>
        <w:t xml:space="preserve"> </w:t>
      </w:r>
    </w:p>
    <w:p w14:paraId="6C787440" w14:textId="77777777" w:rsidR="00A0317B" w:rsidRDefault="00A0317B" w:rsidP="00A0317B">
      <w:pPr>
        <w:pStyle w:val="Odstavec1"/>
      </w:pPr>
      <w:r w:rsidRPr="0019484B">
        <w:t>Podnik se dle Přílohy 1 Nařízení komise (EU) č. 651/2014 řadí mezi střední podniky, jeho základní typologické znaky podniku jsou uvedeny v tabulce č. 1</w:t>
      </w:r>
    </w:p>
    <w:p w14:paraId="2B5571E6" w14:textId="77777777" w:rsidR="001A0864" w:rsidRDefault="001A0864" w:rsidP="0098522A">
      <w:pPr>
        <w:pStyle w:val="Titulektabulky"/>
      </w:pPr>
      <w:bookmarkStart w:id="7" w:name="_Toc133180288"/>
      <w:r w:rsidRPr="0019484B">
        <w:t>Tabulka č. 1</w:t>
      </w:r>
      <w:r>
        <w:t>: Základní typologické znaky</w:t>
      </w:r>
      <w:bookmarkEnd w:id="7"/>
    </w:p>
    <w:tbl>
      <w:tblPr>
        <w:tblW w:w="7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431"/>
        <w:gridCol w:w="3932"/>
      </w:tblGrid>
      <w:tr w:rsidR="005E555D" w:rsidRPr="005421BB" w14:paraId="52AD27D5" w14:textId="77777777" w:rsidTr="005E555D">
        <w:trPr>
          <w:trHeight w:val="29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0DFF0"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Název společnosti</w:t>
            </w:r>
          </w:p>
        </w:tc>
        <w:tc>
          <w:tcPr>
            <w:tcW w:w="3932"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DABCB90"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S&amp;K LABEL spol. s.r.o.</w:t>
            </w:r>
          </w:p>
        </w:tc>
      </w:tr>
      <w:tr w:rsidR="005E555D" w:rsidRPr="005421BB" w14:paraId="5FD056F7"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7DDEC05"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IČO</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77B46D41"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44962878</w:t>
            </w:r>
          </w:p>
        </w:tc>
      </w:tr>
      <w:tr w:rsidR="005E555D" w:rsidRPr="005421BB" w14:paraId="48343FFA"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6A5216A"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Datum vzniku</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17FFB7A0"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30. prosince 1991</w:t>
            </w:r>
          </w:p>
        </w:tc>
      </w:tr>
      <w:tr w:rsidR="005E555D" w:rsidRPr="005421BB" w14:paraId="32DA15DF"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74545"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Sídlo</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3B792DAD"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Praha 6, Hošťálkova 117, PSČ 16900</w:t>
            </w:r>
          </w:p>
        </w:tc>
      </w:tr>
      <w:tr w:rsidR="005E555D" w:rsidRPr="005421BB" w14:paraId="6B344F9F"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385E58C"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Právní forma</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72C42E62"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Společnost s ručením omezeným</w:t>
            </w:r>
          </w:p>
        </w:tc>
      </w:tr>
      <w:tr w:rsidR="005E555D" w:rsidRPr="005421BB" w14:paraId="0C92B65F"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0DF87DD"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Základní kapitál</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2A6C01ED"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3 000 000 Kč</w:t>
            </w:r>
          </w:p>
        </w:tc>
      </w:tr>
      <w:tr w:rsidR="005E555D" w:rsidRPr="005421BB" w14:paraId="41B745EB"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B02BF"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Tržby (2021)</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6B5547FB"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464 290 Kč</w:t>
            </w:r>
          </w:p>
        </w:tc>
      </w:tr>
      <w:tr w:rsidR="005E555D" w:rsidRPr="005421BB" w14:paraId="170EEA28"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F022B34"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Počet zaměstnanců (2021)</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014033C6"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143</w:t>
            </w:r>
          </w:p>
        </w:tc>
      </w:tr>
      <w:tr w:rsidR="005E555D" w:rsidRPr="005421BB" w14:paraId="5BD1E1EB" w14:textId="77777777" w:rsidTr="005E555D">
        <w:trPr>
          <w:trHeight w:val="295"/>
        </w:trPr>
        <w:tc>
          <w:tcPr>
            <w:tcW w:w="0" w:type="auto"/>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239AEFD"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b/>
                <w:sz w:val="20"/>
                <w:szCs w:val="20"/>
              </w:rPr>
              <w:t>Počet jednatelů</w:t>
            </w:r>
          </w:p>
        </w:tc>
        <w:tc>
          <w:tcPr>
            <w:tcW w:w="3932" w:type="dxa"/>
            <w:tcBorders>
              <w:bottom w:val="single" w:sz="6" w:space="0" w:color="000000"/>
              <w:right w:val="single" w:sz="6" w:space="0" w:color="000000"/>
            </w:tcBorders>
            <w:tcMar>
              <w:top w:w="40" w:type="dxa"/>
              <w:left w:w="40" w:type="dxa"/>
              <w:bottom w:w="40" w:type="dxa"/>
              <w:right w:w="40" w:type="dxa"/>
            </w:tcMar>
            <w:vAlign w:val="center"/>
          </w:tcPr>
          <w:p w14:paraId="69FAF690" w14:textId="77777777" w:rsidR="005E555D" w:rsidRPr="005421BB" w:rsidRDefault="005E555D" w:rsidP="00BA6A00">
            <w:pPr>
              <w:widowControl w:val="0"/>
              <w:rPr>
                <w:rFonts w:asciiTheme="minorHAnsi" w:hAnsiTheme="minorHAnsi"/>
                <w:sz w:val="20"/>
                <w:szCs w:val="20"/>
              </w:rPr>
            </w:pPr>
            <w:r w:rsidRPr="005421BB">
              <w:rPr>
                <w:rFonts w:asciiTheme="minorHAnsi" w:hAnsiTheme="minorHAnsi"/>
                <w:sz w:val="20"/>
                <w:szCs w:val="20"/>
              </w:rPr>
              <w:t>2</w:t>
            </w:r>
          </w:p>
        </w:tc>
      </w:tr>
    </w:tbl>
    <w:p w14:paraId="01DFE5D3" w14:textId="78D8E40D" w:rsidR="00810B39" w:rsidRDefault="00C51D90" w:rsidP="00C51D90">
      <w:pPr>
        <w:pStyle w:val="Zdrojobrzku"/>
        <w:rPr>
          <w:color w:val="000000" w:themeColor="text1"/>
        </w:rPr>
      </w:pPr>
      <w:r w:rsidRPr="0019484B">
        <w:t>Zdroj: Vlastní zpracování dle</w:t>
      </w:r>
      <w:r w:rsidRPr="0019484B">
        <w:rPr>
          <w:color w:val="FF0000"/>
        </w:rPr>
        <w:t xml:space="preserve"> </w:t>
      </w:r>
      <w:r w:rsidRPr="00D547F5">
        <w:rPr>
          <w:color w:val="000000" w:themeColor="text1"/>
        </w:rPr>
        <w:t>Veřejného rejstříku.</w:t>
      </w:r>
    </w:p>
    <w:p w14:paraId="590768AD" w14:textId="46072996" w:rsidR="00F45D1B" w:rsidRDefault="00144B88" w:rsidP="00144B88">
      <w:pPr>
        <w:pStyle w:val="Dalodstavce"/>
        <w:ind w:firstLine="720"/>
        <w:rPr>
          <w:rFonts w:asciiTheme="minorHAnsi" w:hAnsiTheme="minorHAnsi"/>
        </w:rPr>
      </w:pPr>
      <w:r w:rsidRPr="0019484B">
        <w:rPr>
          <w:rFonts w:asciiTheme="minorHAnsi" w:hAnsiTheme="minorHAnsi"/>
        </w:rPr>
        <w:t>Pro</w:t>
      </w:r>
      <w:r>
        <w:rPr>
          <w:rFonts w:asciiTheme="minorHAnsi" w:hAnsiTheme="minorHAnsi"/>
        </w:rPr>
        <w:t xml:space="preserve"> </w:t>
      </w:r>
      <w:r w:rsidRPr="0019484B">
        <w:rPr>
          <w:rFonts w:asciiTheme="minorHAnsi" w:hAnsiTheme="minorHAnsi"/>
        </w:rPr>
        <w:t>bližší specifikaci podnikání podniku jsme využili klasifikaci CZ NACE, která je u</w:t>
      </w:r>
      <w:r>
        <w:rPr>
          <w:rFonts w:asciiTheme="minorHAnsi" w:hAnsiTheme="minorHAnsi"/>
        </w:rPr>
        <w:t>vedena</w:t>
      </w:r>
      <w:r w:rsidRPr="0019484B">
        <w:rPr>
          <w:rFonts w:asciiTheme="minorHAnsi" w:hAnsiTheme="minorHAnsi"/>
        </w:rPr>
        <w:t xml:space="preserve"> v tabulce č. 2. Tyto informace pochází z databáze Registru ekonomických subjektů, kde je jako hlavní činnost podniku uvedena Výroba ostatních výrobků z papíru a lepenky pod označením 17290. </w:t>
      </w:r>
    </w:p>
    <w:p w14:paraId="1BD3495E" w14:textId="77777777" w:rsidR="00F45D1B" w:rsidRDefault="00F45D1B">
      <w:pPr>
        <w:rPr>
          <w:rFonts w:asciiTheme="minorHAnsi" w:hAnsiTheme="minorHAnsi"/>
        </w:rPr>
      </w:pPr>
      <w:r>
        <w:rPr>
          <w:rFonts w:asciiTheme="minorHAnsi" w:hAnsiTheme="minorHAnsi"/>
        </w:rPr>
        <w:br w:type="page"/>
      </w:r>
    </w:p>
    <w:p w14:paraId="5971D4EE" w14:textId="77777777" w:rsidR="0015319A" w:rsidRDefault="0015319A" w:rsidP="0098522A">
      <w:pPr>
        <w:pStyle w:val="Titulektabulky"/>
      </w:pPr>
      <w:bookmarkStart w:id="8" w:name="_Toc133180289"/>
      <w:r w:rsidRPr="0019484B">
        <w:lastRenderedPageBreak/>
        <w:t>Tabulka č. 2</w:t>
      </w:r>
      <w:r>
        <w:t>.: Zařazení CZ NACE</w:t>
      </w:r>
      <w:bookmarkEnd w:id="8"/>
    </w:p>
    <w:tbl>
      <w:tblPr>
        <w:tblW w:w="7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93"/>
        <w:gridCol w:w="5570"/>
      </w:tblGrid>
      <w:tr w:rsidR="00F45D1B" w:rsidRPr="0019484B" w14:paraId="07E8B49D" w14:textId="77777777" w:rsidTr="00F45D1B">
        <w:trPr>
          <w:trHeight w:val="19"/>
        </w:trPr>
        <w:tc>
          <w:tcPr>
            <w:tcW w:w="17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B0B4E8"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b/>
                <w:sz w:val="20"/>
                <w:szCs w:val="20"/>
              </w:rPr>
              <w:t>Označení</w:t>
            </w:r>
          </w:p>
        </w:tc>
        <w:tc>
          <w:tcPr>
            <w:tcW w:w="557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27191288"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b/>
                <w:sz w:val="20"/>
                <w:szCs w:val="20"/>
              </w:rPr>
              <w:t>Název</w:t>
            </w:r>
          </w:p>
        </w:tc>
      </w:tr>
      <w:tr w:rsidR="00F45D1B" w:rsidRPr="0019484B" w14:paraId="0291C0D2"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5B046"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17290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29281A9D"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Výroba ostatních výrobků z papíru a lepenky</w:t>
            </w:r>
          </w:p>
        </w:tc>
      </w:tr>
      <w:tr w:rsidR="00F45D1B" w:rsidRPr="0019484B" w14:paraId="038DF01E"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C9EEC37"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620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67D8CF19"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Činnosti v oblasti informačních technologií</w:t>
            </w:r>
          </w:p>
        </w:tc>
      </w:tr>
      <w:tr w:rsidR="00F45D1B" w:rsidRPr="0019484B" w14:paraId="0BC1E926"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7414FF0"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702</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1FA4AE5D"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Poradenství v oblasti řízení</w:t>
            </w:r>
          </w:p>
        </w:tc>
      </w:tr>
      <w:tr w:rsidR="00F45D1B" w:rsidRPr="0019484B" w14:paraId="741E3CE4"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91A1599"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731</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68BB4A4C"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Reklamní činnosti</w:t>
            </w:r>
          </w:p>
        </w:tc>
      </w:tr>
      <w:tr w:rsidR="00F45D1B" w:rsidRPr="0019484B" w14:paraId="0348B068"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712FDA0"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18120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3E98B446"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Tisk ostatní, kromě novin</w:t>
            </w:r>
          </w:p>
        </w:tc>
      </w:tr>
      <w:tr w:rsidR="00F45D1B" w:rsidRPr="0019484B" w14:paraId="708C758C"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6A44A7E"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25720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37CA8CE8"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Výroba zámků a kování</w:t>
            </w:r>
          </w:p>
        </w:tc>
      </w:tr>
      <w:tr w:rsidR="00F45D1B" w:rsidRPr="0019484B" w14:paraId="1AB499B6"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670D2"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25730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5BA316F5"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Výroba nástrojů a nářadí</w:t>
            </w:r>
          </w:p>
        </w:tc>
      </w:tr>
      <w:tr w:rsidR="00F45D1B" w:rsidRPr="0019484B" w14:paraId="258E3339"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D799364"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47190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5C18269D"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Ostatní maloobchod v nespecializovaných prodejnách</w:t>
            </w:r>
          </w:p>
        </w:tc>
      </w:tr>
      <w:tr w:rsidR="00F45D1B" w:rsidRPr="0019484B" w14:paraId="087D51BD"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B4FD18B"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49410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2026B869"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Silniční nákladní doprava</w:t>
            </w:r>
          </w:p>
        </w:tc>
      </w:tr>
      <w:tr w:rsidR="00F45D1B" w:rsidRPr="0019484B" w14:paraId="19DF2515" w14:textId="77777777" w:rsidTr="00F45D1B">
        <w:trPr>
          <w:trHeight w:val="19"/>
        </w:trPr>
        <w:tc>
          <w:tcPr>
            <w:tcW w:w="1793"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AB57EF9"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69200</w:t>
            </w:r>
          </w:p>
        </w:tc>
        <w:tc>
          <w:tcPr>
            <w:tcW w:w="5570" w:type="dxa"/>
            <w:tcBorders>
              <w:bottom w:val="single" w:sz="6" w:space="0" w:color="000000"/>
              <w:right w:val="single" w:sz="6" w:space="0" w:color="000000"/>
            </w:tcBorders>
            <w:tcMar>
              <w:top w:w="40" w:type="dxa"/>
              <w:left w:w="40" w:type="dxa"/>
              <w:bottom w:w="40" w:type="dxa"/>
              <w:right w:w="40" w:type="dxa"/>
            </w:tcMar>
            <w:vAlign w:val="bottom"/>
          </w:tcPr>
          <w:p w14:paraId="2FD502F4" w14:textId="77777777" w:rsidR="00F45D1B" w:rsidRPr="0019484B" w:rsidRDefault="00F45D1B" w:rsidP="00BA6A00">
            <w:pPr>
              <w:widowControl w:val="0"/>
              <w:jc w:val="both"/>
              <w:rPr>
                <w:rFonts w:asciiTheme="minorHAnsi" w:hAnsiTheme="minorHAnsi"/>
                <w:sz w:val="20"/>
                <w:szCs w:val="20"/>
              </w:rPr>
            </w:pPr>
            <w:r w:rsidRPr="0019484B">
              <w:rPr>
                <w:rFonts w:asciiTheme="minorHAnsi" w:hAnsiTheme="minorHAnsi"/>
                <w:sz w:val="20"/>
                <w:szCs w:val="20"/>
              </w:rPr>
              <w:t>Účetnické a auditorské činnosti; daňové poradenství</w:t>
            </w:r>
          </w:p>
        </w:tc>
      </w:tr>
    </w:tbl>
    <w:p w14:paraId="469BD359" w14:textId="36F4C763" w:rsidR="0015319A" w:rsidRDefault="0010598A" w:rsidP="0010598A">
      <w:pPr>
        <w:pStyle w:val="Zdrojobrzku"/>
      </w:pPr>
      <w:r w:rsidRPr="0010598A">
        <w:t>Zdroj: Vlastní zpracování dle Registru ekonomických subjektů</w:t>
      </w:r>
      <w:r>
        <w:t>.</w:t>
      </w:r>
    </w:p>
    <w:p w14:paraId="793A4537" w14:textId="77777777" w:rsidR="00D9233A" w:rsidRDefault="00D9233A" w:rsidP="00D9233A">
      <w:pPr>
        <w:pStyle w:val="Dalodstavce"/>
        <w:ind w:firstLine="720"/>
        <w:rPr>
          <w:rFonts w:asciiTheme="minorHAnsi" w:hAnsiTheme="minorHAnsi"/>
        </w:rPr>
      </w:pPr>
      <w:r w:rsidRPr="009E7E43">
        <w:rPr>
          <w:rFonts w:asciiTheme="minorHAnsi" w:hAnsiTheme="minorHAnsi"/>
        </w:rPr>
        <w:t xml:space="preserve">Podnik S&amp;K LABEL spol. s r.o. spadá do skupiny S&amp;K Group spolu s dalšími podniky, které jsou znázorněny na obrázku č. 1. Společnost působí na českém a slovenském trhu </w:t>
      </w:r>
      <w:r w:rsidRPr="00D547F5">
        <w:rPr>
          <w:rFonts w:asciiTheme="minorHAnsi" w:hAnsiTheme="minorHAnsi"/>
        </w:rPr>
        <w:t>(Výroční zpráva 2021 str. 3)</w:t>
      </w:r>
    </w:p>
    <w:p w14:paraId="4B7E49CA" w14:textId="77777777" w:rsidR="00D9233A" w:rsidRPr="009E7E43" w:rsidRDefault="00D9233A" w:rsidP="00D9233A">
      <w:pPr>
        <w:pStyle w:val="Dalodstavce"/>
        <w:ind w:firstLine="720"/>
        <w:rPr>
          <w:rFonts w:asciiTheme="minorHAnsi" w:hAnsiTheme="minorHAnsi"/>
        </w:rPr>
      </w:pPr>
    </w:p>
    <w:p w14:paraId="6E0F0C8F" w14:textId="0A32C8D8" w:rsidR="009C7E30" w:rsidRPr="0019484B" w:rsidRDefault="009C7E30" w:rsidP="009C7E30">
      <w:pPr>
        <w:pStyle w:val="tabulkanzev"/>
      </w:pPr>
      <w:r w:rsidRPr="0019484B">
        <w:t>Obrázek č. 1</w:t>
      </w:r>
      <w:r>
        <w:t>: Zařazení ve skupině</w:t>
      </w:r>
    </w:p>
    <w:p w14:paraId="5261BA44" w14:textId="77777777" w:rsidR="009C7E30" w:rsidRPr="0019484B" w:rsidRDefault="009C7E30" w:rsidP="009C7E30">
      <w:pPr>
        <w:spacing w:after="240"/>
        <w:jc w:val="center"/>
        <w:rPr>
          <w:rFonts w:asciiTheme="minorHAnsi" w:hAnsiTheme="minorHAnsi"/>
        </w:rPr>
      </w:pPr>
      <w:r w:rsidRPr="0019484B">
        <w:rPr>
          <w:rFonts w:asciiTheme="minorHAnsi" w:hAnsiTheme="minorHAnsi"/>
          <w:noProof/>
        </w:rPr>
        <w:drawing>
          <wp:inline distT="114300" distB="114300" distL="114300" distR="114300" wp14:anchorId="7AA73F8B" wp14:editId="7D3DA543">
            <wp:extent cx="3596053" cy="1907931"/>
            <wp:effectExtent l="0" t="0" r="4445" b="0"/>
            <wp:docPr id="5" name="Obrázek 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615942" cy="1918483"/>
                    </a:xfrm>
                    <a:prstGeom prst="rect">
                      <a:avLst/>
                    </a:prstGeom>
                    <a:ln/>
                  </pic:spPr>
                </pic:pic>
              </a:graphicData>
            </a:graphic>
          </wp:inline>
        </w:drawing>
      </w:r>
    </w:p>
    <w:p w14:paraId="0A33A756" w14:textId="77777777" w:rsidR="009C7E30" w:rsidRPr="009E7E43" w:rsidRDefault="009C7E30" w:rsidP="009C7E30">
      <w:pPr>
        <w:pStyle w:val="Zdrojobrzku"/>
      </w:pPr>
      <w:r w:rsidRPr="009E7E43">
        <w:t>Zdroj: Výroční zpráva 2021 str. 3</w:t>
      </w:r>
    </w:p>
    <w:p w14:paraId="12FA6347" w14:textId="77777777" w:rsidR="00B92C4A" w:rsidRPr="00B92C4A" w:rsidRDefault="00B92C4A" w:rsidP="00750D7A">
      <w:pPr>
        <w:pStyle w:val="Nadpis1"/>
        <w:rPr>
          <w:rFonts w:ascii="Times New Roman" w:hAnsi="Times New Roman"/>
        </w:rPr>
      </w:pPr>
      <w:bookmarkStart w:id="9" w:name="_Toc132567248"/>
      <w:r w:rsidRPr="00B92C4A">
        <w:lastRenderedPageBreak/>
        <w:t>Strategická analýza</w:t>
      </w:r>
      <w:bookmarkEnd w:id="9"/>
    </w:p>
    <w:p w14:paraId="14613507" w14:textId="4B8A79BC" w:rsidR="00493B3A" w:rsidRDefault="00B92C4A" w:rsidP="00493B3A">
      <w:pPr>
        <w:pStyle w:val="Odstavec1"/>
        <w:rPr>
          <w:shd w:val="clear" w:color="auto" w:fill="FFFF00"/>
        </w:rPr>
      </w:pPr>
      <w:r w:rsidRPr="00B92C4A">
        <w:t xml:space="preserve">Jedná se o zásadní analýzu pro pochopení okolí podniku a jejích cílem je zejména </w:t>
      </w:r>
      <w:r w:rsidRPr="00034A20">
        <w:t>identifikace</w:t>
      </w:r>
      <w:r w:rsidRPr="00B92C4A">
        <w:t xml:space="preserve"> a analýza faktorů, které mohou mít vliv na podnik. Strategická analýza má 2 hlavní fáze, a to analýzu okolí a analýzu vnitřních zdrojů a schopností. Přičemž analýza okolí v sobě obsahuje analýzu jak makrookolí, tak i mikrookolí. Nejvyužívanějšími analýzami pro makrookolí podniku je PEST analýza a pro mikrookolí se typicky užívá Porterův model pěti sil</w:t>
      </w:r>
      <w:r w:rsidR="00EA6B1B">
        <w:t xml:space="preserve"> (Sedláčková, Buchta, 2006, s. 9-11)</w:t>
      </w:r>
    </w:p>
    <w:p w14:paraId="56C11C09" w14:textId="2C62C498" w:rsidR="0098522A" w:rsidRPr="0098522A" w:rsidRDefault="00D3470A" w:rsidP="003162DE">
      <w:pPr>
        <w:pStyle w:val="Nadpis2"/>
        <w:numPr>
          <w:ilvl w:val="1"/>
          <w:numId w:val="18"/>
        </w:numPr>
      </w:pPr>
      <w:bookmarkStart w:id="10" w:name="_Toc132567249"/>
      <w:r>
        <w:t>P</w:t>
      </w:r>
      <w:r w:rsidR="0098522A">
        <w:t>EST analýza</w:t>
      </w:r>
      <w:bookmarkEnd w:id="10"/>
    </w:p>
    <w:p w14:paraId="1C22E9EE" w14:textId="642C9A12" w:rsidR="0098522A" w:rsidRPr="0098522A" w:rsidRDefault="0098522A" w:rsidP="0098522A">
      <w:pPr>
        <w:pStyle w:val="Odstavec1"/>
        <w:rPr>
          <w:rFonts w:ascii="Times New Roman" w:hAnsi="Times New Roman"/>
        </w:rPr>
      </w:pPr>
      <w:r w:rsidRPr="0098522A">
        <w:t>Mezi</w:t>
      </w:r>
      <w:r w:rsidRPr="0098522A">
        <w:rPr>
          <w:b/>
          <w:bCs/>
        </w:rPr>
        <w:t xml:space="preserve"> politické</w:t>
      </w:r>
      <w:r w:rsidRPr="0098522A">
        <w:t xml:space="preserve"> faktory ovlivňující společnost S&amp;K LABEL spol. s r.o. patří certifikace ISO 9001, ISO 14001, FSC® které společnost dokládá. dále je také ovlivněna 262/2006 Sb. Zákoníkem práce, podle kterého se musí řídit stejně tak jako 309/2006 Sb. Zákonem o zajištění dalších podmínek bezpečnosti (BOZP). Společnost spadá také pod ustanovení EU. konkrétním politickým faktorem ovlivňujícím tuto společnost v tomto spojení je takzvaná </w:t>
      </w:r>
      <w:r>
        <w:t>Z</w:t>
      </w:r>
      <w:r w:rsidRPr="0098522A">
        <w:t>elená dohoda pro Evropu která ovlivní všechny výrobní podniky ČR. Cílem je snížit emise CO2 o 55 %.</w:t>
      </w:r>
    </w:p>
    <w:p w14:paraId="02750A6F" w14:textId="77777777" w:rsidR="0098522A" w:rsidRPr="0098522A" w:rsidRDefault="0098522A" w:rsidP="0098522A">
      <w:pPr>
        <w:rPr>
          <w:rFonts w:ascii="Times New Roman" w:hAnsi="Times New Roman"/>
        </w:rPr>
      </w:pPr>
    </w:p>
    <w:p w14:paraId="5F1DF5ED" w14:textId="387BB278" w:rsidR="0098522A" w:rsidRPr="0098522A" w:rsidRDefault="0098522A" w:rsidP="0098522A">
      <w:pPr>
        <w:pStyle w:val="Odstavec1"/>
        <w:rPr>
          <w:rFonts w:ascii="Times New Roman" w:hAnsi="Times New Roman"/>
        </w:rPr>
      </w:pPr>
      <w:r w:rsidRPr="0098522A">
        <w:t>Mezi</w:t>
      </w:r>
      <w:r w:rsidRPr="0098522A">
        <w:rPr>
          <w:b/>
          <w:bCs/>
        </w:rPr>
        <w:t xml:space="preserve"> ekonomické</w:t>
      </w:r>
      <w:r w:rsidRPr="0098522A">
        <w:t xml:space="preserve"> faktory ovlivňující společnost S&amp;K LABEL spol. s r.o. patří faktory uvedené v tabulce </w:t>
      </w:r>
      <w:r>
        <w:t>č. 3</w:t>
      </w:r>
      <w:r w:rsidRPr="0098522A">
        <w:t>.</w:t>
      </w:r>
    </w:p>
    <w:p w14:paraId="42613591" w14:textId="592DA53E" w:rsidR="0098522A" w:rsidRPr="0098522A" w:rsidRDefault="0098522A" w:rsidP="0098522A">
      <w:pPr>
        <w:pStyle w:val="Titulektabulky"/>
      </w:pPr>
      <w:bookmarkStart w:id="11" w:name="_Toc133180290"/>
      <w:r w:rsidRPr="0098522A">
        <w:t>Tabulka č. 3: Ekonomické faktory</w:t>
      </w:r>
      <w:bookmarkEnd w:id="11"/>
    </w:p>
    <w:p w14:paraId="2650DDD5" w14:textId="5FD36581" w:rsidR="0098522A" w:rsidRDefault="0098522A" w:rsidP="0098522A">
      <w:pPr>
        <w:rPr>
          <w:rFonts w:ascii="Times New Roman" w:hAnsi="Times New Roman"/>
        </w:rPr>
      </w:pPr>
      <w:r w:rsidRPr="0098522A">
        <w:rPr>
          <w:rFonts w:ascii="Arial" w:hAnsi="Arial" w:cs="Arial"/>
          <w:noProof/>
          <w:color w:val="000000"/>
          <w:sz w:val="22"/>
          <w:szCs w:val="22"/>
          <w:bdr w:val="none" w:sz="0" w:space="0" w:color="auto" w:frame="1"/>
        </w:rPr>
        <w:drawing>
          <wp:inline distT="0" distB="0" distL="0" distR="0" wp14:anchorId="622C232A" wp14:editId="2874BD15">
            <wp:extent cx="4599317" cy="2009775"/>
            <wp:effectExtent l="0" t="0" r="0" b="0"/>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9369" cy="2014167"/>
                    </a:xfrm>
                    <a:prstGeom prst="rect">
                      <a:avLst/>
                    </a:prstGeom>
                    <a:noFill/>
                    <a:ln>
                      <a:noFill/>
                    </a:ln>
                  </pic:spPr>
                </pic:pic>
              </a:graphicData>
            </a:graphic>
          </wp:inline>
        </w:drawing>
      </w:r>
    </w:p>
    <w:p w14:paraId="7CE61365" w14:textId="77777777" w:rsidR="0098522A" w:rsidRPr="0098522A" w:rsidRDefault="0098522A" w:rsidP="0098522A">
      <w:pPr>
        <w:rPr>
          <w:rFonts w:ascii="Times New Roman" w:hAnsi="Times New Roman"/>
        </w:rPr>
      </w:pPr>
    </w:p>
    <w:p w14:paraId="075B0C46" w14:textId="77777777" w:rsidR="0098522A" w:rsidRPr="0098522A" w:rsidRDefault="0098522A" w:rsidP="0098522A">
      <w:pPr>
        <w:rPr>
          <w:i/>
          <w:sz w:val="20"/>
          <w:szCs w:val="20"/>
          <w:lang w:eastAsia="sk-SK"/>
        </w:rPr>
      </w:pPr>
      <w:r w:rsidRPr="0098522A">
        <w:rPr>
          <w:i/>
          <w:sz w:val="20"/>
          <w:szCs w:val="20"/>
          <w:lang w:eastAsia="sk-SK"/>
        </w:rPr>
        <w:t>Zdroj: Vlastní zpracování podle Českého statistického úřadu.</w:t>
      </w:r>
    </w:p>
    <w:p w14:paraId="4AF28F61" w14:textId="77777777" w:rsidR="0098522A" w:rsidRPr="0098522A" w:rsidRDefault="0098522A" w:rsidP="0098522A">
      <w:pPr>
        <w:rPr>
          <w:rFonts w:ascii="Times New Roman" w:hAnsi="Times New Roman"/>
        </w:rPr>
      </w:pPr>
    </w:p>
    <w:p w14:paraId="56734DAF" w14:textId="59CCE337" w:rsidR="0098522A" w:rsidRDefault="0098522A" w:rsidP="00F243CE">
      <w:pPr>
        <w:pStyle w:val="Odstavec1"/>
      </w:pPr>
      <w:r w:rsidRPr="0098522A">
        <w:t>Mezi</w:t>
      </w:r>
      <w:r w:rsidRPr="0098522A">
        <w:rPr>
          <w:b/>
          <w:bCs/>
        </w:rPr>
        <w:t xml:space="preserve"> sociální</w:t>
      </w:r>
      <w:r w:rsidRPr="0098522A">
        <w:t xml:space="preserve"> faktor ovlivňující společnost S&amp;K LABEL spol. s r.o. jsme zařadili primárně přírůstek a úbytek počtu obyvatel (viz graf </w:t>
      </w:r>
      <w:r w:rsidR="00493B3A">
        <w:t xml:space="preserve">č. </w:t>
      </w:r>
      <w:r w:rsidRPr="0098522A">
        <w:t>1). Vzhledem, že se v rámci podniku jedná o B2B business ostatní sociální faktory budou primárně ovlivňovat až výrobce daných výrobků. Počet obyvatel ale přímo ovlivní i S&amp;K LABEL spol. s r.o. vzhledem k počtu potřebných vyrobených etiket závislém na počtu výrobků, který je přímo závislý na počtu obyvatel.</w:t>
      </w:r>
    </w:p>
    <w:p w14:paraId="3B0D92D3" w14:textId="6A50E715" w:rsidR="0098522A" w:rsidRPr="0098522A" w:rsidRDefault="0098522A" w:rsidP="00977E6D">
      <w:pPr>
        <w:pStyle w:val="Titulekgraf"/>
        <w:rPr>
          <w:rFonts w:ascii="Times New Roman" w:hAnsi="Times New Roman"/>
        </w:rPr>
      </w:pPr>
      <w:bookmarkStart w:id="12" w:name="_Toc133180311"/>
      <w:r w:rsidRPr="0098522A">
        <w:t xml:space="preserve">Graf </w:t>
      </w:r>
      <w:r w:rsidR="00493B3A">
        <w:t xml:space="preserve"> č. </w:t>
      </w:r>
      <w:r w:rsidRPr="0098522A">
        <w:t>1: Přírůstek/úbytek počtu obyvatel</w:t>
      </w:r>
      <w:bookmarkEnd w:id="12"/>
    </w:p>
    <w:p w14:paraId="12C67349" w14:textId="6D47B519" w:rsidR="0098522A" w:rsidRPr="0098522A" w:rsidRDefault="0098522A" w:rsidP="0098522A">
      <w:pPr>
        <w:rPr>
          <w:rFonts w:ascii="Times New Roman" w:hAnsi="Times New Roman"/>
        </w:rPr>
      </w:pPr>
      <w:r w:rsidRPr="0098522A">
        <w:rPr>
          <w:rFonts w:ascii="Arial" w:hAnsi="Arial" w:cs="Arial"/>
          <w:noProof/>
          <w:color w:val="000000"/>
          <w:sz w:val="22"/>
          <w:szCs w:val="22"/>
          <w:bdr w:val="none" w:sz="0" w:space="0" w:color="auto" w:frame="1"/>
        </w:rPr>
        <w:drawing>
          <wp:inline distT="0" distB="0" distL="0" distR="0" wp14:anchorId="524DDFEB" wp14:editId="25D4BC47">
            <wp:extent cx="4677410" cy="2727325"/>
            <wp:effectExtent l="0" t="0" r="8890" b="0"/>
            <wp:docPr id="10" name="Obrázek 10"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abulka&#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7410" cy="2727325"/>
                    </a:xfrm>
                    <a:prstGeom prst="rect">
                      <a:avLst/>
                    </a:prstGeom>
                    <a:noFill/>
                    <a:ln>
                      <a:noFill/>
                    </a:ln>
                  </pic:spPr>
                </pic:pic>
              </a:graphicData>
            </a:graphic>
          </wp:inline>
        </w:drawing>
      </w:r>
    </w:p>
    <w:p w14:paraId="624167B2" w14:textId="77777777" w:rsidR="0098522A" w:rsidRPr="0098522A" w:rsidRDefault="0098522A" w:rsidP="0098522A">
      <w:pPr>
        <w:rPr>
          <w:i/>
          <w:sz w:val="20"/>
          <w:szCs w:val="20"/>
          <w:lang w:eastAsia="sk-SK"/>
        </w:rPr>
      </w:pPr>
      <w:r w:rsidRPr="0098522A">
        <w:rPr>
          <w:i/>
          <w:sz w:val="20"/>
          <w:szCs w:val="20"/>
          <w:lang w:eastAsia="sk-SK"/>
        </w:rPr>
        <w:t>Zdroj: Český statistický úřad, 2023</w:t>
      </w:r>
    </w:p>
    <w:p w14:paraId="02341001" w14:textId="77777777" w:rsidR="0098522A" w:rsidRPr="0098522A" w:rsidRDefault="0098522A" w:rsidP="0098522A">
      <w:pPr>
        <w:rPr>
          <w:rFonts w:ascii="Times New Roman" w:hAnsi="Times New Roman"/>
        </w:rPr>
      </w:pPr>
    </w:p>
    <w:p w14:paraId="22569EE7" w14:textId="6CDABBB9" w:rsidR="0098522A" w:rsidRPr="0098522A" w:rsidRDefault="0098522A" w:rsidP="00493B3A">
      <w:pPr>
        <w:pStyle w:val="Odstavec1"/>
        <w:rPr>
          <w:rFonts w:ascii="Times New Roman" w:hAnsi="Times New Roman"/>
        </w:rPr>
      </w:pPr>
      <w:r w:rsidRPr="0098522A">
        <w:t>Mezi</w:t>
      </w:r>
      <w:r w:rsidRPr="0098522A">
        <w:rPr>
          <w:b/>
          <w:bCs/>
        </w:rPr>
        <w:t xml:space="preserve"> technologické</w:t>
      </w:r>
      <w:r w:rsidRPr="0098522A">
        <w:t xml:space="preserve"> faktory ovlivňující společnost S&amp;K LABEL spol. s r.o. patří rychlý rozvoj technologií pro výrobu samolepících etiket. společnost se snaží udržovat na popředí inovací a aktuálně využívá 3 druhy technologií. Jsou to technologie pro výrobu RFID etiket za pomocí rádiových frekvencí. Dále se jedná o </w:t>
      </w:r>
      <w:r w:rsidR="00493B3A" w:rsidRPr="0098522A">
        <w:t>technologie</w:t>
      </w:r>
      <w:r w:rsidR="00493B3A">
        <w:t xml:space="preserve"> </w:t>
      </w:r>
      <w:r w:rsidR="00493B3A" w:rsidRPr="0098522A">
        <w:t>,,Multi</w:t>
      </w:r>
      <w:r w:rsidRPr="0098522A">
        <w:t>-layer sandwich” etiket, díky kterým mohou dodavatelé a distributoři poskytnout vysoké množství informací díky vícero vrstvám v etiketě. Poslední technologií, kterou společnost využívá pro výrobu ,,booklet” etiket, může společnost vytvořit etikety s vícero vrstvami, které jsou fyzicky oddělitelné a jsou opět schopny obsáhnout vícero informací.</w:t>
      </w:r>
    </w:p>
    <w:p w14:paraId="701AC1A9" w14:textId="77777777" w:rsidR="0098522A" w:rsidRPr="0098522A" w:rsidRDefault="0098522A" w:rsidP="0098522A">
      <w:pPr>
        <w:spacing w:after="240"/>
        <w:rPr>
          <w:rFonts w:ascii="Times New Roman" w:hAnsi="Times New Roman"/>
        </w:rPr>
      </w:pPr>
    </w:p>
    <w:p w14:paraId="4D8454A6" w14:textId="071280EA" w:rsidR="0098522A" w:rsidRPr="003162DE" w:rsidRDefault="0098522A" w:rsidP="003162DE">
      <w:pPr>
        <w:pStyle w:val="Nadpis2"/>
        <w:numPr>
          <w:ilvl w:val="1"/>
          <w:numId w:val="18"/>
        </w:numPr>
      </w:pPr>
      <w:bookmarkStart w:id="13" w:name="_Toc132567250"/>
      <w:r w:rsidRPr="0098522A">
        <w:lastRenderedPageBreak/>
        <w:t>Porter</w:t>
      </w:r>
      <w:r w:rsidR="00493B3A">
        <w:t>ova analýza pěti sil</w:t>
      </w:r>
      <w:bookmarkEnd w:id="13"/>
    </w:p>
    <w:p w14:paraId="4C866087" w14:textId="6CECDFF2" w:rsidR="0098522A" w:rsidRPr="0098522A" w:rsidRDefault="00750DE0" w:rsidP="00D3470A">
      <w:pPr>
        <w:pStyle w:val="Odstavec1"/>
        <w:rPr>
          <w:rFonts w:ascii="Times New Roman" w:hAnsi="Times New Roman"/>
        </w:rPr>
      </w:pPr>
      <w:r>
        <w:t xml:space="preserve">Co se týče </w:t>
      </w:r>
      <w:r w:rsidR="0098522A" w:rsidRPr="00750DE0">
        <w:rPr>
          <w:b/>
          <w:bCs/>
        </w:rPr>
        <w:t>Stávající konkurence</w:t>
      </w:r>
      <w:r w:rsidRPr="00750DE0">
        <w:t>, tak se p</w:t>
      </w:r>
      <w:r w:rsidR="0098522A" w:rsidRPr="00750DE0">
        <w:t>odnik</w:t>
      </w:r>
      <w:r w:rsidR="0098522A" w:rsidRPr="0098522A">
        <w:t xml:space="preserve"> pohybuje v oboru polygrafie, který je v české republice velice konkurenční. Zkoumaný podnik se v tomto </w:t>
      </w:r>
      <w:r w:rsidRPr="0098522A">
        <w:t>konkurenčním</w:t>
      </w:r>
      <w:r w:rsidR="0098522A" w:rsidRPr="0098522A">
        <w:t xml:space="preserve"> prostředí rozhodl prosadit pomocí kvality, technologie a služeb </w:t>
      </w:r>
      <w:r w:rsidRPr="0098522A">
        <w:t>poskytovaných zákazníků</w:t>
      </w:r>
      <w:r w:rsidR="0098522A" w:rsidRPr="0098522A">
        <w:t xml:space="preserve"> (</w:t>
      </w:r>
      <w:r>
        <w:t>V</w:t>
      </w:r>
      <w:r w:rsidR="0098522A" w:rsidRPr="0098522A">
        <w:t>ýroční zpráva, 2021, s. 6). Vysoká konkurence pro podnik představovat v budoucnu hrozbu. </w:t>
      </w:r>
    </w:p>
    <w:p w14:paraId="48A09E61" w14:textId="733FCE09" w:rsidR="0098522A" w:rsidRPr="0098522A" w:rsidRDefault="00750DE0" w:rsidP="00750DE0">
      <w:pPr>
        <w:pStyle w:val="Odstavec1"/>
        <w:ind w:firstLine="709"/>
        <w:rPr>
          <w:rFonts w:ascii="Times New Roman" w:hAnsi="Times New Roman"/>
        </w:rPr>
      </w:pPr>
      <w:r>
        <w:t xml:space="preserve">V rámci analýzy </w:t>
      </w:r>
      <w:r w:rsidRPr="00750DE0">
        <w:rPr>
          <w:b/>
          <w:bCs/>
        </w:rPr>
        <w:t>síly odběratelů</w:t>
      </w:r>
      <w:r>
        <w:t xml:space="preserve"> p</w:t>
      </w:r>
      <w:r w:rsidR="0098522A" w:rsidRPr="0098522A">
        <w:t>odnik ve své Výroční zprávě za rok 2021 uvádí rozložení svých zákaznických segmentu, které je velmi rozmanité s je znázorněno na</w:t>
      </w:r>
      <w:r w:rsidR="00D3470A">
        <w:t xml:space="preserve"> grafu</w:t>
      </w:r>
      <w:r w:rsidR="00336CE9">
        <w:t xml:space="preserve"> č. </w:t>
      </w:r>
      <w:r>
        <w:t>2</w:t>
      </w:r>
      <w:r w:rsidR="00336CE9">
        <w:t>.</w:t>
      </w:r>
      <w:r w:rsidR="0098522A" w:rsidRPr="0098522A">
        <w:t xml:space="preserve"> Z tohoto rozložení lze vyvodit, ze podnik není závislý na jednom hlavním odběrateli, který by měl zásadní vliv na podnik.</w:t>
      </w:r>
    </w:p>
    <w:p w14:paraId="54E8C149" w14:textId="656371C6" w:rsidR="0098522A" w:rsidRPr="0098522A" w:rsidRDefault="0098522A" w:rsidP="00336CE9">
      <w:pPr>
        <w:pStyle w:val="Titulekgraf"/>
        <w:rPr>
          <w:rFonts w:ascii="Times New Roman" w:hAnsi="Times New Roman"/>
        </w:rPr>
      </w:pPr>
      <w:bookmarkStart w:id="14" w:name="_Toc133180312"/>
      <w:r w:rsidRPr="0098522A">
        <w:t xml:space="preserve">Graf č. </w:t>
      </w:r>
      <w:r w:rsidR="00336CE9">
        <w:t>2</w:t>
      </w:r>
      <w:r w:rsidRPr="0098522A">
        <w:t>: Odběratelé podniku</w:t>
      </w:r>
      <w:bookmarkEnd w:id="14"/>
    </w:p>
    <w:p w14:paraId="004BE364" w14:textId="3BEC2C41" w:rsidR="0098522A" w:rsidRPr="0098522A" w:rsidRDefault="0098522A" w:rsidP="0098522A">
      <w:pPr>
        <w:spacing w:before="240" w:after="240"/>
        <w:jc w:val="center"/>
        <w:rPr>
          <w:rFonts w:ascii="Times New Roman" w:hAnsi="Times New Roman"/>
        </w:rPr>
      </w:pPr>
      <w:r w:rsidRPr="0098522A">
        <w:rPr>
          <w:rFonts w:ascii="Arial" w:hAnsi="Arial" w:cs="Arial"/>
          <w:noProof/>
          <w:color w:val="000000"/>
          <w:sz w:val="22"/>
          <w:szCs w:val="22"/>
          <w:bdr w:val="none" w:sz="0" w:space="0" w:color="auto" w:frame="1"/>
        </w:rPr>
        <w:drawing>
          <wp:inline distT="0" distB="0" distL="0" distR="0" wp14:anchorId="10941629" wp14:editId="31BD0817">
            <wp:extent cx="3733800" cy="2105025"/>
            <wp:effectExtent l="0" t="0" r="0" b="9525"/>
            <wp:docPr id="9" name="Obrázek 9" descr="Obsah obrázku tabulka, výsečov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abulka, výsečový graf&#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2105025"/>
                    </a:xfrm>
                    <a:prstGeom prst="rect">
                      <a:avLst/>
                    </a:prstGeom>
                    <a:noFill/>
                    <a:ln>
                      <a:noFill/>
                    </a:ln>
                  </pic:spPr>
                </pic:pic>
              </a:graphicData>
            </a:graphic>
          </wp:inline>
        </w:drawing>
      </w:r>
    </w:p>
    <w:p w14:paraId="7A5F2CF2" w14:textId="77777777" w:rsidR="0098522A" w:rsidRPr="0098522A" w:rsidRDefault="0098522A" w:rsidP="0098522A">
      <w:pPr>
        <w:spacing w:before="240" w:after="240"/>
        <w:rPr>
          <w:i/>
          <w:sz w:val="20"/>
          <w:szCs w:val="20"/>
          <w:lang w:eastAsia="sk-SK"/>
        </w:rPr>
      </w:pPr>
      <w:r w:rsidRPr="0098522A">
        <w:rPr>
          <w:i/>
          <w:sz w:val="20"/>
          <w:szCs w:val="20"/>
          <w:lang w:eastAsia="sk-SK"/>
        </w:rPr>
        <w:t>Zdroj: Výroční zpráva podniku (2021, s. 6)</w:t>
      </w:r>
    </w:p>
    <w:p w14:paraId="43AD7BEB" w14:textId="2FA00BE1" w:rsidR="00FB1596" w:rsidRPr="00EA6B1B" w:rsidRDefault="0098522A" w:rsidP="00EA6B1B">
      <w:pPr>
        <w:pStyle w:val="Odstavec1"/>
        <w:rPr>
          <w:rFonts w:ascii="Times New Roman" w:hAnsi="Times New Roman"/>
        </w:rPr>
      </w:pPr>
      <w:r w:rsidRPr="0098522A">
        <w:t xml:space="preserve">Podnik má také široké množství </w:t>
      </w:r>
      <w:r w:rsidRPr="00FB1596">
        <w:rPr>
          <w:b/>
          <w:bCs/>
        </w:rPr>
        <w:t>dodavatelů</w:t>
      </w:r>
      <w:r w:rsidRPr="0098522A">
        <w:t>, které lze rozdělit do tří hlavních skupin</w:t>
      </w:r>
      <w:r w:rsidR="00FB1596">
        <w:t>,</w:t>
      </w:r>
      <w:r w:rsidRPr="0098522A">
        <w:t xml:space="preserve"> a to tiskařské a výrobní potřeby, dále technologie a ostatní, kam spadají dodávky plynu a elektřiny. Z tohoto rozdělení lze vyvodit, že podnik není závislý pouze na jednom dodavateli z dané skupiny, což by mohlo ohrozit jeho výrobní činnosti.</w:t>
      </w:r>
    </w:p>
    <w:p w14:paraId="04082072" w14:textId="6DC54323" w:rsidR="0098522A" w:rsidRPr="0098522A" w:rsidRDefault="0098522A" w:rsidP="00FB1596">
      <w:pPr>
        <w:pStyle w:val="Odstavec1"/>
        <w:ind w:firstLine="709"/>
        <w:rPr>
          <w:rFonts w:ascii="Times New Roman" w:hAnsi="Times New Roman"/>
        </w:rPr>
      </w:pPr>
      <w:r w:rsidRPr="0098522A">
        <w:t xml:space="preserve">Existují zde nějaké </w:t>
      </w:r>
      <w:r w:rsidRPr="00FB1596">
        <w:t xml:space="preserve">překážky pro </w:t>
      </w:r>
      <w:r w:rsidRPr="00FB1596">
        <w:rPr>
          <w:b/>
          <w:bCs/>
        </w:rPr>
        <w:t>vstup</w:t>
      </w:r>
      <w:r w:rsidR="00FB1596">
        <w:rPr>
          <w:b/>
          <w:bCs/>
        </w:rPr>
        <w:t xml:space="preserve"> nové konkurence</w:t>
      </w:r>
      <w:r w:rsidRPr="00FB1596">
        <w:rPr>
          <w:b/>
          <w:bCs/>
        </w:rPr>
        <w:t xml:space="preserve"> na trh</w:t>
      </w:r>
      <w:r w:rsidRPr="0098522A">
        <w:t>, zejména technologické zařízení s pořízení kvalitních tiskáren a tiskařských materiálu. Protože je konkurenční prostředí koncentrované, bude zřejmě složité se uchytit na trhu. </w:t>
      </w:r>
    </w:p>
    <w:p w14:paraId="69EE58CA" w14:textId="3A71E06B" w:rsidR="0098522A" w:rsidRPr="0098522A" w:rsidRDefault="0098522A" w:rsidP="00FB1596">
      <w:pPr>
        <w:pStyle w:val="Odstavec1"/>
        <w:ind w:firstLine="709"/>
        <w:rPr>
          <w:rFonts w:ascii="Times New Roman" w:hAnsi="Times New Roman"/>
        </w:rPr>
      </w:pPr>
      <w:r w:rsidRPr="00FB1596">
        <w:rPr>
          <w:b/>
          <w:bCs/>
        </w:rPr>
        <w:t>Hrozbu substitutů</w:t>
      </w:r>
      <w:r w:rsidRPr="0098522A">
        <w:t xml:space="preserve"> považujeme za vysokou, jelikož konkurenční prostředí podniku je velmi koncentrované a </w:t>
      </w:r>
      <w:r w:rsidR="009D0CD1" w:rsidRPr="0098522A">
        <w:t>samolepicích</w:t>
      </w:r>
      <w:r w:rsidRPr="0098522A">
        <w:t xml:space="preserve"> etiket je více. </w:t>
      </w:r>
      <w:r w:rsidRPr="0098522A">
        <w:lastRenderedPageBreak/>
        <w:t xml:space="preserve">Liší se designem a kvalitou tisku. Podnik se soustředí na nákup špičkových technologií a obnovu a rozšiřování výroby, jak </w:t>
      </w:r>
      <w:r w:rsidR="009D0CD1" w:rsidRPr="0098522A">
        <w:t>vychází</w:t>
      </w:r>
      <w:r w:rsidRPr="0098522A">
        <w:t xml:space="preserve"> z jeho Výroční </w:t>
      </w:r>
      <w:r w:rsidR="009D0CD1" w:rsidRPr="0098522A">
        <w:t>zprávy</w:t>
      </w:r>
      <w:r w:rsidRPr="0098522A">
        <w:t xml:space="preserve"> za rok 2021. Tyto kroky je ovšem potřeba neustále udržovat a v rozvoji pokračovat. </w:t>
      </w:r>
    </w:p>
    <w:p w14:paraId="4D8DA356" w14:textId="77777777" w:rsidR="009D0CD1" w:rsidRDefault="009D0CD1" w:rsidP="009D0CD1">
      <w:pPr>
        <w:pStyle w:val="Nadpis1"/>
      </w:pPr>
      <w:bookmarkStart w:id="15" w:name="_Toc132567251"/>
      <w:r>
        <w:lastRenderedPageBreak/>
        <w:t xml:space="preserve">Vertikální a horizontální analýza </w:t>
      </w:r>
      <w:r w:rsidRPr="009D0CD1">
        <w:t>podniku</w:t>
      </w:r>
      <w:bookmarkEnd w:id="15"/>
    </w:p>
    <w:p w14:paraId="73E0800D" w14:textId="77777777" w:rsidR="00060704" w:rsidRPr="00CF20EA" w:rsidRDefault="00060704" w:rsidP="00060704">
      <w:pPr>
        <w:pStyle w:val="Odstavec1"/>
      </w:pPr>
      <w:r w:rsidRPr="0019484B">
        <w:t xml:space="preserve">Hlavním úkolem </w:t>
      </w:r>
      <w:r w:rsidRPr="0019484B">
        <w:rPr>
          <w:b/>
        </w:rPr>
        <w:t>vertikální analýzy</w:t>
      </w:r>
      <w:r w:rsidRPr="0019484B">
        <w:t xml:space="preserve"> je zjistit podíl určité položky na stanoveném základu. Pro potřeby této práce jsou základy celková aktiva a pasiva rozvahy a celkové výnosy podniku za dané období ve výkazu zisků a ztrát (Mrkvička, Kolář, 2006, s. 58). Díky tomuto lze sledovat pohyby podílu majetku podniku v čase a poté například upravit jejich nastavení (Kislingerová et. al., 2010, s. 88). Výsledky vertikální analýzy se využívají také pro doplnění výsledků horizontální analýzy kvůli jejich schopnosti charakterizovat vývoj veličin. Dále díky odhlédnutí od absolutních hodnot veličin lze výsledky vertikální analýzy porovnávat jak mezi různými podniky, tak i v různých obdobích (Kubíčková, Jindřichovská, 2015, s. 93).</w:t>
      </w:r>
    </w:p>
    <w:p w14:paraId="069D6BF6" w14:textId="77777777" w:rsidR="00060704" w:rsidRDefault="00060704" w:rsidP="00060704">
      <w:pPr>
        <w:pStyle w:val="Odstavec1"/>
        <w:ind w:firstLine="360"/>
      </w:pPr>
      <w:r w:rsidRPr="0019484B">
        <w:rPr>
          <w:b/>
        </w:rPr>
        <w:t>Horizontální analýza</w:t>
      </w:r>
      <w:r w:rsidRPr="0019484B">
        <w:t xml:space="preserve"> porovnává změny položek dle jejich časové posloupnosti. Pomocí ní lze předpovědět předpokládaný budoucí vývoj jednotlivých položek výkazů a rozvahy (Mrkvička, Kolář, 2006, s. 54). Kromě predikce budoucího vývoje nám tento typ analýzy výkazů podává také informace o tom, jak se měnila majetková a finanční situace v podniku v minulosti. Pro efektivní a co nejpřesnější zobrazení by mělo docházet k analýze alespoň 4 až 5 po sobě jdoucích období (Kubíčková, Jindřichovská, 2015, s. 83-85). Horizontální analýzu lze provádět více způsoby výpočtů, mezi které se řadí absolutní a procentní změny nebo řetězové a bazické indexy. V této práci jsme se zaměřily na procentní změny pro jednoznačné podchycení dosáhnutých výsledků.</w:t>
      </w:r>
    </w:p>
    <w:p w14:paraId="159109DE" w14:textId="5ABCDD96" w:rsidR="00060704" w:rsidRPr="0019484B" w:rsidRDefault="00060704" w:rsidP="003162DE">
      <w:pPr>
        <w:pStyle w:val="Nadpis2"/>
        <w:numPr>
          <w:ilvl w:val="1"/>
          <w:numId w:val="18"/>
        </w:numPr>
      </w:pPr>
      <w:bookmarkStart w:id="16" w:name="_r2fcn1o4jk1y" w:colFirst="0" w:colLast="0"/>
      <w:bookmarkStart w:id="17" w:name="_Toc128324392"/>
      <w:bookmarkStart w:id="18" w:name="_Toc128325506"/>
      <w:bookmarkStart w:id="19" w:name="_Toc128327579"/>
      <w:bookmarkStart w:id="20" w:name="_Toc132567252"/>
      <w:bookmarkEnd w:id="16"/>
      <w:r w:rsidRPr="00CF20EA">
        <w:t>Vertikální</w:t>
      </w:r>
      <w:r w:rsidRPr="0019484B">
        <w:t xml:space="preserve"> rozbor rozvahy</w:t>
      </w:r>
      <w:bookmarkEnd w:id="17"/>
      <w:bookmarkEnd w:id="18"/>
      <w:bookmarkEnd w:id="19"/>
      <w:bookmarkEnd w:id="20"/>
    </w:p>
    <w:p w14:paraId="78345326" w14:textId="77777777" w:rsidR="00060704" w:rsidRDefault="00060704" w:rsidP="00060704">
      <w:pPr>
        <w:pStyle w:val="text"/>
        <w:ind w:firstLine="0"/>
      </w:pPr>
      <w:r w:rsidRPr="0019484B">
        <w:t>Podstatou vertikální analýzy je výpočet ukazatelů, které mají dobrou vypovídací schopnost</w:t>
      </w:r>
      <w:r>
        <w:t xml:space="preserve"> </w:t>
      </w:r>
      <w:r w:rsidRPr="0019484B">
        <w:t xml:space="preserve">vzhledem ke zkoumané ekonomické realitě. (Kislingerová, 2007) Ukazatelé v práci máme ukázané v procentech. Cílem této analýzy (viz tabulka </w:t>
      </w:r>
      <w:r>
        <w:t>č. 3</w:t>
      </w:r>
      <w:r w:rsidRPr="0019484B">
        <w:t xml:space="preserve"> a </w:t>
      </w:r>
      <w:r>
        <w:t>č. 4</w:t>
      </w:r>
      <w:r w:rsidRPr="0019484B">
        <w:t xml:space="preserve">) bylo zjistit, jak se jednotlivé položky rozvahy podílely na celkové sumě. </w:t>
      </w:r>
    </w:p>
    <w:p w14:paraId="0A66E047" w14:textId="77777777" w:rsidR="00060704" w:rsidRDefault="00060704" w:rsidP="00060704">
      <w:pPr>
        <w:pStyle w:val="text"/>
      </w:pPr>
    </w:p>
    <w:p w14:paraId="7B1503EE" w14:textId="23DED3B4" w:rsidR="00060704" w:rsidRDefault="00060704">
      <w:pPr>
        <w:rPr>
          <w:rFonts w:asciiTheme="minorHAnsi" w:hAnsiTheme="minorHAnsi"/>
        </w:rPr>
      </w:pPr>
      <w:r>
        <w:br w:type="page"/>
      </w:r>
    </w:p>
    <w:p w14:paraId="27B6C6DB" w14:textId="072FA1DE" w:rsidR="00060704" w:rsidRPr="0019484B" w:rsidRDefault="00060704" w:rsidP="00060704">
      <w:pPr>
        <w:pStyle w:val="Titulektabulky"/>
      </w:pPr>
      <w:bookmarkStart w:id="21" w:name="_Toc133180291"/>
      <w:r w:rsidRPr="0019484B">
        <w:lastRenderedPageBreak/>
        <w:t xml:space="preserve">Tabulka </w:t>
      </w:r>
      <w:r>
        <w:t>č. 4</w:t>
      </w:r>
      <w:r w:rsidRPr="0019484B">
        <w:t>: Vertikální analýza aktiv</w:t>
      </w:r>
      <w:bookmarkEnd w:id="21"/>
    </w:p>
    <w:p w14:paraId="29F788D7" w14:textId="26BE1BB7" w:rsidR="00060704" w:rsidRPr="009E7E43" w:rsidRDefault="00060704" w:rsidP="00060704">
      <w:pPr>
        <w:pStyle w:val="pramen"/>
      </w:pPr>
      <w:bookmarkStart w:id="22" w:name="_o4jtuuey5mci" w:colFirst="0" w:colLast="0"/>
      <w:bookmarkEnd w:id="22"/>
      <w:r>
        <w:rPr>
          <w:noProof/>
        </w:rPr>
        <w:drawing>
          <wp:inline distT="0" distB="0" distL="0" distR="0" wp14:anchorId="66BC0965" wp14:editId="5AEA3914">
            <wp:extent cx="4879975" cy="2238375"/>
            <wp:effectExtent l="0" t="0" r="0" b="9525"/>
            <wp:docPr id="14" name="Obrázek 1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25"/>
                    <a:stretch>
                      <a:fillRect/>
                    </a:stretch>
                  </pic:blipFill>
                  <pic:spPr>
                    <a:xfrm>
                      <a:off x="0" y="0"/>
                      <a:ext cx="4899431" cy="2247299"/>
                    </a:xfrm>
                    <a:prstGeom prst="rect">
                      <a:avLst/>
                    </a:prstGeom>
                  </pic:spPr>
                </pic:pic>
              </a:graphicData>
            </a:graphic>
          </wp:inline>
        </w:drawing>
      </w:r>
      <w:r w:rsidRPr="00060704">
        <w:rPr>
          <w:rFonts w:ascii="Cambria" w:eastAsia="Times New Roman" w:hAnsi="Cambria" w:cs="Times New Roman"/>
          <w:sz w:val="20"/>
          <w:szCs w:val="20"/>
          <w:lang w:val="cs-CZ" w:eastAsia="sk-SK"/>
        </w:rPr>
        <w:t>Zdroj: vlastní zpracování dle Veřejného rejstřík</w:t>
      </w:r>
      <w:r>
        <w:rPr>
          <w:rFonts w:ascii="Cambria" w:eastAsia="Times New Roman" w:hAnsi="Cambria" w:cs="Times New Roman"/>
          <w:sz w:val="20"/>
          <w:szCs w:val="20"/>
          <w:lang w:val="cs-CZ" w:eastAsia="sk-SK"/>
        </w:rPr>
        <w:t>.</w:t>
      </w:r>
    </w:p>
    <w:p w14:paraId="18496C4F" w14:textId="4C78F8E4" w:rsidR="00060704" w:rsidRDefault="00060704" w:rsidP="00060704">
      <w:pPr>
        <w:pStyle w:val="Odstavec1"/>
        <w:ind w:firstLine="709"/>
      </w:pPr>
      <w:r w:rsidRPr="0019484B">
        <w:t xml:space="preserve">Podle tabulky </w:t>
      </w:r>
      <w:r>
        <w:t>č. 4</w:t>
      </w:r>
      <w:r w:rsidRPr="0019484B">
        <w:t xml:space="preserve"> můžeme podle vertikální analýzy vyvodit několik východisek. Stálá aktiva společnosti se v průběhu let pohybovala okolo 30 % celkových aktiv vždy se skoro 100% zastoupením dlouhodobého hmotného majetku (DHM). Velký nárůst ve stálých aktivech</w:t>
      </w:r>
      <w:r>
        <w:t>,</w:t>
      </w:r>
      <w:r w:rsidRPr="0019484B">
        <w:t xml:space="preserve"> a tedy i DHM je vidět v roce </w:t>
      </w:r>
      <w:r w:rsidRPr="002332D6">
        <w:rPr>
          <w:b/>
          <w:bCs/>
        </w:rPr>
        <w:t>2018</w:t>
      </w:r>
      <w:r w:rsidRPr="0019484B">
        <w:t xml:space="preserve">. Dlouhodobý nehmotný majetek (DNM) ve společnosti nemá taky vysoké zastoupení. Nicméně vzhledem k předmětu podnikání je to očekávané. </w:t>
      </w:r>
    </w:p>
    <w:p w14:paraId="3916A86D" w14:textId="4257D1BE" w:rsidR="00060704" w:rsidRDefault="00060704" w:rsidP="00060704">
      <w:pPr>
        <w:pStyle w:val="Titulekgraf"/>
      </w:pPr>
      <w:bookmarkStart w:id="23" w:name="_Toc133180313"/>
      <w:r>
        <w:t>Graf</w:t>
      </w:r>
      <w:r w:rsidRPr="0019484B">
        <w:t xml:space="preserve"> </w:t>
      </w:r>
      <w:r>
        <w:t>č. 3</w:t>
      </w:r>
      <w:r w:rsidRPr="0019484B">
        <w:t xml:space="preserve">: Vertikální analýza </w:t>
      </w:r>
      <w:r>
        <w:t>Aktiv</w:t>
      </w:r>
      <w:bookmarkEnd w:id="23"/>
    </w:p>
    <w:p w14:paraId="35481E43" w14:textId="77777777" w:rsidR="00060704" w:rsidRDefault="00060704" w:rsidP="00060704">
      <w:pPr>
        <w:pStyle w:val="text"/>
        <w:jc w:val="center"/>
      </w:pPr>
      <w:r>
        <w:rPr>
          <w:noProof/>
        </w:rPr>
        <w:drawing>
          <wp:inline distT="0" distB="0" distL="0" distR="0" wp14:anchorId="51FB4D8C" wp14:editId="4F4F24B5">
            <wp:extent cx="4181475" cy="2428875"/>
            <wp:effectExtent l="0" t="0" r="9525" b="9525"/>
            <wp:docPr id="13" name="Graf 13">
              <a:extLst xmlns:a="http://schemas.openxmlformats.org/drawingml/2006/main">
                <a:ext uri="{FF2B5EF4-FFF2-40B4-BE49-F238E27FC236}">
                  <a16:creationId xmlns:a16="http://schemas.microsoft.com/office/drawing/2014/main" id="{12BB11FF-E05F-1ED0-196D-8C8589FCE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BDC0D1" w14:textId="77777777" w:rsidR="00060704" w:rsidRPr="00060704" w:rsidRDefault="00060704" w:rsidP="00060704">
      <w:pPr>
        <w:pStyle w:val="pramen"/>
        <w:rPr>
          <w:rFonts w:ascii="Cambria" w:eastAsia="Times New Roman" w:hAnsi="Cambria" w:cs="Times New Roman"/>
          <w:sz w:val="20"/>
          <w:szCs w:val="20"/>
          <w:lang w:val="cs-CZ" w:eastAsia="sk-SK"/>
        </w:rPr>
      </w:pPr>
      <w:r w:rsidRPr="00060704">
        <w:rPr>
          <w:rFonts w:ascii="Cambria" w:eastAsia="Times New Roman" w:hAnsi="Cambria" w:cs="Times New Roman"/>
          <w:sz w:val="20"/>
          <w:szCs w:val="20"/>
          <w:lang w:val="cs-CZ" w:eastAsia="sk-SK"/>
        </w:rPr>
        <w:t>Zdroj: vlastní zpracování dle vertikální analýzy</w:t>
      </w:r>
    </w:p>
    <w:p w14:paraId="4C9AC88C" w14:textId="77777777" w:rsidR="00060704" w:rsidRPr="0019484B" w:rsidRDefault="00060704" w:rsidP="00060704">
      <w:pPr>
        <w:jc w:val="both"/>
        <w:rPr>
          <w:rFonts w:asciiTheme="minorHAnsi" w:hAnsiTheme="minorHAnsi"/>
        </w:rPr>
      </w:pPr>
    </w:p>
    <w:p w14:paraId="690C8CA8" w14:textId="77777777" w:rsidR="00060704" w:rsidRPr="0019484B" w:rsidRDefault="00060704" w:rsidP="00060704">
      <w:pPr>
        <w:pStyle w:val="text"/>
      </w:pPr>
      <w:r w:rsidRPr="002332D6">
        <w:rPr>
          <w:b/>
          <w:bCs/>
        </w:rPr>
        <w:t>Oběžná aktiva klesla oproti roku 2017 o 10 % v roce 2021</w:t>
      </w:r>
      <w:r w:rsidRPr="0019484B">
        <w:t xml:space="preserve"> což se projevuje oproti celkovým aktivům zejména u poklesu pohledávek o 17 %. V roce 2021 společnost také zvýšila zastoupení svých peněžních prostředků, což může poukazovat na </w:t>
      </w:r>
      <w:r w:rsidRPr="002332D6">
        <w:rPr>
          <w:b/>
          <w:bCs/>
        </w:rPr>
        <w:t>zvýšení likvidity společnosti oproti předešlým letem.</w:t>
      </w:r>
    </w:p>
    <w:p w14:paraId="51D5B721" w14:textId="7E7F1DC3" w:rsidR="00060704" w:rsidRPr="0019484B" w:rsidRDefault="00060704" w:rsidP="00060704">
      <w:pPr>
        <w:pStyle w:val="Titulektabulky"/>
      </w:pPr>
      <w:bookmarkStart w:id="24" w:name="_Toc133180292"/>
      <w:r w:rsidRPr="0019484B">
        <w:t xml:space="preserve">Tabulka </w:t>
      </w:r>
      <w:r>
        <w:t>č. 5</w:t>
      </w:r>
      <w:r w:rsidRPr="0019484B">
        <w:t>: Vertikální analýza pasiv</w:t>
      </w:r>
      <w:bookmarkEnd w:id="24"/>
    </w:p>
    <w:p w14:paraId="0EDF3E4A" w14:textId="77777777" w:rsidR="00060704" w:rsidRPr="0019484B" w:rsidRDefault="00060704" w:rsidP="00060704">
      <w:pPr>
        <w:jc w:val="both"/>
        <w:rPr>
          <w:rFonts w:asciiTheme="minorHAnsi" w:hAnsiTheme="minorHAnsi"/>
        </w:rPr>
      </w:pPr>
      <w:r>
        <w:rPr>
          <w:noProof/>
        </w:rPr>
        <w:drawing>
          <wp:inline distT="0" distB="0" distL="0" distR="0" wp14:anchorId="56D56965" wp14:editId="24D3C157">
            <wp:extent cx="4638675" cy="1904481"/>
            <wp:effectExtent l="0" t="0" r="0" b="635"/>
            <wp:docPr id="15" name="Obrázek 1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27"/>
                    <a:stretch>
                      <a:fillRect/>
                    </a:stretch>
                  </pic:blipFill>
                  <pic:spPr>
                    <a:xfrm>
                      <a:off x="0" y="0"/>
                      <a:ext cx="4667946" cy="1916499"/>
                    </a:xfrm>
                    <a:prstGeom prst="rect">
                      <a:avLst/>
                    </a:prstGeom>
                  </pic:spPr>
                </pic:pic>
              </a:graphicData>
            </a:graphic>
          </wp:inline>
        </w:drawing>
      </w:r>
    </w:p>
    <w:p w14:paraId="2565536F" w14:textId="77777777" w:rsidR="00060704" w:rsidRPr="00060704" w:rsidRDefault="00060704" w:rsidP="00060704">
      <w:pPr>
        <w:pStyle w:val="pramen"/>
        <w:rPr>
          <w:rFonts w:ascii="Cambria" w:eastAsia="Times New Roman" w:hAnsi="Cambria" w:cs="Times New Roman"/>
          <w:sz w:val="20"/>
          <w:szCs w:val="20"/>
          <w:lang w:val="cs-CZ" w:eastAsia="sk-SK"/>
        </w:rPr>
      </w:pPr>
      <w:r w:rsidRPr="00060704">
        <w:rPr>
          <w:rFonts w:ascii="Cambria" w:eastAsia="Times New Roman" w:hAnsi="Cambria" w:cs="Times New Roman"/>
          <w:sz w:val="20"/>
          <w:szCs w:val="20"/>
          <w:lang w:val="cs-CZ" w:eastAsia="sk-SK"/>
        </w:rPr>
        <w:t>Zdroj: vlastní zpracování dle Veřejného rejstříku</w:t>
      </w:r>
    </w:p>
    <w:p w14:paraId="689F86A0" w14:textId="12233359" w:rsidR="00060704" w:rsidRPr="0019484B" w:rsidRDefault="00060704" w:rsidP="00060704">
      <w:pPr>
        <w:pStyle w:val="text"/>
      </w:pPr>
      <w:r w:rsidRPr="0019484B">
        <w:t xml:space="preserve">Z vertikální analýzy pasiv podle tabulky </w:t>
      </w:r>
      <w:r>
        <w:t>č. 5</w:t>
      </w:r>
      <w:r w:rsidRPr="0019484B">
        <w:t xml:space="preserve"> je vidět vysoký nárůst podílu vlastního kapitálu (VK) a poklesu cizích zdrojů (CZ) od roku 2017. </w:t>
      </w:r>
      <w:r w:rsidRPr="002332D6">
        <w:rPr>
          <w:b/>
          <w:bCs/>
        </w:rPr>
        <w:t>Společnost má</w:t>
      </w:r>
      <w:r w:rsidRPr="0019484B">
        <w:t xml:space="preserve"> </w:t>
      </w:r>
      <w:r w:rsidRPr="002332D6">
        <w:rPr>
          <w:b/>
          <w:bCs/>
        </w:rPr>
        <w:t>oproti roku 2017, kdy byl poměr VK a CZ 1:4, poměr zhruba 1:1 v roce 2021.</w:t>
      </w:r>
      <w:r w:rsidRPr="0019484B">
        <w:t xml:space="preserve"> To může naznačovat větší vyrovnanost Vlastního kapitálu a cizích zdrojů a tím pádem určitou optimalizaci kapitálové struktury společnosti. Nicméně Poměr mezi stálými aktivy (viz tabulka </w:t>
      </w:r>
      <w:r>
        <w:t>č. 4</w:t>
      </w:r>
      <w:r w:rsidRPr="0019484B">
        <w:t xml:space="preserve">) a dlouhodobými závazky se v průběhu let překlopil a v roce </w:t>
      </w:r>
      <w:r w:rsidRPr="002332D6">
        <w:rPr>
          <w:b/>
          <w:bCs/>
        </w:rPr>
        <w:t>2021</w:t>
      </w:r>
      <w:r w:rsidRPr="0019484B">
        <w:t xml:space="preserve"> tvoří </w:t>
      </w:r>
      <w:r w:rsidRPr="002332D6">
        <w:rPr>
          <w:b/>
          <w:bCs/>
        </w:rPr>
        <w:t>dlouhodobé závazky</w:t>
      </w:r>
      <w:r w:rsidRPr="0019484B">
        <w:t xml:space="preserve"> </w:t>
      </w:r>
      <w:r w:rsidRPr="002332D6">
        <w:rPr>
          <w:b/>
          <w:bCs/>
        </w:rPr>
        <w:t>13 % a stálá aktiva 31 %.</w:t>
      </w:r>
      <w:r w:rsidRPr="0019484B">
        <w:t xml:space="preserve"> Oproti tomu v roce </w:t>
      </w:r>
      <w:r w:rsidRPr="002332D6">
        <w:rPr>
          <w:b/>
          <w:bCs/>
        </w:rPr>
        <w:t>2017</w:t>
      </w:r>
      <w:r w:rsidRPr="0019484B">
        <w:t xml:space="preserve"> tvořily </w:t>
      </w:r>
      <w:r w:rsidRPr="002332D6">
        <w:rPr>
          <w:b/>
          <w:bCs/>
        </w:rPr>
        <w:t>dlouhodobé závazky 31 % zatímco stálá aktiva 22 %.</w:t>
      </w:r>
      <w:r w:rsidRPr="0019484B">
        <w:t xml:space="preserve"> Celkově se tak dá říci, že společnosti se podařilo v průběhu let snížit zatížení společnosti dlouhodobými závazky, které původně převyšovaly stálá aktiva.</w:t>
      </w:r>
    </w:p>
    <w:p w14:paraId="4AFC85B6" w14:textId="77777777" w:rsidR="00060704" w:rsidRPr="0019484B" w:rsidRDefault="00060704" w:rsidP="00060704">
      <w:pPr>
        <w:pStyle w:val="text"/>
      </w:pPr>
      <w:r w:rsidRPr="0019484B">
        <w:t>Celkově vertikální analýza rozvahy ukázala různé změny ve struktuře položek. Významnými jsou konkrétně dlouhodobé závazky, poměry mezi VK a CZ a peněžních prostředků</w:t>
      </w:r>
      <w:r>
        <w:t>, n</w:t>
      </w:r>
      <w:r w:rsidRPr="0019484B">
        <w:t xml:space="preserve">a které se dále zaměřujeme v dalších částech práce. </w:t>
      </w:r>
    </w:p>
    <w:p w14:paraId="54A26BEF" w14:textId="77777777" w:rsidR="00060704" w:rsidRPr="0019484B" w:rsidRDefault="00060704" w:rsidP="003162DE">
      <w:pPr>
        <w:pStyle w:val="Nadpis2"/>
        <w:numPr>
          <w:ilvl w:val="1"/>
          <w:numId w:val="18"/>
        </w:numPr>
      </w:pPr>
      <w:bookmarkStart w:id="25" w:name="_w92hkqtrk5ow" w:colFirst="0" w:colLast="0"/>
      <w:bookmarkStart w:id="26" w:name="_Toc128324394"/>
      <w:bookmarkStart w:id="27" w:name="_Toc128325508"/>
      <w:bookmarkStart w:id="28" w:name="_Toc128327580"/>
      <w:bookmarkStart w:id="29" w:name="_Toc132567253"/>
      <w:bookmarkEnd w:id="25"/>
      <w:r w:rsidRPr="00326FB7">
        <w:lastRenderedPageBreak/>
        <w:t xml:space="preserve">Horizontální </w:t>
      </w:r>
      <w:r w:rsidRPr="0019484B">
        <w:t xml:space="preserve">rozbor </w:t>
      </w:r>
      <w:r w:rsidRPr="00CF20EA">
        <w:t>rozvahy</w:t>
      </w:r>
      <w:bookmarkEnd w:id="26"/>
      <w:bookmarkEnd w:id="27"/>
      <w:bookmarkEnd w:id="28"/>
      <w:bookmarkEnd w:id="29"/>
    </w:p>
    <w:p w14:paraId="7613A156" w14:textId="263542C2" w:rsidR="00060704" w:rsidRDefault="00060704" w:rsidP="00060704">
      <w:pPr>
        <w:pStyle w:val="text"/>
        <w:ind w:firstLine="0"/>
      </w:pPr>
      <w:r w:rsidRPr="0019484B">
        <w:t xml:space="preserve">V horizontální analýze rozvahy jsme zkoumaly o kolik procent (relativní hodnoty), se změnila příslušná jednotka v čase. Zaměřily jsme se na porovnáváním výsledků postupně mezi jednotlivými roky a zařadily jsme také porovnání let 2017–2020 s rokem 2021 abychom byly schopné porovnat změny oproti nejnovějším dostupným údajům. Výsledky jsou obsažené v tabulkách </w:t>
      </w:r>
      <w:r>
        <w:t>č. 6</w:t>
      </w:r>
      <w:r w:rsidRPr="0019484B">
        <w:t xml:space="preserve"> a </w:t>
      </w:r>
      <w:r>
        <w:t>7</w:t>
      </w:r>
      <w:r w:rsidRPr="0019484B">
        <w:t>.</w:t>
      </w:r>
    </w:p>
    <w:p w14:paraId="69727BBC" w14:textId="1170C469" w:rsidR="00060704" w:rsidRPr="0019484B" w:rsidRDefault="00060704" w:rsidP="00060704">
      <w:pPr>
        <w:pStyle w:val="Titulektabulky"/>
      </w:pPr>
      <w:bookmarkStart w:id="30" w:name="_Toc133180293"/>
      <w:r w:rsidRPr="0019484B">
        <w:t xml:space="preserve">Tabulka </w:t>
      </w:r>
      <w:r>
        <w:t>č. 6</w:t>
      </w:r>
      <w:r w:rsidRPr="0019484B">
        <w:t>: Horizontální analýza aktiv</w:t>
      </w:r>
      <w:bookmarkEnd w:id="30"/>
    </w:p>
    <w:p w14:paraId="6801C4DE" w14:textId="77777777" w:rsidR="00060704" w:rsidRPr="0019484B" w:rsidRDefault="00060704" w:rsidP="00060704">
      <w:pPr>
        <w:jc w:val="both"/>
        <w:rPr>
          <w:rFonts w:asciiTheme="minorHAnsi" w:hAnsiTheme="minorHAnsi"/>
        </w:rPr>
      </w:pPr>
      <w:r>
        <w:rPr>
          <w:noProof/>
        </w:rPr>
        <w:drawing>
          <wp:inline distT="0" distB="0" distL="0" distR="0" wp14:anchorId="2F7D47EF" wp14:editId="650FFED7">
            <wp:extent cx="4752975" cy="2278824"/>
            <wp:effectExtent l="0" t="0" r="0" b="7620"/>
            <wp:docPr id="16" name="Obrázek 1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28"/>
                    <a:stretch>
                      <a:fillRect/>
                    </a:stretch>
                  </pic:blipFill>
                  <pic:spPr>
                    <a:xfrm>
                      <a:off x="0" y="0"/>
                      <a:ext cx="4776531" cy="2290118"/>
                    </a:xfrm>
                    <a:prstGeom prst="rect">
                      <a:avLst/>
                    </a:prstGeom>
                  </pic:spPr>
                </pic:pic>
              </a:graphicData>
            </a:graphic>
          </wp:inline>
        </w:drawing>
      </w:r>
    </w:p>
    <w:p w14:paraId="26EA763B" w14:textId="77777777" w:rsidR="00060704" w:rsidRPr="00060704" w:rsidRDefault="00060704" w:rsidP="00060704">
      <w:pPr>
        <w:pStyle w:val="pramen"/>
        <w:rPr>
          <w:rFonts w:ascii="Cambria" w:eastAsia="Times New Roman" w:hAnsi="Cambria" w:cs="Times New Roman"/>
          <w:sz w:val="20"/>
          <w:szCs w:val="20"/>
          <w:lang w:val="cs-CZ" w:eastAsia="sk-SK"/>
        </w:rPr>
      </w:pPr>
      <w:r w:rsidRPr="00060704">
        <w:rPr>
          <w:rFonts w:ascii="Cambria" w:eastAsia="Times New Roman" w:hAnsi="Cambria" w:cs="Times New Roman"/>
          <w:sz w:val="20"/>
          <w:szCs w:val="20"/>
          <w:lang w:val="cs-CZ" w:eastAsia="sk-SK"/>
        </w:rPr>
        <w:t>Zdroj: vlastní zpracování dle Veřejného rejstříku</w:t>
      </w:r>
    </w:p>
    <w:p w14:paraId="0BC67966" w14:textId="3A99C216" w:rsidR="00060704" w:rsidRPr="0019484B" w:rsidRDefault="00060704" w:rsidP="00060704">
      <w:pPr>
        <w:pStyle w:val="text"/>
      </w:pPr>
      <w:r w:rsidRPr="0019484B">
        <w:t xml:space="preserve">Podle horizontální analýzy aktiv rozvahy v tabulce </w:t>
      </w:r>
      <w:r w:rsidR="00085F1A">
        <w:t>č. 6</w:t>
      </w:r>
      <w:r w:rsidRPr="0019484B">
        <w:t xml:space="preserve"> je vidět pokles </w:t>
      </w:r>
      <w:r w:rsidRPr="002332D6">
        <w:rPr>
          <w:b/>
          <w:bCs/>
        </w:rPr>
        <w:t>celkových aktiv v roce 2019 o 11 % oproti roku 2018.</w:t>
      </w:r>
      <w:r w:rsidRPr="0019484B">
        <w:t xml:space="preserve"> Toto může být nejspíše způsobeno primárně poklesem stálých aktiv, konkrétně DHM. Díky vertikální analýze (viz tabulka </w:t>
      </w:r>
      <w:r>
        <w:t>č. 3</w:t>
      </w:r>
      <w:r w:rsidRPr="0019484B">
        <w:t xml:space="preserve">) usuzujeme, že vysoký </w:t>
      </w:r>
      <w:r w:rsidRPr="002332D6">
        <w:rPr>
          <w:b/>
          <w:bCs/>
        </w:rPr>
        <w:t>pokles DNM a peněžních prostředků</w:t>
      </w:r>
      <w:r w:rsidRPr="0019484B">
        <w:t xml:space="preserve"> v tomto roce </w:t>
      </w:r>
      <w:r w:rsidRPr="002332D6">
        <w:rPr>
          <w:b/>
          <w:bCs/>
        </w:rPr>
        <w:t>neměl</w:t>
      </w:r>
      <w:r w:rsidRPr="0019484B">
        <w:t xml:space="preserve"> na společnost tak </w:t>
      </w:r>
      <w:r w:rsidRPr="002332D6">
        <w:rPr>
          <w:b/>
          <w:bCs/>
        </w:rPr>
        <w:t>podstatný vliv</w:t>
      </w:r>
      <w:r w:rsidRPr="0019484B">
        <w:t xml:space="preserve"> vzhledem k jejich nízkému zastoupení v celkových aktivech společnosti.</w:t>
      </w:r>
    </w:p>
    <w:p w14:paraId="582BE7DD" w14:textId="77777777" w:rsidR="00060704" w:rsidRDefault="00060704" w:rsidP="00060704">
      <w:pPr>
        <w:pStyle w:val="text"/>
      </w:pPr>
      <w:r w:rsidRPr="0019484B">
        <w:t xml:space="preserve">Na přelomu roku 2018 a 2019 je zajímavé, že </w:t>
      </w:r>
      <w:r w:rsidRPr="002332D6">
        <w:rPr>
          <w:b/>
          <w:bCs/>
        </w:rPr>
        <w:t>dlouhodobé pohledávky vzrostly o 15 % a krátkodobé pohledávky o 15 % poklesly.</w:t>
      </w:r>
      <w:r w:rsidRPr="0019484B">
        <w:t xml:space="preserve"> Nicméně díky výsledkům vertikální analýzy, kde jsme zjistili, že </w:t>
      </w:r>
      <w:r w:rsidRPr="002332D6">
        <w:rPr>
          <w:b/>
          <w:bCs/>
        </w:rPr>
        <w:t>krátkodobé pohledávky v roce 2019 tvořili 36 % celkových aktiv oproti 13 % u dlouhodobých pohledávek</w:t>
      </w:r>
      <w:r w:rsidRPr="0019484B">
        <w:t>, celkové pohledávky poklesly také o 15 %. V roce 2021 pohledávky vzrostly oproti roku 2019 o 5 % nicméně oproti ostatním rokům byly stále nižší. To může indikovat místo na které se v rámci práce budeme zaměřovat více do hloubky.</w:t>
      </w:r>
    </w:p>
    <w:p w14:paraId="276AF0C3" w14:textId="66FED05F" w:rsidR="00060704" w:rsidRPr="0019484B" w:rsidRDefault="00060704" w:rsidP="00060704">
      <w:pPr>
        <w:pStyle w:val="tabulkanzev"/>
      </w:pPr>
      <w:r w:rsidRPr="0019484B">
        <w:lastRenderedPageBreak/>
        <w:t xml:space="preserve">Tabulka </w:t>
      </w:r>
      <w:r>
        <w:t xml:space="preserve">č. </w:t>
      </w:r>
      <w:r w:rsidR="00085F1A">
        <w:t>7</w:t>
      </w:r>
      <w:r w:rsidRPr="0019484B">
        <w:t>: Horizontální analýza pasiv</w:t>
      </w:r>
    </w:p>
    <w:p w14:paraId="4CA33CC2" w14:textId="77777777" w:rsidR="00060704" w:rsidRPr="0019484B" w:rsidRDefault="00060704" w:rsidP="00060704">
      <w:pPr>
        <w:jc w:val="both"/>
        <w:rPr>
          <w:rFonts w:asciiTheme="minorHAnsi" w:hAnsiTheme="minorHAnsi"/>
        </w:rPr>
      </w:pPr>
      <w:r>
        <w:rPr>
          <w:noProof/>
        </w:rPr>
        <w:drawing>
          <wp:inline distT="0" distB="0" distL="0" distR="0" wp14:anchorId="705CE007" wp14:editId="0F3E1E65">
            <wp:extent cx="4549899" cy="2133600"/>
            <wp:effectExtent l="0" t="0" r="3175" b="0"/>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29"/>
                    <a:stretch>
                      <a:fillRect/>
                    </a:stretch>
                  </pic:blipFill>
                  <pic:spPr>
                    <a:xfrm>
                      <a:off x="0" y="0"/>
                      <a:ext cx="4556876" cy="2136872"/>
                    </a:xfrm>
                    <a:prstGeom prst="rect">
                      <a:avLst/>
                    </a:prstGeom>
                  </pic:spPr>
                </pic:pic>
              </a:graphicData>
            </a:graphic>
          </wp:inline>
        </w:drawing>
      </w:r>
    </w:p>
    <w:p w14:paraId="2D5EC91A" w14:textId="77777777" w:rsidR="00060704" w:rsidRPr="00085F1A" w:rsidRDefault="00060704" w:rsidP="00060704">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Zdroj: vlastní zpracování dle Veřejného rejstříku</w:t>
      </w:r>
    </w:p>
    <w:p w14:paraId="2855B021" w14:textId="6D70C9A2" w:rsidR="00060704" w:rsidRPr="0019484B" w:rsidRDefault="00060704" w:rsidP="00060704">
      <w:pPr>
        <w:pStyle w:val="text"/>
      </w:pPr>
      <w:r w:rsidRPr="0019484B">
        <w:t>Podle horizontální analýzy jsme zjistil</w:t>
      </w:r>
      <w:r w:rsidR="00085F1A">
        <w:t>y,</w:t>
      </w:r>
      <w:r w:rsidRPr="0019484B">
        <w:t xml:space="preserve"> že nižší výsledek hospodaření vykázala společnost pouze na mezi lety 2017 a 2018. Naopak na mezi lety </w:t>
      </w:r>
      <w:r w:rsidRPr="002332D6">
        <w:rPr>
          <w:b/>
          <w:bCs/>
        </w:rPr>
        <w:t>2018 a 2019</w:t>
      </w:r>
      <w:r w:rsidRPr="0019484B">
        <w:t xml:space="preserve"> společnost vykázala o </w:t>
      </w:r>
      <w:r w:rsidRPr="002332D6">
        <w:rPr>
          <w:b/>
          <w:bCs/>
        </w:rPr>
        <w:t>25 % nižší cizí zdroje</w:t>
      </w:r>
      <w:r w:rsidRPr="0019484B">
        <w:t>. S největší pravděpodobností je to způsobeno celkovým poklesem ve všech položkách cizích zdrojů. To poukazuje na skutečnost popsanou ve vertikální analýze</w:t>
      </w:r>
      <w:r>
        <w:t>,</w:t>
      </w:r>
      <w:r w:rsidRPr="0019484B">
        <w:t xml:space="preserve"> kdy společnost postupně </w:t>
      </w:r>
      <w:r w:rsidRPr="002332D6">
        <w:rPr>
          <w:b/>
          <w:bCs/>
        </w:rPr>
        <w:t>vyrovnávala poměr mezi VK a CZ.</w:t>
      </w:r>
      <w:r>
        <w:t xml:space="preserve"> </w:t>
      </w:r>
      <w:r w:rsidRPr="0019484B">
        <w:t xml:space="preserve">Postupnému snižování ážia a kapitálových fondů od roku 2019 z větší části také podle vertikální analýzy nejspíše nahradil vlastní kapitál. </w:t>
      </w:r>
    </w:p>
    <w:p w14:paraId="7A52B8FA" w14:textId="77777777" w:rsidR="00060704" w:rsidRPr="0019484B" w:rsidRDefault="00060704" w:rsidP="00060704">
      <w:pPr>
        <w:pStyle w:val="text"/>
      </w:pPr>
      <w:r w:rsidRPr="0019484B">
        <w:t>Celkové výsledky analýzy vykazují určité trendy a jsme tak schopny dopředu odvodit budoucí směřování společnosti. Podstatné situace byly popsány v dalších částech práce se na ně zaměřujeme více do hloubky.</w:t>
      </w:r>
    </w:p>
    <w:p w14:paraId="528F4A9A" w14:textId="77777777" w:rsidR="00060704" w:rsidRPr="0019484B" w:rsidRDefault="00060704" w:rsidP="003162DE">
      <w:pPr>
        <w:pStyle w:val="Nadpis2"/>
        <w:numPr>
          <w:ilvl w:val="1"/>
          <w:numId w:val="18"/>
        </w:numPr>
      </w:pPr>
      <w:bookmarkStart w:id="31" w:name="_7z7pf5r3vzu" w:colFirst="0" w:colLast="0"/>
      <w:bookmarkStart w:id="32" w:name="_Toc128324395"/>
      <w:bookmarkStart w:id="33" w:name="_Toc128325509"/>
      <w:bookmarkStart w:id="34" w:name="_Toc128327581"/>
      <w:bookmarkStart w:id="35" w:name="_Toc132567254"/>
      <w:bookmarkEnd w:id="31"/>
      <w:r w:rsidRPr="0019484B">
        <w:t>Vertikální rozbor výkazu zisků a ztrát</w:t>
      </w:r>
      <w:bookmarkEnd w:id="32"/>
      <w:bookmarkEnd w:id="33"/>
      <w:bookmarkEnd w:id="34"/>
      <w:bookmarkEnd w:id="35"/>
    </w:p>
    <w:p w14:paraId="5E2DD27B" w14:textId="06252153" w:rsidR="00060704" w:rsidRDefault="00060704" w:rsidP="00060704">
      <w:pPr>
        <w:pStyle w:val="text"/>
      </w:pPr>
      <w:r w:rsidRPr="0019484B">
        <w:t>Následující tabulka č.</w:t>
      </w:r>
      <w:r>
        <w:t xml:space="preserve"> </w:t>
      </w:r>
      <w:r w:rsidR="00085F1A">
        <w:t>8</w:t>
      </w:r>
      <w:r w:rsidRPr="0019484B">
        <w:t xml:space="preserve"> znázorňuje vertikální rozbor výkazu zisků a ztrát podniku S&amp;K Label ve zkráceném rozsahu. Podrobnější rozložení je uvedeno v Příloze 1. </w:t>
      </w:r>
    </w:p>
    <w:p w14:paraId="1EF09F0A" w14:textId="63BBAFE3" w:rsidR="00085F1A" w:rsidRDefault="00085F1A">
      <w:pPr>
        <w:rPr>
          <w:rFonts w:asciiTheme="minorHAnsi" w:hAnsiTheme="minorHAnsi"/>
        </w:rPr>
      </w:pPr>
      <w:r>
        <w:br w:type="page"/>
      </w:r>
    </w:p>
    <w:p w14:paraId="1011FAC2" w14:textId="72D29F3F" w:rsidR="00060704" w:rsidRPr="0019484B" w:rsidRDefault="00060704" w:rsidP="00085F1A">
      <w:pPr>
        <w:pStyle w:val="Titulektabulky"/>
      </w:pPr>
      <w:bookmarkStart w:id="36" w:name="_Toc133180294"/>
      <w:r w:rsidRPr="0019484B">
        <w:lastRenderedPageBreak/>
        <w:t xml:space="preserve">Tabulka č. </w:t>
      </w:r>
      <w:r w:rsidR="00085F1A">
        <w:t>8</w:t>
      </w:r>
      <w:r>
        <w:t xml:space="preserve">: </w:t>
      </w:r>
      <w:r w:rsidRPr="0019484B">
        <w:t>Vertikální rozbor výkazu zisků a ztrát</w:t>
      </w:r>
      <w:bookmarkEnd w:id="36"/>
    </w:p>
    <w:p w14:paraId="1CCD99D4" w14:textId="77777777" w:rsidR="00060704" w:rsidRPr="0019484B" w:rsidRDefault="00060704" w:rsidP="00060704">
      <w:pPr>
        <w:pStyle w:val="tabulkanzev"/>
      </w:pPr>
      <w:r w:rsidRPr="001A6746">
        <w:rPr>
          <w:noProof/>
        </w:rPr>
        <w:drawing>
          <wp:inline distT="0" distB="0" distL="0" distR="0" wp14:anchorId="6E7D36F6" wp14:editId="078EFFA2">
            <wp:extent cx="4590606" cy="2257425"/>
            <wp:effectExtent l="0" t="0" r="635" b="0"/>
            <wp:docPr id="6" name="Obrázek 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byl vytvořen automaticky"/>
                    <pic:cNvPicPr/>
                  </pic:nvPicPr>
                  <pic:blipFill>
                    <a:blip r:embed="rId30"/>
                    <a:stretch>
                      <a:fillRect/>
                    </a:stretch>
                  </pic:blipFill>
                  <pic:spPr>
                    <a:xfrm>
                      <a:off x="0" y="0"/>
                      <a:ext cx="4607857" cy="2265908"/>
                    </a:xfrm>
                    <a:prstGeom prst="rect">
                      <a:avLst/>
                    </a:prstGeom>
                  </pic:spPr>
                </pic:pic>
              </a:graphicData>
            </a:graphic>
          </wp:inline>
        </w:drawing>
      </w:r>
    </w:p>
    <w:p w14:paraId="16931A15" w14:textId="77777777" w:rsidR="00060704" w:rsidRPr="00085F1A" w:rsidRDefault="00060704" w:rsidP="00060704">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245C56B8" w14:textId="77777777" w:rsidR="00060704" w:rsidRPr="0019484B" w:rsidRDefault="00060704" w:rsidP="00060704">
      <w:pPr>
        <w:pStyle w:val="text"/>
      </w:pPr>
      <w:r w:rsidRPr="0019484B">
        <w:t xml:space="preserve">Jako základ pro tvorbu analýzy byl brán Čistý obrat společnosti jakožto celkové výnosy. Z analýzy lze pozorovat, že se </w:t>
      </w:r>
      <w:r w:rsidRPr="0003153A">
        <w:rPr>
          <w:b/>
          <w:bCs/>
        </w:rPr>
        <w:t>celkové tržby podniku</w:t>
      </w:r>
      <w:r w:rsidRPr="0019484B">
        <w:t xml:space="preserve"> ve všech obdobích pohybovaly kolem 97</w:t>
      </w:r>
      <w:r>
        <w:t xml:space="preserve"> </w:t>
      </w:r>
      <w:r w:rsidRPr="0019484B">
        <w:t xml:space="preserve">%, přičemž největší část zabírají tržby z prodeje výrobků a služeb, což je konzistentní s výrobním podnikem. Položka </w:t>
      </w:r>
      <w:r w:rsidRPr="004C0A90">
        <w:rPr>
          <w:b/>
          <w:bCs/>
        </w:rPr>
        <w:t>Výkonové spotřeby</w:t>
      </w:r>
      <w:r w:rsidRPr="0019484B">
        <w:t xml:space="preserve"> v průběhu času klesla v porovnání s počátkem zkoumaného období o 4,7 %, což </w:t>
      </w:r>
      <w:r w:rsidRPr="00797C88">
        <w:t xml:space="preserve">v kombinaci s nárůstem tržeb naznačuje inovace ve výrobě, které vedou k úspoře nákladů ve vztahu k celkovým výnosům. </w:t>
      </w:r>
      <w:r w:rsidRPr="00FA17A8">
        <w:rPr>
          <w:b/>
          <w:bCs/>
        </w:rPr>
        <w:t>Pokles podílu osobních nákladů</w:t>
      </w:r>
      <w:r w:rsidRPr="00797C88">
        <w:t xml:space="preserve"> mezi lety 2020 a 2021 je</w:t>
      </w:r>
      <w:r w:rsidRPr="0019484B">
        <w:t xml:space="preserve"> vysvětlen snížením počtu zaměstnanců ze 148 roku 2020 na 143. Ovšem absolutní hodnota této položky vzrostla o 3,74 % což naznačuje zvýšení platů zbylých zaměstnanců. </w:t>
      </w:r>
    </w:p>
    <w:p w14:paraId="0577A870" w14:textId="650A3969" w:rsidR="00060704" w:rsidRPr="005B6288" w:rsidRDefault="00060704" w:rsidP="00060704">
      <w:pPr>
        <w:pStyle w:val="text"/>
      </w:pPr>
      <w:r w:rsidRPr="004C638C">
        <w:rPr>
          <w:b/>
          <w:bCs/>
        </w:rPr>
        <w:t>Provozní výsledek podniku</w:t>
      </w:r>
      <w:r w:rsidRPr="0019484B">
        <w:t xml:space="preserve"> od počátku zkoumaného obdob vzrostl výrazně, a to konkrétně z podílu 4,7 % výnosů na 7,5 %. Tento nárůst naznačuje růst výroby a pozitivní výhled pro podnik. </w:t>
      </w:r>
      <w:r w:rsidRPr="004C638C">
        <w:rPr>
          <w:b/>
          <w:bCs/>
        </w:rPr>
        <w:t>Nákladové úroky</w:t>
      </w:r>
      <w:r w:rsidRPr="0019484B">
        <w:t xml:space="preserve"> v celém zkoumaném období zabírají zanedbatelnou část ce</w:t>
      </w:r>
      <w:r w:rsidR="00917250">
        <w:t>lk</w:t>
      </w:r>
      <w:r w:rsidRPr="0019484B">
        <w:t>ových výnosů. Konkrétně roku 2017 bylo toto číslo nejvyšší, a to na 0,4 %, v průběhu času podnik své závazky splácí a za poslední účetní období se dostal na 0,1 % výnosů. Tento pokles naznačuje i analýza rozvahy</w:t>
      </w:r>
      <w:r w:rsidRPr="00F72FC1">
        <w:rPr>
          <w:b/>
          <w:bCs/>
        </w:rPr>
        <w:t>. Čistý zisk podniku</w:t>
      </w:r>
      <w:r w:rsidRPr="0019484B">
        <w:t xml:space="preserve"> se od roku 2017 téměř zdvojnásobil, ovšem v letech 2018 a 2019 došlo k poklesu, což bylo způsobeno nižšími tržbami a zvýšením nákladů. Ovšem dle posledních dvou období se podniku daří.</w:t>
      </w:r>
      <w:r>
        <w:t xml:space="preserve"> Vývoj těchto hodnot lze pozorovat i v grafu č. </w:t>
      </w:r>
      <w:r w:rsidR="00085F1A">
        <w:t>4</w:t>
      </w:r>
      <w:r>
        <w:t xml:space="preserve">. </w:t>
      </w:r>
    </w:p>
    <w:p w14:paraId="5A859120" w14:textId="77777777" w:rsidR="00060704" w:rsidRDefault="00060704" w:rsidP="00060704">
      <w:pPr>
        <w:pStyle w:val="text"/>
      </w:pPr>
    </w:p>
    <w:p w14:paraId="6E27E2EF" w14:textId="477AE1C2" w:rsidR="00060704" w:rsidRDefault="00060704" w:rsidP="00085F1A">
      <w:pPr>
        <w:pStyle w:val="Titulekgraf"/>
      </w:pPr>
      <w:bookmarkStart w:id="37" w:name="_Toc133180314"/>
      <w:r>
        <w:lastRenderedPageBreak/>
        <w:t xml:space="preserve">Graf č. </w:t>
      </w:r>
      <w:r w:rsidR="00085F1A">
        <w:t>4</w:t>
      </w:r>
      <w:r>
        <w:t>: Vertikální analýza VZZ</w:t>
      </w:r>
      <w:bookmarkEnd w:id="37"/>
      <w:r>
        <w:t xml:space="preserve"> </w:t>
      </w:r>
    </w:p>
    <w:p w14:paraId="0B39D381" w14:textId="77777777" w:rsidR="00060704" w:rsidRDefault="00060704" w:rsidP="00060704">
      <w:pPr>
        <w:pStyle w:val="text"/>
      </w:pPr>
      <w:r>
        <w:rPr>
          <w:noProof/>
        </w:rPr>
        <w:drawing>
          <wp:inline distT="0" distB="0" distL="0" distR="0" wp14:anchorId="5A672DF6" wp14:editId="514C0FE3">
            <wp:extent cx="4274185" cy="2477386"/>
            <wp:effectExtent l="0" t="0" r="12065" b="18415"/>
            <wp:docPr id="17" name="Graf 17">
              <a:extLst xmlns:a="http://schemas.openxmlformats.org/drawingml/2006/main">
                <a:ext uri="{FF2B5EF4-FFF2-40B4-BE49-F238E27FC236}">
                  <a16:creationId xmlns:a16="http://schemas.microsoft.com/office/drawing/2014/main" id="{9E128EA5-496B-1867-EA56-13E3096E9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73A5E6" w14:textId="77777777" w:rsidR="00060704" w:rsidRPr="00085F1A" w:rsidRDefault="00060704" w:rsidP="00085F1A">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Zdroj: vlastní zpracování dle vertikální analýzy</w:t>
      </w:r>
    </w:p>
    <w:p w14:paraId="23B03E93" w14:textId="77777777" w:rsidR="00060704" w:rsidRDefault="00060704" w:rsidP="003162DE">
      <w:pPr>
        <w:pStyle w:val="Nadpis2"/>
        <w:numPr>
          <w:ilvl w:val="1"/>
          <w:numId w:val="18"/>
        </w:numPr>
      </w:pPr>
      <w:bookmarkStart w:id="38" w:name="_wiuwxbquqcd0" w:colFirst="0" w:colLast="0"/>
      <w:bookmarkStart w:id="39" w:name="_Toc128324396"/>
      <w:bookmarkStart w:id="40" w:name="_Toc128325510"/>
      <w:bookmarkStart w:id="41" w:name="_Toc128327582"/>
      <w:bookmarkStart w:id="42" w:name="_Toc132567255"/>
      <w:bookmarkEnd w:id="38"/>
      <w:r w:rsidRPr="00CF20EA">
        <w:t>Horizontál</w:t>
      </w:r>
      <w:r>
        <w:t>ní</w:t>
      </w:r>
      <w:r w:rsidRPr="0019484B">
        <w:t xml:space="preserve"> </w:t>
      </w:r>
      <w:r w:rsidRPr="003162DE">
        <w:t>rozbor</w:t>
      </w:r>
      <w:r w:rsidRPr="0019484B">
        <w:t xml:space="preserve"> výkazu zisků a ztrát</w:t>
      </w:r>
      <w:bookmarkEnd w:id="39"/>
      <w:bookmarkEnd w:id="40"/>
      <w:bookmarkEnd w:id="41"/>
      <w:bookmarkEnd w:id="42"/>
    </w:p>
    <w:p w14:paraId="3B5D54F6" w14:textId="04EE5B35" w:rsidR="00060704" w:rsidRDefault="00060704" w:rsidP="00060704">
      <w:pPr>
        <w:pStyle w:val="text"/>
      </w:pPr>
      <w:r>
        <w:t xml:space="preserve">Tabulka č. </w:t>
      </w:r>
      <w:r w:rsidR="00085F1A">
        <w:t>9</w:t>
      </w:r>
      <w:r>
        <w:t xml:space="preserve"> obsahuje pouze zkrácenou analýzu Výkazu zisku a ztrát (VZZ), plná verze je obsažena v Příloze 2.</w:t>
      </w:r>
    </w:p>
    <w:p w14:paraId="53063E56" w14:textId="1A3C668E" w:rsidR="00060704" w:rsidRDefault="00085F1A" w:rsidP="00085F1A">
      <w:pPr>
        <w:pStyle w:val="Titulektabulky"/>
      </w:pPr>
      <w:bookmarkStart w:id="43" w:name="_Toc133180295"/>
      <w:r>
        <w:t>T</w:t>
      </w:r>
      <w:r w:rsidR="00060704">
        <w:t xml:space="preserve">abulka č. </w:t>
      </w:r>
      <w:r>
        <w:t>9</w:t>
      </w:r>
      <w:r w:rsidR="00060704">
        <w:t xml:space="preserve">: </w:t>
      </w:r>
      <w:r w:rsidR="00060704" w:rsidRPr="00CF20EA">
        <w:t>Horizontál</w:t>
      </w:r>
      <w:r w:rsidR="00060704">
        <w:t>ní</w:t>
      </w:r>
      <w:r w:rsidR="00060704" w:rsidRPr="0019484B">
        <w:t xml:space="preserve"> rozbor výkazu zisků a ztrát</w:t>
      </w:r>
      <w:bookmarkEnd w:id="43"/>
    </w:p>
    <w:p w14:paraId="31924448" w14:textId="77777777" w:rsidR="00060704" w:rsidRDefault="00060704" w:rsidP="00060704">
      <w:pPr>
        <w:jc w:val="both"/>
        <w:rPr>
          <w:rFonts w:asciiTheme="minorHAnsi" w:hAnsiTheme="minorHAnsi"/>
        </w:rPr>
      </w:pPr>
      <w:r w:rsidRPr="00787891">
        <w:rPr>
          <w:rFonts w:asciiTheme="minorHAnsi" w:hAnsiTheme="minorHAnsi"/>
          <w:noProof/>
        </w:rPr>
        <w:drawing>
          <wp:inline distT="0" distB="0" distL="0" distR="0" wp14:anchorId="176FB418" wp14:editId="0E31E673">
            <wp:extent cx="4614777" cy="2806995"/>
            <wp:effectExtent l="0" t="0" r="0" b="0"/>
            <wp:docPr id="7"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ůl&#10;&#10;Popis byl vytvořen automaticky"/>
                    <pic:cNvPicPr/>
                  </pic:nvPicPr>
                  <pic:blipFill>
                    <a:blip r:embed="rId32"/>
                    <a:stretch>
                      <a:fillRect/>
                    </a:stretch>
                  </pic:blipFill>
                  <pic:spPr>
                    <a:xfrm>
                      <a:off x="0" y="0"/>
                      <a:ext cx="4633616" cy="2818454"/>
                    </a:xfrm>
                    <a:prstGeom prst="rect">
                      <a:avLst/>
                    </a:prstGeom>
                  </pic:spPr>
                </pic:pic>
              </a:graphicData>
            </a:graphic>
          </wp:inline>
        </w:drawing>
      </w:r>
    </w:p>
    <w:p w14:paraId="53524C3B" w14:textId="77777777" w:rsidR="00060704" w:rsidRPr="00085F1A" w:rsidRDefault="00060704" w:rsidP="00060704">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1743579E" w14:textId="77777777" w:rsidR="00060704" w:rsidRDefault="00060704" w:rsidP="00060704">
      <w:pPr>
        <w:pStyle w:val="text"/>
      </w:pPr>
      <w:r w:rsidRPr="0019484B">
        <w:lastRenderedPageBreak/>
        <w:t xml:space="preserve">Položka </w:t>
      </w:r>
      <w:r w:rsidRPr="001A6746">
        <w:rPr>
          <w:b/>
          <w:bCs/>
        </w:rPr>
        <w:t>Tržby za prodej zboží</w:t>
      </w:r>
      <w:r>
        <w:t xml:space="preserve"> </w:t>
      </w:r>
      <w:r w:rsidRPr="0019484B">
        <w:t>v průběhu let výrazné pokles</w:t>
      </w:r>
      <w:r>
        <w:t>la</w:t>
      </w:r>
      <w:r w:rsidRPr="0019484B">
        <w:t xml:space="preserve">, ovšem z vertikální analýzy výkazu zisků a ztrát lze pozorovat, že se jedná o menší částky a celkové tržby se udržovaly na podobné úrovni. Velký pokles zaznamenala položka </w:t>
      </w:r>
      <w:r w:rsidRPr="005A7682">
        <w:rPr>
          <w:b/>
          <w:bCs/>
        </w:rPr>
        <w:t>Změna stavu zásob vlastní činnosti</w:t>
      </w:r>
      <w:r w:rsidRPr="0019484B">
        <w:t xml:space="preserve">, kdy došlo k prodání nebo předání do výroby velké části zásob. </w:t>
      </w:r>
      <w:r w:rsidRPr="002C480E">
        <w:rPr>
          <w:b/>
          <w:bCs/>
        </w:rPr>
        <w:t>Provozní výsledek hospodařen</w:t>
      </w:r>
      <w:r w:rsidRPr="0019484B">
        <w:t xml:space="preserve">í zaznamenal růst až na období mezi lety 2017 a 2018, kdy tato hodnota poklesla o 46 %. Obecně byl rok 2018 pro firmu problémový, jelikož došlo k poklesu téměř všech položek výkazu zisku a ztrát </w:t>
      </w:r>
      <w:bookmarkStart w:id="44" w:name="_bu5gghu8kanq" w:colFirst="0" w:colLast="0"/>
      <w:bookmarkEnd w:id="44"/>
    </w:p>
    <w:p w14:paraId="0D84F642" w14:textId="77777777" w:rsidR="00060704" w:rsidRDefault="00060704" w:rsidP="003162DE">
      <w:pPr>
        <w:pStyle w:val="Nadpis2"/>
        <w:numPr>
          <w:ilvl w:val="1"/>
          <w:numId w:val="18"/>
        </w:numPr>
      </w:pPr>
      <w:r>
        <w:t xml:space="preserve"> </w:t>
      </w:r>
      <w:bookmarkStart w:id="45" w:name="_Toc132567256"/>
      <w:r>
        <w:t>Výstupy do SWOT analýzy</w:t>
      </w:r>
      <w:bookmarkEnd w:id="45"/>
    </w:p>
    <w:p w14:paraId="40E7FBBF" w14:textId="77777777" w:rsidR="00060704" w:rsidRPr="002332D6" w:rsidRDefault="00060704" w:rsidP="00060704">
      <w:pPr>
        <w:pStyle w:val="text"/>
      </w:pPr>
      <w:r w:rsidRPr="00FF3EAA">
        <w:rPr>
          <w:b/>
          <w:bCs/>
        </w:rPr>
        <w:t>Mezi silné stránky</w:t>
      </w:r>
      <w:r w:rsidRPr="00FF3EAA">
        <w:t xml:space="preserve"> </w:t>
      </w:r>
      <w:r>
        <w:t xml:space="preserve">vertikálního a horizontálního rozboru VZZ a rozvahy jsme zařadily postupné zvyšování peněžních prostředků a dosažení tak vyšší likvidity. Dále také vyrovnaný poměr mezi </w:t>
      </w:r>
      <w:r w:rsidRPr="00FF3EAA">
        <w:t xml:space="preserve">VK a CZ </w:t>
      </w:r>
      <w:r>
        <w:t>popsaný u vertikální analýzy rozvahy. Silnou stránkou je také konstantní zvyšování VH. Do silných stránek analýzy VZZ jsme zařadily růst provozního výsledku hospodaření podniku.</w:t>
      </w:r>
    </w:p>
    <w:p w14:paraId="1EB1A9F4" w14:textId="77777777" w:rsidR="00060704" w:rsidRDefault="3B737954" w:rsidP="00060704">
      <w:pPr>
        <w:pStyle w:val="text"/>
      </w:pPr>
      <w:r w:rsidRPr="3B737954">
        <w:rPr>
          <w:b/>
          <w:bCs/>
        </w:rPr>
        <w:t>Mezi slabé stránky</w:t>
      </w:r>
      <w:r>
        <w:t xml:space="preserve"> vertikálního a horizontálního rozboru VZZ a rozvahy jsme zařadily v rámci širší odhadu průběžně nižší zastoupení pohledávek společnosti oproti roku 2017. Společnost by se možná do budoucna měla zaměřit na opětovné zvýšení tohoto poměru. Jako slabé stránky podniku jsme identifikovaly finanční výsledky podniku, které byly vždy záporné. </w:t>
      </w:r>
    </w:p>
    <w:p w14:paraId="2D8DA1C8" w14:textId="77777777" w:rsidR="009D0CD1" w:rsidRPr="009D0CD1" w:rsidRDefault="009D0CD1" w:rsidP="009D0CD1">
      <w:pPr>
        <w:pStyle w:val="Odstavec1"/>
      </w:pPr>
    </w:p>
    <w:p w14:paraId="7F029183" w14:textId="0292453C" w:rsidR="0015319A" w:rsidRDefault="00AC38DD" w:rsidP="009D0CD1">
      <w:pPr>
        <w:pStyle w:val="Nadpis1"/>
      </w:pPr>
      <w:bookmarkStart w:id="46" w:name="_Toc132567257"/>
      <w:r>
        <w:lastRenderedPageBreak/>
        <w:t>Analýza poměrových ukazatelů</w:t>
      </w:r>
      <w:bookmarkEnd w:id="46"/>
    </w:p>
    <w:p w14:paraId="166C9493" w14:textId="424F3B4E" w:rsidR="0079417C" w:rsidRDefault="0079417C" w:rsidP="00AC38DD">
      <w:pPr>
        <w:pStyle w:val="Odstavec1"/>
      </w:pPr>
      <w:r>
        <w:t>Poměrová analýza ukazatelů poskytuje po provedení horizontální a vertikální analýzy bližší vhled do podniku a jeho situace. Vzhledem ke komplexnosti podniku se tyto ukazatele shrnují so soustav a několika skupin, kam se řadí rentabilita, likvidita a aktivit</w:t>
      </w:r>
      <w:r w:rsidR="00A57427">
        <w:t>a</w:t>
      </w:r>
      <w:r>
        <w:t xml:space="preserve"> </w:t>
      </w:r>
      <w:r w:rsidR="00A57427">
        <w:t>(Kislingerová, Hnilica, 2005, s. 31).</w:t>
      </w:r>
    </w:p>
    <w:p w14:paraId="5E8C8C10" w14:textId="77777777" w:rsidR="0079417C" w:rsidRDefault="0079417C" w:rsidP="003162DE">
      <w:pPr>
        <w:pStyle w:val="Nadpis2"/>
        <w:numPr>
          <w:ilvl w:val="1"/>
          <w:numId w:val="18"/>
        </w:numPr>
      </w:pPr>
      <w:bookmarkStart w:id="47" w:name="_Toc132567258"/>
      <w:r>
        <w:t>Rentabilita</w:t>
      </w:r>
      <w:bookmarkEnd w:id="47"/>
    </w:p>
    <w:p w14:paraId="50E638A6" w14:textId="63536C9B" w:rsidR="0079417C" w:rsidRDefault="0079417C" w:rsidP="00AC38DD">
      <w:pPr>
        <w:pStyle w:val="Odstavec1"/>
      </w:pPr>
      <w:r>
        <w:t xml:space="preserve">Jako první skupinu, na kterou se v rámci analýzy poměrových ukazatelů zaměříme je rentabilita, která představuje výnosnost vloženého kapitálu. Kdy vzorec pro výpočet se sestává ze zisku v čitateli a typu zkoumaného kapitálu ve jmenovateli. Zisk se užívá čistý (EAT) nebo také EBIT </w:t>
      </w:r>
      <w:r w:rsidR="00C509BB">
        <w:t>(Kalouda, 2017, s. 72)</w:t>
      </w:r>
      <w:r>
        <w:t>. Ukazatele rentability pro podnik S &amp;K Label jsou zobrazeny v</w:t>
      </w:r>
      <w:r w:rsidR="00AC38DD">
        <w:t> tabulce č. 10</w:t>
      </w:r>
      <w:r>
        <w:t xml:space="preserve">  </w:t>
      </w:r>
    </w:p>
    <w:p w14:paraId="55F5A1AE" w14:textId="1DACE884" w:rsidR="0079417C" w:rsidRDefault="0079417C" w:rsidP="00AC38DD">
      <w:pPr>
        <w:pStyle w:val="Titulektabulky"/>
      </w:pPr>
      <w:r>
        <w:br/>
      </w:r>
      <w:bookmarkStart w:id="48" w:name="_Toc133180296"/>
      <w:r>
        <w:t>Tabulka č. </w:t>
      </w:r>
      <w:r w:rsidR="00AC38DD">
        <w:t>10: Analýza ukazatelů rentability</w:t>
      </w:r>
      <w:bookmarkEnd w:id="48"/>
    </w:p>
    <w:tbl>
      <w:tblPr>
        <w:tblW w:w="7442" w:type="dxa"/>
        <w:tblCellMar>
          <w:top w:w="15" w:type="dxa"/>
          <w:left w:w="15" w:type="dxa"/>
          <w:bottom w:w="15" w:type="dxa"/>
          <w:right w:w="15" w:type="dxa"/>
        </w:tblCellMar>
        <w:tblLook w:val="04A0" w:firstRow="1" w:lastRow="0" w:firstColumn="1" w:lastColumn="0" w:noHBand="0" w:noVBand="1"/>
      </w:tblPr>
      <w:tblGrid>
        <w:gridCol w:w="906"/>
        <w:gridCol w:w="811"/>
        <w:gridCol w:w="822"/>
        <w:gridCol w:w="811"/>
        <w:gridCol w:w="811"/>
        <w:gridCol w:w="811"/>
        <w:gridCol w:w="848"/>
        <w:gridCol w:w="811"/>
        <w:gridCol w:w="811"/>
      </w:tblGrid>
      <w:tr w:rsidR="00000136" w14:paraId="1A3FB907" w14:textId="77777777" w:rsidTr="00AA594A">
        <w:trPr>
          <w:trHeight w:val="283"/>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4B487C55" w14:textId="1DC3320E" w:rsidR="0079417C" w:rsidRPr="00AC38DD" w:rsidRDefault="0079417C" w:rsidP="00000136">
            <w:pPr>
              <w:pStyle w:val="Normlnweb"/>
              <w:spacing w:after="0"/>
              <w:rPr>
                <w:rFonts w:asciiTheme="majorHAnsi" w:hAnsiTheme="majorHAnsi" w:cstheme="majorHAnsi"/>
                <w:sz w:val="18"/>
                <w:szCs w:val="18"/>
              </w:rPr>
            </w:pPr>
          </w:p>
        </w:tc>
        <w:tc>
          <w:tcPr>
            <w:tcW w:w="81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36D6A6D7" w14:textId="77777777" w:rsidR="0079417C" w:rsidRPr="00000136" w:rsidRDefault="0079417C" w:rsidP="00000136">
            <w:pPr>
              <w:pStyle w:val="Normlnweb"/>
              <w:spacing w:after="0"/>
              <w:rPr>
                <w:rFonts w:asciiTheme="majorHAnsi" w:hAnsiTheme="majorHAnsi" w:cstheme="majorHAnsi"/>
                <w:sz w:val="16"/>
                <w:szCs w:val="16"/>
              </w:rPr>
            </w:pPr>
            <w:r w:rsidRPr="00000136">
              <w:rPr>
                <w:rFonts w:asciiTheme="majorHAnsi" w:hAnsiTheme="majorHAnsi" w:cstheme="majorHAnsi"/>
                <w:color w:val="000000"/>
                <w:sz w:val="16"/>
                <w:szCs w:val="16"/>
              </w:rPr>
              <w:t>2017</w:t>
            </w:r>
          </w:p>
        </w:tc>
        <w:tc>
          <w:tcPr>
            <w:tcW w:w="822"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63CB5767" w14:textId="77777777" w:rsidR="0079417C" w:rsidRPr="00000136" w:rsidRDefault="0079417C" w:rsidP="00000136">
            <w:pPr>
              <w:pStyle w:val="Normlnweb"/>
              <w:spacing w:after="0"/>
              <w:rPr>
                <w:rFonts w:asciiTheme="majorHAnsi" w:hAnsiTheme="majorHAnsi" w:cstheme="majorHAnsi"/>
                <w:sz w:val="16"/>
                <w:szCs w:val="16"/>
              </w:rPr>
            </w:pPr>
            <w:r w:rsidRPr="00000136">
              <w:rPr>
                <w:rFonts w:asciiTheme="majorHAnsi" w:hAnsiTheme="majorHAnsi" w:cstheme="majorHAnsi"/>
                <w:color w:val="000000"/>
                <w:sz w:val="16"/>
                <w:szCs w:val="16"/>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0AE4E755" w14:textId="77777777" w:rsidR="0079417C" w:rsidRPr="00000136" w:rsidRDefault="0079417C" w:rsidP="00000136">
            <w:pPr>
              <w:pStyle w:val="Normlnweb"/>
              <w:spacing w:after="0"/>
              <w:rPr>
                <w:rFonts w:asciiTheme="majorHAnsi" w:hAnsiTheme="majorHAnsi" w:cstheme="majorHAnsi"/>
                <w:sz w:val="16"/>
                <w:szCs w:val="16"/>
              </w:rPr>
            </w:pPr>
            <w:r w:rsidRPr="00000136">
              <w:rPr>
                <w:rFonts w:asciiTheme="majorHAnsi" w:hAnsiTheme="majorHAnsi" w:cstheme="majorHAnsi"/>
                <w:color w:val="000000"/>
                <w:sz w:val="16"/>
                <w:szCs w:val="16"/>
              </w:rPr>
              <w:t>2019</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0A8B645A" w14:textId="77777777" w:rsidR="0079417C" w:rsidRPr="00000136" w:rsidRDefault="0079417C" w:rsidP="00000136">
            <w:pPr>
              <w:pStyle w:val="Normlnweb"/>
              <w:spacing w:after="0"/>
              <w:rPr>
                <w:rFonts w:asciiTheme="majorHAnsi" w:hAnsiTheme="majorHAnsi" w:cstheme="majorHAnsi"/>
                <w:sz w:val="16"/>
                <w:szCs w:val="16"/>
              </w:rPr>
            </w:pPr>
            <w:r w:rsidRPr="00000136">
              <w:rPr>
                <w:rFonts w:asciiTheme="majorHAnsi" w:hAnsiTheme="majorHAnsi" w:cstheme="majorHAnsi"/>
                <w:color w:val="000000"/>
                <w:sz w:val="16"/>
                <w:szCs w:val="16"/>
              </w:rPr>
              <w:t>2020</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20957437" w14:textId="77777777" w:rsidR="0079417C" w:rsidRPr="00000136" w:rsidRDefault="0079417C" w:rsidP="00000136">
            <w:pPr>
              <w:pStyle w:val="Normlnweb"/>
              <w:spacing w:after="0"/>
              <w:rPr>
                <w:rFonts w:asciiTheme="majorHAnsi" w:hAnsiTheme="majorHAnsi" w:cstheme="majorHAnsi"/>
                <w:sz w:val="16"/>
                <w:szCs w:val="16"/>
              </w:rPr>
            </w:pPr>
            <w:r w:rsidRPr="00000136">
              <w:rPr>
                <w:rFonts w:asciiTheme="majorHAnsi" w:hAnsiTheme="majorHAnsi" w:cstheme="majorHAnsi"/>
                <w:color w:val="000000"/>
                <w:sz w:val="16"/>
                <w:szCs w:val="16"/>
              </w:rPr>
              <w:t>2021</w:t>
            </w:r>
          </w:p>
        </w:tc>
        <w:tc>
          <w:tcPr>
            <w:tcW w:w="84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20981934" w14:textId="77777777" w:rsidR="0079417C" w:rsidRPr="001E65A8" w:rsidRDefault="0079417C" w:rsidP="00000136">
            <w:pPr>
              <w:pStyle w:val="Normlnweb"/>
              <w:spacing w:after="0"/>
              <w:rPr>
                <w:rFonts w:asciiTheme="majorHAnsi" w:hAnsiTheme="majorHAnsi" w:cstheme="majorHAnsi"/>
                <w:sz w:val="16"/>
                <w:szCs w:val="16"/>
                <w:lang w:val="cs-CZ"/>
              </w:rPr>
            </w:pPr>
            <w:r w:rsidRPr="001E65A8">
              <w:rPr>
                <w:rFonts w:asciiTheme="majorHAnsi" w:hAnsiTheme="majorHAnsi" w:cstheme="majorHAnsi"/>
                <w:color w:val="000000"/>
                <w:sz w:val="16"/>
                <w:szCs w:val="16"/>
                <w:lang w:val="cs-CZ"/>
              </w:rPr>
              <w:t>2017 - odvětví</w:t>
            </w:r>
          </w:p>
        </w:tc>
        <w:tc>
          <w:tcPr>
            <w:tcW w:w="81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060BB4B7" w14:textId="64641249" w:rsidR="0079417C" w:rsidRPr="001E65A8" w:rsidRDefault="0079417C" w:rsidP="00000136">
            <w:pPr>
              <w:pStyle w:val="Normlnweb"/>
              <w:spacing w:after="0"/>
              <w:rPr>
                <w:rFonts w:asciiTheme="majorHAnsi" w:hAnsiTheme="majorHAnsi" w:cstheme="majorHAnsi"/>
                <w:sz w:val="16"/>
                <w:szCs w:val="16"/>
                <w:lang w:val="cs-CZ"/>
              </w:rPr>
            </w:pPr>
            <w:r w:rsidRPr="001E65A8">
              <w:rPr>
                <w:rFonts w:asciiTheme="majorHAnsi" w:hAnsiTheme="majorHAnsi" w:cstheme="majorHAnsi"/>
                <w:color w:val="000000"/>
                <w:sz w:val="16"/>
                <w:szCs w:val="16"/>
                <w:lang w:val="cs-CZ"/>
              </w:rPr>
              <w:t>2018 - odvětví</w:t>
            </w:r>
          </w:p>
        </w:tc>
        <w:tc>
          <w:tcPr>
            <w:tcW w:w="81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vAlign w:val="center"/>
            <w:hideMark/>
          </w:tcPr>
          <w:p w14:paraId="0A207546" w14:textId="77777777" w:rsidR="0079417C" w:rsidRPr="001E65A8" w:rsidRDefault="0079417C" w:rsidP="00000136">
            <w:pPr>
              <w:pStyle w:val="Normlnweb"/>
              <w:spacing w:after="0"/>
              <w:rPr>
                <w:rFonts w:asciiTheme="majorHAnsi" w:hAnsiTheme="majorHAnsi" w:cstheme="majorHAnsi"/>
                <w:sz w:val="16"/>
                <w:szCs w:val="16"/>
                <w:lang w:val="cs-CZ"/>
              </w:rPr>
            </w:pPr>
            <w:r w:rsidRPr="001E65A8">
              <w:rPr>
                <w:rFonts w:asciiTheme="majorHAnsi" w:hAnsiTheme="majorHAnsi" w:cstheme="majorHAnsi"/>
                <w:color w:val="000000"/>
                <w:sz w:val="16"/>
                <w:szCs w:val="16"/>
                <w:lang w:val="cs-CZ"/>
              </w:rPr>
              <w:t>2019 - odvětví</w:t>
            </w:r>
          </w:p>
        </w:tc>
      </w:tr>
      <w:tr w:rsidR="00000136" w14:paraId="0AB6EC78" w14:textId="77777777" w:rsidTr="00AA594A">
        <w:trPr>
          <w:trHeight w:val="283"/>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hideMark/>
          </w:tcPr>
          <w:p w14:paraId="19A9F6AB" w14:textId="77777777" w:rsidR="0079417C" w:rsidRPr="00000136" w:rsidRDefault="0079417C">
            <w:pPr>
              <w:pStyle w:val="Normlnweb"/>
              <w:spacing w:after="0"/>
              <w:rPr>
                <w:rFonts w:asciiTheme="majorHAnsi" w:hAnsiTheme="majorHAnsi" w:cstheme="majorHAnsi"/>
                <w:sz w:val="18"/>
                <w:szCs w:val="18"/>
              </w:rPr>
            </w:pPr>
            <w:r w:rsidRPr="00000136">
              <w:rPr>
                <w:rFonts w:asciiTheme="majorHAnsi" w:hAnsiTheme="majorHAnsi" w:cstheme="majorHAnsi"/>
                <w:color w:val="000000"/>
                <w:sz w:val="18"/>
                <w:szCs w:val="18"/>
              </w:rPr>
              <w:t>ROE</w:t>
            </w:r>
          </w:p>
        </w:tc>
        <w:tc>
          <w:tcPr>
            <w:tcW w:w="81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2868CFA5"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44,07%</w:t>
            </w:r>
          </w:p>
        </w:tc>
        <w:tc>
          <w:tcPr>
            <w:tcW w:w="822"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40" w:type="dxa"/>
              <w:left w:w="100" w:type="dxa"/>
              <w:bottom w:w="40" w:type="dxa"/>
              <w:right w:w="100" w:type="dxa"/>
            </w:tcMar>
            <w:hideMark/>
          </w:tcPr>
          <w:p w14:paraId="57F2B865"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10,42%</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1598D129"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15,05%</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229CDCE6"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22,56%</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76D33692"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30,63%</w:t>
            </w:r>
          </w:p>
        </w:tc>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1FE18922"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13,44%</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2A56AE33"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10,37%</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5A65B3FE"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14,93%</w:t>
            </w:r>
          </w:p>
        </w:tc>
      </w:tr>
      <w:tr w:rsidR="00000136" w14:paraId="2ADFFC48" w14:textId="77777777" w:rsidTr="00AA594A">
        <w:trPr>
          <w:trHeight w:val="283"/>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hideMark/>
          </w:tcPr>
          <w:p w14:paraId="269A7F3A" w14:textId="77777777" w:rsidR="0079417C" w:rsidRPr="00000136" w:rsidRDefault="0079417C">
            <w:pPr>
              <w:pStyle w:val="Normlnweb"/>
              <w:spacing w:after="0"/>
              <w:rPr>
                <w:rFonts w:asciiTheme="majorHAnsi" w:hAnsiTheme="majorHAnsi" w:cstheme="majorHAnsi"/>
                <w:sz w:val="18"/>
                <w:szCs w:val="18"/>
              </w:rPr>
            </w:pPr>
            <w:r w:rsidRPr="00000136">
              <w:rPr>
                <w:rFonts w:asciiTheme="majorHAnsi" w:hAnsiTheme="majorHAnsi" w:cstheme="majorHAnsi"/>
                <w:color w:val="000000"/>
                <w:sz w:val="18"/>
                <w:szCs w:val="18"/>
              </w:rPr>
              <w:t>ROA</w:t>
            </w:r>
          </w:p>
        </w:tc>
        <w:tc>
          <w:tcPr>
            <w:tcW w:w="81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100FA06D"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12,34%</w:t>
            </w:r>
          </w:p>
        </w:tc>
        <w:tc>
          <w:tcPr>
            <w:tcW w:w="822"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428A2C98"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4,99%</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49DDA97F"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8,84%</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57BC44A7"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13,43%</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6CA29A80"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18,22%</w:t>
            </w:r>
          </w:p>
        </w:tc>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350E068E"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10,84%</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761E3858"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6,88%</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0064821B"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10,72%</w:t>
            </w:r>
          </w:p>
        </w:tc>
      </w:tr>
      <w:tr w:rsidR="00000136" w14:paraId="2B7E7628" w14:textId="77777777" w:rsidTr="00AA594A">
        <w:trPr>
          <w:trHeight w:val="283"/>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hideMark/>
          </w:tcPr>
          <w:p w14:paraId="6DDE3204" w14:textId="77777777" w:rsidR="0079417C" w:rsidRPr="00000136" w:rsidRDefault="0079417C">
            <w:pPr>
              <w:pStyle w:val="Normlnweb"/>
              <w:spacing w:after="0"/>
              <w:rPr>
                <w:rFonts w:asciiTheme="majorHAnsi" w:hAnsiTheme="majorHAnsi" w:cstheme="majorHAnsi"/>
                <w:sz w:val="18"/>
                <w:szCs w:val="18"/>
              </w:rPr>
            </w:pPr>
            <w:r w:rsidRPr="00000136">
              <w:rPr>
                <w:rFonts w:asciiTheme="majorHAnsi" w:hAnsiTheme="majorHAnsi" w:cstheme="majorHAnsi"/>
                <w:color w:val="000000"/>
                <w:sz w:val="18"/>
                <w:szCs w:val="18"/>
              </w:rPr>
              <w:t>ROS</w:t>
            </w:r>
          </w:p>
        </w:tc>
        <w:tc>
          <w:tcPr>
            <w:tcW w:w="81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0031C635"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4,49%</w:t>
            </w:r>
          </w:p>
        </w:tc>
        <w:tc>
          <w:tcPr>
            <w:tcW w:w="822"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40" w:type="dxa"/>
              <w:left w:w="100" w:type="dxa"/>
              <w:bottom w:w="40" w:type="dxa"/>
              <w:right w:w="100" w:type="dxa"/>
            </w:tcMar>
            <w:hideMark/>
          </w:tcPr>
          <w:p w14:paraId="108D9162"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2,46%</w:t>
            </w:r>
          </w:p>
        </w:tc>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40" w:type="dxa"/>
              <w:left w:w="100" w:type="dxa"/>
              <w:bottom w:w="40" w:type="dxa"/>
              <w:right w:w="100" w:type="dxa"/>
            </w:tcMar>
            <w:hideMark/>
          </w:tcPr>
          <w:p w14:paraId="220F23F0"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3,73%</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39E26D09"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5,67%</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3E7DBCD3"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7,84%</w:t>
            </w:r>
          </w:p>
        </w:tc>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78C1BA39"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12,39%</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3B12192A"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7,71%</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405C2EDC"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12,00%</w:t>
            </w:r>
          </w:p>
        </w:tc>
      </w:tr>
      <w:tr w:rsidR="00000136" w14:paraId="530C5E73" w14:textId="77777777" w:rsidTr="00AA594A">
        <w:trPr>
          <w:trHeight w:val="283"/>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hideMark/>
          </w:tcPr>
          <w:p w14:paraId="2D8793E8" w14:textId="77777777" w:rsidR="0079417C" w:rsidRPr="00000136" w:rsidRDefault="0079417C">
            <w:pPr>
              <w:pStyle w:val="Normlnweb"/>
              <w:spacing w:after="0"/>
              <w:rPr>
                <w:rFonts w:asciiTheme="majorHAnsi" w:hAnsiTheme="majorHAnsi" w:cstheme="majorHAnsi"/>
                <w:sz w:val="18"/>
                <w:szCs w:val="18"/>
              </w:rPr>
            </w:pPr>
            <w:r w:rsidRPr="00000136">
              <w:rPr>
                <w:rFonts w:asciiTheme="majorHAnsi" w:hAnsiTheme="majorHAnsi" w:cstheme="majorHAnsi"/>
                <w:color w:val="000000"/>
                <w:sz w:val="18"/>
                <w:szCs w:val="18"/>
              </w:rPr>
              <w:t xml:space="preserve">Čisté ziskové </w:t>
            </w:r>
            <w:r w:rsidRPr="001E65A8">
              <w:rPr>
                <w:rFonts w:asciiTheme="majorHAnsi" w:hAnsiTheme="majorHAnsi" w:cstheme="majorHAnsi"/>
                <w:color w:val="000000"/>
                <w:sz w:val="18"/>
                <w:szCs w:val="18"/>
                <w:lang w:val="cs-CZ"/>
              </w:rPr>
              <w:t>rozpětí</w:t>
            </w:r>
          </w:p>
        </w:tc>
        <w:tc>
          <w:tcPr>
            <w:tcW w:w="81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4541E7AC"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3,10%</w:t>
            </w:r>
          </w:p>
        </w:tc>
        <w:tc>
          <w:tcPr>
            <w:tcW w:w="822"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0C619AC3"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1,73%</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177AE630"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2,70%</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60DD6D84"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4,25%</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29BF55FE"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6,05%</w:t>
            </w:r>
          </w:p>
        </w:tc>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2C52C079"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x</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7DAEBB91"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x</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335EB32C" w14:textId="77777777" w:rsidR="0079417C" w:rsidRPr="00AC38DD" w:rsidRDefault="0079417C" w:rsidP="00000136">
            <w:pPr>
              <w:pStyle w:val="Normlnweb"/>
              <w:spacing w:after="0"/>
              <w:jc w:val="right"/>
              <w:rPr>
                <w:rFonts w:asciiTheme="majorHAnsi" w:hAnsiTheme="majorHAnsi" w:cstheme="majorHAnsi"/>
                <w:b w:val="0"/>
                <w:bCs/>
                <w:sz w:val="18"/>
                <w:szCs w:val="18"/>
              </w:rPr>
            </w:pPr>
            <w:r w:rsidRPr="00AC38DD">
              <w:rPr>
                <w:rFonts w:asciiTheme="majorHAnsi" w:hAnsiTheme="majorHAnsi" w:cstheme="majorHAnsi"/>
                <w:b w:val="0"/>
                <w:bCs/>
                <w:color w:val="000000"/>
                <w:sz w:val="18"/>
                <w:szCs w:val="18"/>
              </w:rPr>
              <w:t>x</w:t>
            </w:r>
          </w:p>
        </w:tc>
      </w:tr>
      <w:tr w:rsidR="00000136" w14:paraId="6F1ED738" w14:textId="77777777" w:rsidTr="00AA594A">
        <w:trPr>
          <w:trHeight w:val="283"/>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40" w:type="dxa"/>
              <w:left w:w="100" w:type="dxa"/>
              <w:bottom w:w="40" w:type="dxa"/>
              <w:right w:w="100" w:type="dxa"/>
            </w:tcMar>
            <w:hideMark/>
          </w:tcPr>
          <w:p w14:paraId="1C9035D9" w14:textId="77777777" w:rsidR="0079417C" w:rsidRPr="00000136" w:rsidRDefault="0079417C">
            <w:pPr>
              <w:pStyle w:val="Normlnweb"/>
              <w:spacing w:after="0"/>
              <w:rPr>
                <w:sz w:val="18"/>
                <w:szCs w:val="18"/>
              </w:rPr>
            </w:pPr>
            <w:r w:rsidRPr="00000136">
              <w:rPr>
                <w:rFonts w:ascii="Arial" w:hAnsi="Arial" w:cs="Arial"/>
                <w:color w:val="000000"/>
                <w:sz w:val="18"/>
                <w:szCs w:val="18"/>
              </w:rPr>
              <w:t>ROCE</w:t>
            </w:r>
          </w:p>
        </w:tc>
        <w:tc>
          <w:tcPr>
            <w:tcW w:w="811"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636E9807"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46,69%</w:t>
            </w:r>
          </w:p>
        </w:tc>
        <w:tc>
          <w:tcPr>
            <w:tcW w:w="822" w:type="dxa"/>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24CB2859"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20,98%</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20D7B613"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30,55%</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0E70C548"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29,87%</w:t>
            </w:r>
          </w:p>
        </w:tc>
        <w:tc>
          <w:tcPr>
            <w:tcW w:w="0" w:type="auto"/>
            <w:tcBorders>
              <w:top w:val="single" w:sz="8" w:space="0" w:color="000000"/>
              <w:left w:val="single" w:sz="8" w:space="0" w:color="000000"/>
              <w:bottom w:val="single" w:sz="8" w:space="0" w:color="000000"/>
              <w:right w:val="single" w:sz="8" w:space="0" w:color="000000"/>
            </w:tcBorders>
            <w:tcMar>
              <w:top w:w="40" w:type="dxa"/>
              <w:left w:w="100" w:type="dxa"/>
              <w:bottom w:w="40" w:type="dxa"/>
              <w:right w:w="100" w:type="dxa"/>
            </w:tcMar>
            <w:hideMark/>
          </w:tcPr>
          <w:p w14:paraId="174D0E7C"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41,87%</w:t>
            </w:r>
          </w:p>
        </w:tc>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02316EC9"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x</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3D73D04A"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x</w:t>
            </w:r>
          </w:p>
        </w:tc>
        <w:tc>
          <w:tcPr>
            <w:tcW w:w="81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40" w:type="dxa"/>
              <w:left w:w="100" w:type="dxa"/>
              <w:bottom w:w="40" w:type="dxa"/>
              <w:right w:w="100" w:type="dxa"/>
            </w:tcMar>
            <w:hideMark/>
          </w:tcPr>
          <w:p w14:paraId="1F0A745D" w14:textId="77777777" w:rsidR="0079417C" w:rsidRPr="00AC38DD" w:rsidRDefault="0079417C" w:rsidP="00000136">
            <w:pPr>
              <w:pStyle w:val="Normlnweb"/>
              <w:spacing w:after="0"/>
              <w:jc w:val="right"/>
              <w:rPr>
                <w:b w:val="0"/>
                <w:bCs/>
                <w:sz w:val="18"/>
                <w:szCs w:val="18"/>
              </w:rPr>
            </w:pPr>
            <w:r w:rsidRPr="00AC38DD">
              <w:rPr>
                <w:rFonts w:ascii="Arial" w:hAnsi="Arial" w:cs="Arial"/>
                <w:b w:val="0"/>
                <w:bCs/>
                <w:color w:val="000000"/>
                <w:sz w:val="18"/>
                <w:szCs w:val="18"/>
              </w:rPr>
              <w:t>x</w:t>
            </w:r>
          </w:p>
        </w:tc>
      </w:tr>
    </w:tbl>
    <w:p w14:paraId="0C31C4A7" w14:textId="699BA5B9" w:rsidR="00761FEC" w:rsidRPr="00085F1A" w:rsidRDefault="00761FEC" w:rsidP="00761FEC">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7E9A8CE1" w14:textId="4E327ACA" w:rsidR="0079417C" w:rsidRDefault="0079417C" w:rsidP="00583C4A">
      <w:pPr>
        <w:pStyle w:val="Odstavec1"/>
        <w:ind w:firstLine="709"/>
      </w:pPr>
      <w:r>
        <w:rPr>
          <w:b/>
          <w:bCs/>
        </w:rPr>
        <w:t>Ukazatel rentability vlastního kapitálu (ROE)</w:t>
      </w:r>
      <w:r>
        <w:t xml:space="preserve"> měl v podniku vcelku dynamický průběh s </w:t>
      </w:r>
      <w:r w:rsidR="00000136">
        <w:t>velkým</w:t>
      </w:r>
      <w:r>
        <w:t xml:space="preserve"> poklesem roku 2018 a </w:t>
      </w:r>
      <w:r w:rsidR="00000136">
        <w:t>následující</w:t>
      </w:r>
      <w:r>
        <w:t xml:space="preserve"> roky se neustále zvyšoval až na 30,63 % roku 2021. Hodnota tohoto ukazatele je v podniku vysoká, </w:t>
      </w:r>
      <w:r w:rsidR="00000136">
        <w:t>zejména</w:t>
      </w:r>
      <w:r>
        <w:t xml:space="preserve"> v porovnání s průměrnými hodnotami z odvětví podniku, které se v </w:t>
      </w:r>
      <w:r w:rsidR="00000136">
        <w:t>daných</w:t>
      </w:r>
      <w:r>
        <w:t xml:space="preserve"> letech vyšplhaly nejvýše k téměř 15 %. Takto vysoký ukazatel je ovšem dobrý pro majitele firmy, </w:t>
      </w:r>
      <w:r>
        <w:lastRenderedPageBreak/>
        <w:t xml:space="preserve">kde lze vidět </w:t>
      </w:r>
      <w:r>
        <w:rPr>
          <w:b/>
          <w:bCs/>
        </w:rPr>
        <w:t>vysokou návratnost vlastního kapitálu.</w:t>
      </w:r>
      <w:r>
        <w:t xml:space="preserve"> Ovšem hodnota 44 % roku 2017 se dá vysvětlit nízkou hod</w:t>
      </w:r>
      <w:r w:rsidR="00794E9F">
        <w:t>n</w:t>
      </w:r>
      <w:r>
        <w:t>otu vlastního kapitálu, která byla na úrovni přibližně 20 % celkových pasiv a docházelo tedy primárně k financování podniku z cizích zdrojů. </w:t>
      </w:r>
    </w:p>
    <w:p w14:paraId="0A1B9D4F" w14:textId="19ECBB30" w:rsidR="0079417C" w:rsidRDefault="0079417C" w:rsidP="00761FEC">
      <w:pPr>
        <w:pStyle w:val="Odstavec1"/>
        <w:ind w:firstLine="709"/>
      </w:pPr>
      <w:r>
        <w:rPr>
          <w:b/>
          <w:bCs/>
        </w:rPr>
        <w:t>Hodnoty ROA (rentabilita aktiv)</w:t>
      </w:r>
      <w:r>
        <w:t xml:space="preserve"> se narozdíl od ukazatele ROE pohybují velmi blízko průměrných hodnot za odvětví s 1-2% rozdílem. Od roku 2018, který byl pro podnik celkově problémový tento </w:t>
      </w:r>
      <w:r>
        <w:rPr>
          <w:b/>
          <w:bCs/>
        </w:rPr>
        <w:t>ukazatel roste poměrně rychle</w:t>
      </w:r>
      <w:r>
        <w:t>, což je pro podnik dobré znamení, jelikož se zvyšuje výnosnost investovaných prostředků. </w:t>
      </w:r>
    </w:p>
    <w:p w14:paraId="606EA60E" w14:textId="36C6275A" w:rsidR="0079417C" w:rsidRDefault="0079417C" w:rsidP="00761FEC">
      <w:pPr>
        <w:pStyle w:val="Odstavec1"/>
        <w:ind w:firstLine="709"/>
      </w:pPr>
      <w:r>
        <w:rPr>
          <w:b/>
          <w:bCs/>
        </w:rPr>
        <w:t>Ukazatel rentability tržeb (ROS)</w:t>
      </w:r>
      <w:r>
        <w:t xml:space="preserve"> se narozdíl od předchozích pohybuje poměrně v nižších hodnotách v porovnání s odvětvovými průměry. Tyto hodnoty naznačují </w:t>
      </w:r>
      <w:r>
        <w:rPr>
          <w:b/>
          <w:bCs/>
        </w:rPr>
        <w:t xml:space="preserve">nízkou výnosnost tržeb a mohou </w:t>
      </w:r>
      <w:r w:rsidR="00761FEC">
        <w:rPr>
          <w:b/>
          <w:bCs/>
        </w:rPr>
        <w:t>naznačovat</w:t>
      </w:r>
      <w:r>
        <w:rPr>
          <w:b/>
          <w:bCs/>
        </w:rPr>
        <w:t xml:space="preserve"> vysoké </w:t>
      </w:r>
      <w:r w:rsidR="00761FEC">
        <w:rPr>
          <w:b/>
          <w:bCs/>
        </w:rPr>
        <w:t>náklady</w:t>
      </w:r>
      <w:r>
        <w:rPr>
          <w:b/>
          <w:bCs/>
        </w:rPr>
        <w:t xml:space="preserve"> podniku.</w:t>
      </w:r>
      <w:r>
        <w:t xml:space="preserve"> Při vertikální analýze VZZ jsme zjistili, že v průběhu let docházelo k postupnému snižování poměru provozních nákladů na výnosech, což se projevilo i v rostoucím trendu ukazatele ROS. Ovšem zřejmě v porovnání s odvětvím jsou podnikové náklady stále vyšší, jelikož ani roku 2021 se hodnoty nevyšplhaly na výši odvětvových průměrů (s </w:t>
      </w:r>
      <w:r w:rsidR="00761FEC">
        <w:t>výjimkou</w:t>
      </w:r>
      <w:r>
        <w:t xml:space="preserve"> roku 2018, kdy byl ovšem pokles ve </w:t>
      </w:r>
      <w:r w:rsidR="00761FEC">
        <w:t>všech</w:t>
      </w:r>
      <w:r>
        <w:t xml:space="preserve"> uvedených </w:t>
      </w:r>
      <w:r w:rsidR="00761FEC">
        <w:t>ukazatelích</w:t>
      </w:r>
      <w:r>
        <w:t>). </w:t>
      </w:r>
    </w:p>
    <w:p w14:paraId="56B8A629" w14:textId="0EE36E33" w:rsidR="00583C4A" w:rsidRDefault="0079417C" w:rsidP="00583C4A">
      <w:pPr>
        <w:pStyle w:val="Odstavec1"/>
      </w:pPr>
      <w:r>
        <w:t xml:space="preserve">Ukazatel čistého ziskového rozpětí, který ukazuje podíl zisku na výnosech v podniku neustále roste, což je v </w:t>
      </w:r>
      <w:r w:rsidR="00761FEC">
        <w:t>souladu,</w:t>
      </w:r>
      <w:r>
        <w:t xml:space="preserve"> s již zmiňovaným snižováním </w:t>
      </w:r>
      <w:r w:rsidR="00761FEC">
        <w:t>nákladů</w:t>
      </w:r>
      <w:r>
        <w:t xml:space="preserve"> podniku. </w:t>
      </w:r>
      <w:r>
        <w:rPr>
          <w:b/>
          <w:bCs/>
        </w:rPr>
        <w:t>Ukazatel ROCE (Rentabilita dlouhodobě investovaného kapitálu)</w:t>
      </w:r>
      <w:r>
        <w:t xml:space="preserve"> se v podniku </w:t>
      </w:r>
      <w:r w:rsidR="00761FEC">
        <w:t>pohybuje</w:t>
      </w:r>
      <w:r>
        <w:t xml:space="preserve"> vysoko, což je dobrá situace pro investory a věřitele podniku.</w:t>
      </w:r>
      <w:r w:rsidR="00583C4A">
        <w:t xml:space="preserve"> Vývoj těchto ukazatelů lze vidět na grafu č. 5. </w:t>
      </w:r>
    </w:p>
    <w:p w14:paraId="07D72ACB" w14:textId="69226207" w:rsidR="00583C4A" w:rsidRPr="00583C4A" w:rsidRDefault="00583C4A" w:rsidP="00583C4A">
      <w:pPr>
        <w:pStyle w:val="Titulekgraf"/>
      </w:pPr>
      <w:bookmarkStart w:id="49" w:name="_Toc133180315"/>
      <w:r>
        <w:t>Graf č. 5: Vývoj ukazatelů rentability</w:t>
      </w:r>
      <w:bookmarkEnd w:id="49"/>
    </w:p>
    <w:p w14:paraId="4D8B4000" w14:textId="39A40C24" w:rsidR="00583C4A" w:rsidRPr="00583C4A" w:rsidRDefault="00583C4A" w:rsidP="00583C4A">
      <w:pPr>
        <w:pStyle w:val="Dalodstavce"/>
      </w:pPr>
      <w:r>
        <w:rPr>
          <w:rFonts w:ascii="Arial" w:hAnsi="Arial" w:cs="Arial"/>
          <w:noProof/>
          <w:color w:val="000000"/>
          <w:sz w:val="22"/>
          <w:szCs w:val="22"/>
          <w:bdr w:val="none" w:sz="0" w:space="0" w:color="auto" w:frame="1"/>
        </w:rPr>
        <w:drawing>
          <wp:inline distT="0" distB="0" distL="0" distR="0" wp14:anchorId="65728D6E" wp14:editId="7F1ACB29">
            <wp:extent cx="4323528" cy="2066925"/>
            <wp:effectExtent l="0" t="0" r="1270" b="0"/>
            <wp:docPr id="24" name="Obrázek 24"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abulka&#10;&#10;Popis byl vytvořen automatick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7698" cy="2073699"/>
                    </a:xfrm>
                    <a:prstGeom prst="rect">
                      <a:avLst/>
                    </a:prstGeom>
                    <a:noFill/>
                    <a:ln>
                      <a:noFill/>
                    </a:ln>
                  </pic:spPr>
                </pic:pic>
              </a:graphicData>
            </a:graphic>
          </wp:inline>
        </w:drawing>
      </w:r>
    </w:p>
    <w:p w14:paraId="06E3190E" w14:textId="77777777" w:rsidR="00583C4A" w:rsidRPr="00085F1A" w:rsidRDefault="00583C4A" w:rsidP="00583C4A">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44873694" w14:textId="77777777" w:rsidR="0079417C" w:rsidRDefault="0079417C" w:rsidP="003162DE">
      <w:pPr>
        <w:pStyle w:val="Nadpis2"/>
        <w:numPr>
          <w:ilvl w:val="1"/>
          <w:numId w:val="18"/>
        </w:numPr>
      </w:pPr>
      <w:bookmarkStart w:id="50" w:name="_Toc132567259"/>
      <w:r>
        <w:lastRenderedPageBreak/>
        <w:t>Ukazatele zadluženosti</w:t>
      </w:r>
      <w:bookmarkEnd w:id="50"/>
      <w:r>
        <w:t> </w:t>
      </w:r>
    </w:p>
    <w:p w14:paraId="120F1E17" w14:textId="3AE7884D" w:rsidR="0079417C" w:rsidRDefault="0079417C" w:rsidP="00583C4A">
      <w:pPr>
        <w:pStyle w:val="Odstavec1"/>
      </w:pPr>
      <w:r>
        <w:t xml:space="preserve">Do tabulky č. </w:t>
      </w:r>
      <w:r w:rsidR="00583C4A">
        <w:t xml:space="preserve">11 </w:t>
      </w:r>
      <w:r>
        <w:t>jsme zahrnul</w:t>
      </w:r>
      <w:r w:rsidR="00583C4A">
        <w:t>y</w:t>
      </w:r>
      <w:r>
        <w:t xml:space="preserve"> ukazatele zadluženosti, jejichž hodnoty považujeme za důležité. </w:t>
      </w:r>
    </w:p>
    <w:p w14:paraId="115B5BB9" w14:textId="5BA4A4FA" w:rsidR="0079417C" w:rsidRDefault="0079417C" w:rsidP="00302669">
      <w:pPr>
        <w:pStyle w:val="Titulektabulky"/>
      </w:pPr>
      <w:bookmarkStart w:id="51" w:name="_Toc133180297"/>
      <w:r>
        <w:t>Tabulka č.</w:t>
      </w:r>
      <w:r w:rsidR="00302669">
        <w:t xml:space="preserve"> 11: Analýza ukazatelů zadluženosti</w:t>
      </w:r>
      <w:bookmarkEnd w:id="51"/>
    </w:p>
    <w:tbl>
      <w:tblPr>
        <w:tblW w:w="0" w:type="auto"/>
        <w:tblCellMar>
          <w:top w:w="15" w:type="dxa"/>
          <w:left w:w="15" w:type="dxa"/>
          <w:bottom w:w="15" w:type="dxa"/>
          <w:right w:w="15" w:type="dxa"/>
        </w:tblCellMar>
        <w:tblLook w:val="04A0" w:firstRow="1" w:lastRow="0" w:firstColumn="1" w:lastColumn="0" w:noHBand="0" w:noVBand="1"/>
      </w:tblPr>
      <w:tblGrid>
        <w:gridCol w:w="2330"/>
        <w:gridCol w:w="961"/>
        <w:gridCol w:w="961"/>
        <w:gridCol w:w="961"/>
        <w:gridCol w:w="961"/>
        <w:gridCol w:w="961"/>
      </w:tblGrid>
      <w:tr w:rsidR="00AA594A" w:rsidRPr="00AA594A" w14:paraId="75A355C7"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78DA80C6"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Podnik</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718B3173"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3F4FCFF"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689A6B9F"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2019</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71F9A51"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2020</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626FC9F3"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2021</w:t>
            </w:r>
          </w:p>
        </w:tc>
      </w:tr>
      <w:tr w:rsidR="0079417C" w:rsidRPr="00AA594A" w14:paraId="16A4D9C8"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161E9FB8"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Zadluženost VK</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2FE20307" w14:textId="263FF18A"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402,42</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0C9AEB54" w14:textId="6D16E80C"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192,21</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E42A971" w14:textId="1E4198FB"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128,02</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6B292B" w14:textId="6B1631A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118,93</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173DA7" w14:textId="75F31148"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111,91</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r>
      <w:tr w:rsidR="0079417C" w:rsidRPr="00AA594A" w14:paraId="67D320CC"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4D438448"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Zadluženost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32368F40" w14:textId="42FB7C12"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79,62</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224A63" w14:textId="7F447B55"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65,67</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88CA463" w14:textId="144D1CAF"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55,30</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8B3D83" w14:textId="4B5D69B4"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54,30</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16C39260" w14:textId="77112959"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52,79</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r>
      <w:tr w:rsidR="0079417C" w:rsidRPr="00AA594A" w14:paraId="5E9BA853"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299E2D98"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Dlouhodobá zadluženost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3447E0E2" w14:textId="16666AD2"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30,70</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8B0E93" w14:textId="5C0DDA3E"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24,83</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25BAFA64" w14:textId="687DD241"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18,44</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12491C4" w14:textId="5555E0CC"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21,42</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42F8D1F6" w14:textId="3DFE42C5"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13,43</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r>
      <w:tr w:rsidR="0079417C" w:rsidRPr="00AA594A" w14:paraId="5C3F3E87"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14956FD1"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Běžná zadluženost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3EF5B79" w14:textId="556BBA39"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48,91</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9513C9" w14:textId="624A0BAB"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40,84</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224F644" w14:textId="6B51AD3A"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36,86</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0845EC" w14:textId="3B12DD78"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32,88</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6F69EB" w14:textId="2B60F7EE"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36,36</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r>
      <w:tr w:rsidR="00AA594A" w:rsidRPr="00AA594A" w14:paraId="32423353"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14E98F0"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Odvětví </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3F4DE523" w14:textId="4844F4F8" w:rsidR="0079417C" w:rsidRPr="00AA594A" w:rsidRDefault="0079417C">
            <w:pPr>
              <w:pStyle w:val="Normlnweb"/>
              <w:spacing w:after="0"/>
              <w:rPr>
                <w:rFonts w:asciiTheme="majorHAnsi" w:hAnsiTheme="majorHAnsi" w:cstheme="majorHAnsi"/>
                <w:color w:val="000000" w:themeColor="text1"/>
                <w:sz w:val="18"/>
                <w:szCs w:val="18"/>
                <w:lang w:val="cs-CZ"/>
              </w:rPr>
            </w:pPr>
            <w:r w:rsidRPr="00AA594A">
              <w:rPr>
                <w:rFonts w:asciiTheme="majorHAnsi" w:hAnsiTheme="majorHAnsi" w:cstheme="majorHAnsi"/>
                <w:color w:val="000000" w:themeColor="text1"/>
                <w:sz w:val="18"/>
                <w:szCs w:val="18"/>
                <w:lang w:val="cs-CZ"/>
              </w:rPr>
              <w:t>2017</w:t>
            </w:r>
            <w:r w:rsidR="00AA594A" w:rsidRPr="00AA594A">
              <w:rPr>
                <w:rFonts w:asciiTheme="majorHAnsi" w:hAnsiTheme="majorHAnsi" w:cstheme="majorHAnsi"/>
                <w:color w:val="000000" w:themeColor="text1"/>
                <w:sz w:val="18"/>
                <w:szCs w:val="18"/>
                <w:lang w:val="cs-CZ"/>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2A5C412A" w14:textId="7B5F4EEE" w:rsidR="0079417C" w:rsidRPr="00AA594A" w:rsidRDefault="0079417C">
            <w:pPr>
              <w:pStyle w:val="Normlnweb"/>
              <w:spacing w:after="0"/>
              <w:rPr>
                <w:rFonts w:asciiTheme="majorHAnsi" w:hAnsiTheme="majorHAnsi" w:cstheme="majorHAnsi"/>
                <w:color w:val="000000" w:themeColor="text1"/>
                <w:sz w:val="18"/>
                <w:szCs w:val="18"/>
                <w:lang w:val="cs-CZ"/>
              </w:rPr>
            </w:pPr>
            <w:r w:rsidRPr="00AA594A">
              <w:rPr>
                <w:rFonts w:asciiTheme="majorHAnsi" w:hAnsiTheme="majorHAnsi" w:cstheme="majorHAnsi"/>
                <w:color w:val="000000" w:themeColor="text1"/>
                <w:sz w:val="18"/>
                <w:szCs w:val="18"/>
                <w:lang w:val="cs-CZ"/>
              </w:rPr>
              <w:t>2018</w:t>
            </w:r>
            <w:r w:rsidR="00AA594A" w:rsidRPr="00AA594A">
              <w:rPr>
                <w:rFonts w:asciiTheme="majorHAnsi" w:hAnsiTheme="majorHAnsi" w:cstheme="majorHAnsi"/>
                <w:color w:val="000000" w:themeColor="text1"/>
                <w:sz w:val="18"/>
                <w:szCs w:val="18"/>
                <w:lang w:val="cs-CZ"/>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303CB835" w14:textId="77777777" w:rsidR="0079417C" w:rsidRPr="00AA594A" w:rsidRDefault="0079417C">
            <w:pPr>
              <w:pStyle w:val="Normlnweb"/>
              <w:spacing w:after="0"/>
              <w:rPr>
                <w:rFonts w:asciiTheme="majorHAnsi" w:hAnsiTheme="majorHAnsi" w:cstheme="majorHAnsi"/>
                <w:color w:val="000000" w:themeColor="text1"/>
                <w:sz w:val="18"/>
                <w:szCs w:val="18"/>
                <w:lang w:val="cs-CZ"/>
              </w:rPr>
            </w:pPr>
            <w:r w:rsidRPr="00AA594A">
              <w:rPr>
                <w:rFonts w:asciiTheme="majorHAnsi" w:hAnsiTheme="majorHAnsi" w:cstheme="majorHAnsi"/>
                <w:color w:val="000000" w:themeColor="text1"/>
                <w:sz w:val="18"/>
                <w:szCs w:val="18"/>
                <w:lang w:val="cs-CZ"/>
              </w:rPr>
              <w:t>2019</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24739BD4" w14:textId="77777777" w:rsidR="0079417C" w:rsidRPr="00AA594A" w:rsidRDefault="0079417C">
            <w:pPr>
              <w:pStyle w:val="Normlnweb"/>
              <w:spacing w:after="0"/>
              <w:rPr>
                <w:rFonts w:asciiTheme="majorHAnsi" w:hAnsiTheme="majorHAnsi" w:cstheme="majorHAnsi"/>
                <w:color w:val="000000" w:themeColor="text1"/>
                <w:sz w:val="18"/>
                <w:szCs w:val="18"/>
                <w:lang w:val="cs-CZ"/>
              </w:rPr>
            </w:pPr>
            <w:r w:rsidRPr="00AA594A">
              <w:rPr>
                <w:rFonts w:asciiTheme="majorHAnsi" w:hAnsiTheme="majorHAnsi" w:cstheme="majorHAnsi"/>
                <w:color w:val="000000" w:themeColor="text1"/>
                <w:sz w:val="18"/>
                <w:szCs w:val="18"/>
                <w:lang w:val="cs-CZ"/>
              </w:rPr>
              <w:t>2020</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22DCDF0" w14:textId="77777777" w:rsidR="0079417C" w:rsidRPr="00AA594A" w:rsidRDefault="0079417C">
            <w:pPr>
              <w:pStyle w:val="Normlnweb"/>
              <w:spacing w:after="0"/>
              <w:rPr>
                <w:rFonts w:asciiTheme="majorHAnsi" w:hAnsiTheme="majorHAnsi" w:cstheme="majorHAnsi"/>
                <w:color w:val="000000" w:themeColor="text1"/>
                <w:sz w:val="18"/>
                <w:szCs w:val="18"/>
                <w:lang w:val="cs-CZ"/>
              </w:rPr>
            </w:pPr>
            <w:r w:rsidRPr="00AA594A">
              <w:rPr>
                <w:rFonts w:asciiTheme="majorHAnsi" w:hAnsiTheme="majorHAnsi" w:cstheme="majorHAnsi"/>
                <w:color w:val="000000" w:themeColor="text1"/>
                <w:sz w:val="18"/>
                <w:szCs w:val="18"/>
                <w:lang w:val="cs-CZ"/>
              </w:rPr>
              <w:t>2021</w:t>
            </w:r>
          </w:p>
        </w:tc>
      </w:tr>
      <w:tr w:rsidR="0079417C" w:rsidRPr="00AA594A" w14:paraId="0BCCF9A3"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40" w:type="dxa"/>
              <w:left w:w="100" w:type="dxa"/>
              <w:bottom w:w="40" w:type="dxa"/>
              <w:right w:w="100" w:type="dxa"/>
            </w:tcMar>
            <w:hideMark/>
          </w:tcPr>
          <w:p w14:paraId="30B7C767" w14:textId="58809909"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Zad</w:t>
            </w:r>
            <w:r w:rsidR="00AA594A">
              <w:rPr>
                <w:rFonts w:asciiTheme="majorHAnsi" w:hAnsiTheme="majorHAnsi" w:cstheme="majorHAnsi"/>
                <w:color w:val="000000"/>
                <w:sz w:val="18"/>
                <w:szCs w:val="18"/>
                <w:lang w:val="cs-CZ"/>
              </w:rPr>
              <w:t>lu</w:t>
            </w:r>
            <w:r w:rsidRPr="00AA594A">
              <w:rPr>
                <w:rFonts w:asciiTheme="majorHAnsi" w:hAnsiTheme="majorHAnsi" w:cstheme="majorHAnsi"/>
                <w:color w:val="000000"/>
                <w:sz w:val="18"/>
                <w:szCs w:val="18"/>
                <w:lang w:val="cs-CZ"/>
              </w:rPr>
              <w:t>ženost VK</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15699981" w14:textId="7EEB9AB4"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56,07</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0F32B099" w14:textId="7DC30EEB"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97,57</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26ADA30B" w14:textId="7F685E3E"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86,13</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549F15"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67CA69" w14:textId="1FA9691A" w:rsidR="0079417C" w:rsidRPr="00AA594A" w:rsidRDefault="00AA594A">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r>
      <w:tr w:rsidR="0079417C" w:rsidRPr="00AA594A" w14:paraId="5FA02562"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51918D5F"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Zadluženost</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57E96754" w14:textId="1827B83E"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35,75</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302DD7FC" w14:textId="2BAA3B3C"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49,15</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69C3A98C" w14:textId="4E03A973"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46,12</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4C593F"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088342"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r>
      <w:tr w:rsidR="0079417C" w:rsidRPr="00AA594A" w14:paraId="7AC2B598"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40" w:type="dxa"/>
              <w:left w:w="100" w:type="dxa"/>
              <w:bottom w:w="40" w:type="dxa"/>
              <w:right w:w="100" w:type="dxa"/>
            </w:tcMar>
            <w:hideMark/>
          </w:tcPr>
          <w:p w14:paraId="1DC71977"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Dlouhodobá zadluženost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289D2E" w14:textId="602A8C9B"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12,73</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22DB56" w14:textId="5EECC4C3"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25,94</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40" w:type="dxa"/>
              <w:left w:w="100" w:type="dxa"/>
              <w:bottom w:w="40" w:type="dxa"/>
              <w:right w:w="100" w:type="dxa"/>
            </w:tcMar>
            <w:hideMark/>
          </w:tcPr>
          <w:p w14:paraId="6B451BD3" w14:textId="0461B47D"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24,34</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496697"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BF17FDA"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r>
      <w:tr w:rsidR="0079417C" w:rsidRPr="00AA594A" w14:paraId="5456E389" w14:textId="77777777" w:rsidTr="00AA594A">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40" w:type="dxa"/>
              <w:left w:w="100" w:type="dxa"/>
              <w:bottom w:w="40" w:type="dxa"/>
              <w:right w:w="100" w:type="dxa"/>
            </w:tcMar>
            <w:hideMark/>
          </w:tcPr>
          <w:p w14:paraId="1ABD7B89" w14:textId="77777777" w:rsidR="0079417C" w:rsidRPr="00AA594A" w:rsidRDefault="0079417C">
            <w:pPr>
              <w:pStyle w:val="Normlnweb"/>
              <w:spacing w:after="0"/>
              <w:rPr>
                <w:rFonts w:asciiTheme="majorHAnsi" w:hAnsiTheme="majorHAnsi" w:cstheme="majorHAnsi"/>
                <w:sz w:val="18"/>
                <w:szCs w:val="18"/>
                <w:lang w:val="cs-CZ"/>
              </w:rPr>
            </w:pPr>
            <w:r w:rsidRPr="00AA594A">
              <w:rPr>
                <w:rFonts w:asciiTheme="majorHAnsi" w:hAnsiTheme="majorHAnsi" w:cstheme="majorHAnsi"/>
                <w:color w:val="000000"/>
                <w:sz w:val="18"/>
                <w:szCs w:val="18"/>
                <w:lang w:val="cs-CZ"/>
              </w:rPr>
              <w:t>Běžná zadluženost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38FF39" w14:textId="1550A24C"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21,74</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A4205A" w14:textId="24ACC690"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21,70</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79CCE0" w14:textId="150F77A9"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20,48</w:t>
            </w:r>
            <w:r w:rsidR="00AA594A" w:rsidRPr="00AA594A">
              <w:rPr>
                <w:rFonts w:asciiTheme="majorHAnsi" w:hAnsiTheme="majorHAnsi" w:cstheme="majorHAnsi"/>
                <w:b w:val="0"/>
                <w:bCs/>
                <w:color w:val="000000" w:themeColor="text1"/>
                <w:sz w:val="18"/>
                <w:szCs w:val="18"/>
                <w:lang w:val="cs-CZ"/>
              </w:rPr>
              <w:t xml:space="preserve"> </w:t>
            </w:r>
            <w:r w:rsidRPr="00AA594A">
              <w:rPr>
                <w:rFonts w:asciiTheme="majorHAnsi" w:hAnsiTheme="majorHAnsi" w:cstheme="majorHAnsi"/>
                <w:b w:val="0"/>
                <w:bCs/>
                <w:color w:val="000000" w:themeColor="text1"/>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100" w:type="dxa"/>
              <w:bottom w:w="40" w:type="dxa"/>
              <w:right w:w="100" w:type="dxa"/>
            </w:tcMar>
            <w:hideMark/>
          </w:tcPr>
          <w:p w14:paraId="29B57F59"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2E3483C" w14:textId="77777777" w:rsidR="0079417C" w:rsidRPr="00AA594A" w:rsidRDefault="0079417C">
            <w:pPr>
              <w:pStyle w:val="Normlnweb"/>
              <w:spacing w:after="0"/>
              <w:rPr>
                <w:rFonts w:asciiTheme="majorHAnsi" w:hAnsiTheme="majorHAnsi" w:cstheme="majorHAnsi"/>
                <w:b w:val="0"/>
                <w:bCs/>
                <w:color w:val="000000" w:themeColor="text1"/>
                <w:sz w:val="18"/>
                <w:szCs w:val="18"/>
                <w:lang w:val="cs-CZ"/>
              </w:rPr>
            </w:pPr>
            <w:r w:rsidRPr="00AA594A">
              <w:rPr>
                <w:rFonts w:asciiTheme="majorHAnsi" w:hAnsiTheme="majorHAnsi" w:cstheme="majorHAnsi"/>
                <w:b w:val="0"/>
                <w:bCs/>
                <w:color w:val="000000" w:themeColor="text1"/>
                <w:sz w:val="18"/>
                <w:szCs w:val="18"/>
                <w:lang w:val="cs-CZ"/>
              </w:rPr>
              <w:t>x</w:t>
            </w:r>
          </w:p>
        </w:tc>
      </w:tr>
    </w:tbl>
    <w:p w14:paraId="29567DDB" w14:textId="155D3CFC" w:rsidR="0079417C" w:rsidRPr="00AA594A" w:rsidRDefault="00AA594A" w:rsidP="00AA594A">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762715BE" w14:textId="024C92C3" w:rsidR="0079417C" w:rsidRPr="00AA594A" w:rsidRDefault="0079417C" w:rsidP="00AA594A">
      <w:pPr>
        <w:pStyle w:val="Odstavec1"/>
      </w:pPr>
      <w:r w:rsidRPr="00AA594A">
        <w:rPr>
          <w:b/>
          <w:bCs/>
        </w:rPr>
        <w:t>Ukazatele zadluženosti VK</w:t>
      </w:r>
      <w:r w:rsidRPr="00AA594A">
        <w:t xml:space="preserve"> podniku dosahují roku 2017 výrazně </w:t>
      </w:r>
      <w:r w:rsidR="00AA594A" w:rsidRPr="00AA594A">
        <w:t>vysokých</w:t>
      </w:r>
      <w:r w:rsidRPr="00AA594A">
        <w:t xml:space="preserve"> hodnot, což je způsobeno vysokým zadlužením podniku a financováním zejména krátkodobými cizími zdroji, což lze vidět i na ukazateli běžné zadluženosti za rok 2017, který dosahuje téměř 50 %. Roku 2018 ovšem zadluženost VK klesá o přibližně 48 % díky </w:t>
      </w:r>
      <w:r w:rsidR="00AA594A" w:rsidRPr="00AA594A">
        <w:t>zvýšení</w:t>
      </w:r>
      <w:r w:rsidRPr="00AA594A">
        <w:t xml:space="preserve"> vlastního kapitálu firmy o 36 milionů korun. Toto navýšení má na svědomí zejména příbytek položky Ážio a kapitálové fondy. Dle Výroční zprávy </w:t>
      </w:r>
      <w:r w:rsidR="00AA594A" w:rsidRPr="00AA594A">
        <w:t>společnosti</w:t>
      </w:r>
      <w:r w:rsidRPr="00AA594A">
        <w:t xml:space="preserve"> za rok 2018 společníci poskytli dobrovolný peněžitý vklad ve výši 30 tisíc korun. Toto navýšení započalo </w:t>
      </w:r>
      <w:r w:rsidRPr="00A71242">
        <w:rPr>
          <w:b/>
          <w:bCs/>
        </w:rPr>
        <w:t>klesající trend zadluženosti VK</w:t>
      </w:r>
      <w:r w:rsidRPr="00AA594A">
        <w:t xml:space="preserve"> podniku, který se roku 2021 dostal na 112 % a přiblížil se tak odvětvovému průměru. Data za odvětví jsou dostupná pouze do roku 2019, ovšem v tomto roce se pohybovala blízko 90 %, dalo by se tedy předpokládat, že pokud podnik bude nadále toto zadlužení snižovat a odvětví se vyvíjí podobným směrem, roku 2021 by tyto hodnoty mohly být podobné.  </w:t>
      </w:r>
    </w:p>
    <w:p w14:paraId="4B4F94F9" w14:textId="77777777" w:rsidR="00A71242" w:rsidRDefault="0079417C" w:rsidP="00A71242">
      <w:pPr>
        <w:pStyle w:val="Odstavec1"/>
        <w:ind w:firstLine="709"/>
      </w:pPr>
      <w:r w:rsidRPr="00A71242">
        <w:rPr>
          <w:b/>
          <w:bCs/>
        </w:rPr>
        <w:lastRenderedPageBreak/>
        <w:t>Celková zadluženost podniku</w:t>
      </w:r>
      <w:r w:rsidRPr="00AA594A">
        <w:t xml:space="preserve"> na začátku zkoumaného období dosahuje vysokých hodnot, avšak v průběhu let lze pozo</w:t>
      </w:r>
      <w:r w:rsidR="00A71242">
        <w:t>ro</w:t>
      </w:r>
      <w:r w:rsidRPr="00AA594A">
        <w:t xml:space="preserve">vat klesající trend, kdy z téměř </w:t>
      </w:r>
      <w:r w:rsidRPr="00A71242">
        <w:rPr>
          <w:b/>
          <w:bCs/>
        </w:rPr>
        <w:t>80 % klesala na 53 %.</w:t>
      </w:r>
      <w:r w:rsidRPr="00AA594A">
        <w:t xml:space="preserve"> Tento pokles je způsoben </w:t>
      </w:r>
      <w:r w:rsidR="00A71242" w:rsidRPr="00AA594A">
        <w:t>převážně</w:t>
      </w:r>
      <w:r w:rsidRPr="00AA594A">
        <w:t xml:space="preserve"> nárůstem sumy aktiv (pasiv) a také mírnými poklesy v cizích zdrojích. Klesající trend zadluženosti podniku je jistě dobrá zpráva pro jeho stabilitu a také investory a věřitele. Při porovnání podnikových hodnot zadluženosti s odvětvovými průměry lze pozorovat u zkoumaného podniku vcelku vyšší hodnoty, ovšem obdobně jako u zadluženosti VK se díky klesajícímu trendu zadluženosti postupně přibližuje odvětvovým průměrům (minimálně za rok 2019). </w:t>
      </w:r>
    </w:p>
    <w:p w14:paraId="547A1C66" w14:textId="3D8C52C1" w:rsidR="0079417C" w:rsidRPr="00AA594A" w:rsidRDefault="0079417C" w:rsidP="00A71242">
      <w:pPr>
        <w:pStyle w:val="Odstavec1"/>
        <w:ind w:firstLine="709"/>
      </w:pPr>
      <w:r w:rsidRPr="00AA594A">
        <w:t xml:space="preserve">Pro bližší prozkoumání zadluženosti jsme se také zaměřily na ukazatele </w:t>
      </w:r>
      <w:r w:rsidRPr="00A71242">
        <w:rPr>
          <w:b/>
          <w:bCs/>
        </w:rPr>
        <w:t>dlouhodobé a krátkodobé zadluženosti.</w:t>
      </w:r>
      <w:r w:rsidRPr="00AA594A">
        <w:t xml:space="preserve"> Kdy u obou ukazatelů lze pozorovat klesající tendence s nárůsty roku 2020, které lze připisovat nástupu pandemie COVID-19. V případě dlouhodobé zadluženosti se podnik pohybuje roku </w:t>
      </w:r>
      <w:r w:rsidRPr="00A71242">
        <w:rPr>
          <w:b/>
          <w:bCs/>
        </w:rPr>
        <w:t>2018 velmi blízko odvětvovému průměru</w:t>
      </w:r>
      <w:r w:rsidRPr="00AA594A">
        <w:t xml:space="preserve"> za tentýž rok a dokonce roku 2019 je hodnota v podniku nižší než v odvětví. Tento pokles je způsoben postupným splácením dlouhodobých závazků podniku a nárůstem sumy aktiv (pasiv). </w:t>
      </w:r>
    </w:p>
    <w:p w14:paraId="6BA050FD" w14:textId="77777777" w:rsidR="0079417C" w:rsidRPr="00AA594A" w:rsidRDefault="0079417C" w:rsidP="00A71242">
      <w:pPr>
        <w:pStyle w:val="Odstavec1"/>
        <w:ind w:firstLine="709"/>
      </w:pPr>
      <w:r w:rsidRPr="00AA594A">
        <w:t xml:space="preserve">Narozdíl od relativně dobrých hodnot dlouhodobé zadluženosti </w:t>
      </w:r>
      <w:r w:rsidRPr="00A71242">
        <w:t>se</w:t>
      </w:r>
      <w:r w:rsidRPr="00A71242">
        <w:rPr>
          <w:b/>
          <w:bCs/>
        </w:rPr>
        <w:t xml:space="preserve"> krátkodobá zadluženost v podniku pohybuje</w:t>
      </w:r>
      <w:r w:rsidRPr="00AA594A">
        <w:t xml:space="preserve"> oproti odvětví vysoko, kdy tento rozdíl činí v průměru 21 %. Takto vysoká běžná zadluženost podniku je způsobena zejména závazky k úvěrovým institucím, které dle vertikální analýzy rozvahy rostou ve vztahu k sumě aktiv. Na hodnoty běžné zadluženosti mají vliv také závazky z obchodních vztahů, které se v podniku drží na podobné úrovni vzhledem k celkové sumě aktiv, a to 11 %. </w:t>
      </w:r>
    </w:p>
    <w:p w14:paraId="004FF53F" w14:textId="2F28D4F1" w:rsidR="0079417C" w:rsidRDefault="0079417C" w:rsidP="00A71242">
      <w:pPr>
        <w:pStyle w:val="Odstavec1"/>
        <w:ind w:firstLine="709"/>
      </w:pPr>
      <w:r w:rsidRPr="00AA594A">
        <w:t>Tabulka č.</w:t>
      </w:r>
      <w:r w:rsidR="00A71242">
        <w:t xml:space="preserve"> 12</w:t>
      </w:r>
      <w:r w:rsidRPr="00AA594A">
        <w:t xml:space="preserve"> obsahuje další ukazatele zadluženosti, které se týkají krytí úroků či </w:t>
      </w:r>
      <w:r w:rsidR="00A71242" w:rsidRPr="00AA594A">
        <w:t>majetku</w:t>
      </w:r>
      <w:r w:rsidRPr="00AA594A">
        <w:t xml:space="preserve"> společnosti.</w:t>
      </w:r>
    </w:p>
    <w:p w14:paraId="11CDB349" w14:textId="16F0DB2D" w:rsidR="00570B9B" w:rsidRDefault="00570B9B">
      <w:r>
        <w:br w:type="page"/>
      </w:r>
    </w:p>
    <w:p w14:paraId="76FD7659" w14:textId="6A4298E2" w:rsidR="00A71242" w:rsidRPr="00A71242" w:rsidRDefault="00A71242" w:rsidP="00570B9B">
      <w:pPr>
        <w:pStyle w:val="Titulektabulky"/>
      </w:pPr>
      <w:bookmarkStart w:id="52" w:name="_Toc133180298"/>
      <w:r>
        <w:lastRenderedPageBreak/>
        <w:t>Tabulka č. 1</w:t>
      </w:r>
      <w:r w:rsidR="00570B9B">
        <w:t>2:</w:t>
      </w:r>
      <w:r w:rsidR="00570B9B" w:rsidRPr="00570B9B">
        <w:t xml:space="preserve"> </w:t>
      </w:r>
      <w:r w:rsidR="00570B9B">
        <w:t>K</w:t>
      </w:r>
      <w:r w:rsidR="00570B9B" w:rsidRPr="00AA594A">
        <w:t>rytí úroků či majetku společnosti</w:t>
      </w:r>
      <w:bookmarkEnd w:id="52"/>
    </w:p>
    <w:tbl>
      <w:tblPr>
        <w:tblW w:w="0" w:type="auto"/>
        <w:tblCellMar>
          <w:top w:w="15" w:type="dxa"/>
          <w:left w:w="15" w:type="dxa"/>
          <w:bottom w:w="15" w:type="dxa"/>
          <w:right w:w="15" w:type="dxa"/>
        </w:tblCellMar>
        <w:tblLook w:val="04A0" w:firstRow="1" w:lastRow="0" w:firstColumn="1" w:lastColumn="0" w:noHBand="0" w:noVBand="1"/>
      </w:tblPr>
      <w:tblGrid>
        <w:gridCol w:w="1981"/>
        <w:gridCol w:w="1061"/>
        <w:gridCol w:w="961"/>
        <w:gridCol w:w="1061"/>
        <w:gridCol w:w="1061"/>
        <w:gridCol w:w="1061"/>
      </w:tblGrid>
      <w:tr w:rsidR="0079417C" w14:paraId="353E5CCE" w14:textId="77777777" w:rsidTr="00570B9B">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4D0F337E" w14:textId="77777777" w:rsidR="0079417C" w:rsidRPr="00570B9B" w:rsidRDefault="0079417C" w:rsidP="00570B9B">
            <w:pPr>
              <w:pStyle w:val="Normlnweb"/>
              <w:spacing w:after="0"/>
              <w:rPr>
                <w:rFonts w:asciiTheme="majorHAnsi" w:hAnsiTheme="majorHAnsi" w:cstheme="majorHAnsi"/>
                <w:color w:val="000000"/>
                <w:sz w:val="18"/>
                <w:szCs w:val="18"/>
                <w:lang w:val="cs-CZ"/>
              </w:rPr>
            </w:pP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5B374B22" w14:textId="77777777" w:rsidR="0079417C" w:rsidRPr="00570B9B" w:rsidRDefault="0079417C" w:rsidP="00570B9B">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2017</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734A4C03" w14:textId="77777777" w:rsidR="0079417C" w:rsidRPr="00570B9B" w:rsidRDefault="0079417C" w:rsidP="00570B9B">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2018</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453082E" w14:textId="77777777" w:rsidR="0079417C" w:rsidRPr="00570B9B" w:rsidRDefault="0079417C" w:rsidP="00570B9B">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2019</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06D6E35" w14:textId="77777777" w:rsidR="0079417C" w:rsidRPr="00570B9B" w:rsidRDefault="0079417C" w:rsidP="00570B9B">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2020</w:t>
            </w:r>
          </w:p>
        </w:tc>
        <w:tc>
          <w:tcPr>
            <w:tcW w:w="0" w:type="auto"/>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100" w:type="dxa"/>
              <w:left w:w="100" w:type="dxa"/>
              <w:bottom w:w="100" w:type="dxa"/>
              <w:right w:w="100" w:type="dxa"/>
            </w:tcMar>
            <w:hideMark/>
          </w:tcPr>
          <w:p w14:paraId="0129A227" w14:textId="77777777" w:rsidR="0079417C" w:rsidRPr="00570B9B" w:rsidRDefault="0079417C" w:rsidP="00570B9B">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2021</w:t>
            </w:r>
          </w:p>
        </w:tc>
      </w:tr>
      <w:tr w:rsidR="0079417C" w14:paraId="5EF42DC0" w14:textId="77777777" w:rsidTr="00570B9B">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347B1760" w14:textId="77777777" w:rsidR="0079417C" w:rsidRPr="00570B9B" w:rsidRDefault="0079417C">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Krytí úroků</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13C8278" w14:textId="5D3BC95F"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1245,48</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662DD1" w14:textId="7C9BC88A"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863,22</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F882AB" w14:textId="67E5004C"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1282,58</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B9A880" w14:textId="0E91B977"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2616,07</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81E9D4" w14:textId="279AA7ED"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5185,90</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r>
      <w:tr w:rsidR="0079417C" w14:paraId="065A0F35" w14:textId="77777777" w:rsidTr="00570B9B">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588C0061" w14:textId="17DAB894" w:rsidR="0079417C" w:rsidRPr="00570B9B" w:rsidRDefault="00570B9B">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Dlouhodobé</w:t>
            </w:r>
            <w:r w:rsidR="0079417C" w:rsidRPr="00570B9B">
              <w:rPr>
                <w:rFonts w:asciiTheme="majorHAnsi" w:hAnsiTheme="majorHAnsi" w:cstheme="majorHAnsi"/>
                <w:color w:val="000000"/>
                <w:sz w:val="18"/>
                <w:szCs w:val="18"/>
                <w:lang w:val="cs-CZ"/>
              </w:rPr>
              <w:t xml:space="preserve"> krytí SA</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F77D15" w14:textId="32476964"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238,99</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r w:rsidR="00570B9B">
              <w:rPr>
                <w:rFonts w:asciiTheme="majorHAnsi" w:hAnsiTheme="majorHAnsi" w:cstheme="majorHAnsi"/>
                <w:b w:val="0"/>
                <w:bCs/>
                <w:color w:val="000000"/>
                <w:sz w:val="18"/>
                <w:szCs w:val="18"/>
                <w:lang w:val="cs-CZ"/>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863B0F" w14:textId="744AA47C"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120,05</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94A3A3" w14:textId="4D7C8049"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207,23</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568159" w14:textId="17BFD896"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168,11</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AD2B11" w14:textId="51E555DD"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152,18</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r>
      <w:tr w:rsidR="0079417C" w14:paraId="2D32B047" w14:textId="77777777" w:rsidTr="00895BA8">
        <w:trPr>
          <w:trHeight w:val="283"/>
        </w:trPr>
        <w:tc>
          <w:tcPr>
            <w:tcW w:w="0" w:type="auto"/>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00" w:type="dxa"/>
              <w:left w:w="100" w:type="dxa"/>
              <w:bottom w:w="100" w:type="dxa"/>
              <w:right w:w="100" w:type="dxa"/>
            </w:tcMar>
            <w:hideMark/>
          </w:tcPr>
          <w:p w14:paraId="48062A89" w14:textId="77777777" w:rsidR="0079417C" w:rsidRPr="00570B9B" w:rsidRDefault="0079417C">
            <w:pPr>
              <w:pStyle w:val="Normlnweb"/>
              <w:spacing w:after="0"/>
              <w:rPr>
                <w:rFonts w:asciiTheme="majorHAnsi" w:hAnsiTheme="majorHAnsi" w:cstheme="majorHAnsi"/>
                <w:color w:val="000000"/>
                <w:sz w:val="18"/>
                <w:szCs w:val="18"/>
                <w:lang w:val="cs-CZ"/>
              </w:rPr>
            </w:pPr>
            <w:r w:rsidRPr="00570B9B">
              <w:rPr>
                <w:rFonts w:asciiTheme="majorHAnsi" w:hAnsiTheme="majorHAnsi" w:cstheme="majorHAnsi"/>
                <w:color w:val="000000"/>
                <w:sz w:val="18"/>
                <w:szCs w:val="18"/>
                <w:lang w:val="cs-CZ"/>
              </w:rPr>
              <w:t>DL krytí SA VK</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2F9AB225" w14:textId="35906DB9"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89,44</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100" w:type="dxa"/>
              <w:left w:w="100" w:type="dxa"/>
              <w:bottom w:w="100" w:type="dxa"/>
              <w:right w:w="100" w:type="dxa"/>
            </w:tcMar>
            <w:hideMark/>
          </w:tcPr>
          <w:p w14:paraId="5CB11041" w14:textId="68B57F9C"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81,15</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C96D26" w14:textId="22636449"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136,07</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6D14FC" w14:textId="2F7ABB14"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126,42</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CCADAA5" w14:textId="366DDA90" w:rsidR="0079417C" w:rsidRPr="00570B9B" w:rsidRDefault="0079417C">
            <w:pPr>
              <w:pStyle w:val="Normlnweb"/>
              <w:spacing w:after="0"/>
              <w:rPr>
                <w:rFonts w:asciiTheme="majorHAnsi" w:hAnsiTheme="majorHAnsi" w:cstheme="majorHAnsi"/>
                <w:b w:val="0"/>
                <w:bCs/>
                <w:color w:val="000000"/>
                <w:sz w:val="18"/>
                <w:szCs w:val="18"/>
                <w:lang w:val="cs-CZ"/>
              </w:rPr>
            </w:pPr>
            <w:r w:rsidRPr="00570B9B">
              <w:rPr>
                <w:rFonts w:asciiTheme="majorHAnsi" w:hAnsiTheme="majorHAnsi" w:cstheme="majorHAnsi"/>
                <w:b w:val="0"/>
                <w:bCs/>
                <w:color w:val="000000"/>
                <w:sz w:val="18"/>
                <w:szCs w:val="18"/>
                <w:lang w:val="cs-CZ"/>
              </w:rPr>
              <w:t>152,18</w:t>
            </w:r>
            <w:r w:rsidR="00570B9B">
              <w:rPr>
                <w:rFonts w:asciiTheme="majorHAnsi" w:hAnsiTheme="majorHAnsi" w:cstheme="majorHAnsi"/>
                <w:b w:val="0"/>
                <w:bCs/>
                <w:color w:val="000000"/>
                <w:sz w:val="18"/>
                <w:szCs w:val="18"/>
                <w:lang w:val="cs-CZ"/>
              </w:rPr>
              <w:t xml:space="preserve"> </w:t>
            </w:r>
            <w:r w:rsidRPr="00570B9B">
              <w:rPr>
                <w:rFonts w:asciiTheme="majorHAnsi" w:hAnsiTheme="majorHAnsi" w:cstheme="majorHAnsi"/>
                <w:b w:val="0"/>
                <w:bCs/>
                <w:color w:val="000000"/>
                <w:sz w:val="18"/>
                <w:szCs w:val="18"/>
                <w:lang w:val="cs-CZ"/>
              </w:rPr>
              <w:t>%</w:t>
            </w:r>
          </w:p>
        </w:tc>
      </w:tr>
    </w:tbl>
    <w:p w14:paraId="0CA16073" w14:textId="004A2FC0" w:rsidR="0079417C" w:rsidRPr="00AE4F3C" w:rsidRDefault="00AE4F3C" w:rsidP="00AE4F3C">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25FDC849" w14:textId="3E2B2D33" w:rsidR="0079417C" w:rsidRDefault="0079417C" w:rsidP="00570B9B">
      <w:pPr>
        <w:pStyle w:val="Odstavec1"/>
      </w:pPr>
      <w:r>
        <w:rPr>
          <w:b/>
          <w:bCs/>
        </w:rPr>
        <w:t>Ukazatel krytí úroků</w:t>
      </w:r>
      <w:r>
        <w:t xml:space="preserve"> je ve společnosti na velmi vysoké úrovni, což je dobré znamení, jelikož společnost se nemusí bát, že by </w:t>
      </w:r>
      <w:r w:rsidR="00570B9B">
        <w:t>nebyla</w:t>
      </w:r>
      <w:r>
        <w:t xml:space="preserve"> schopna úroky z úvěrů splatit. Ukazatel také neustále roste, s </w:t>
      </w:r>
      <w:r w:rsidR="00570B9B">
        <w:t>výjimkou</w:t>
      </w:r>
      <w:r>
        <w:t xml:space="preserve"> roku 2018, což je vývoj pro podnik dobrým směrem. Dle literatury by měl </w:t>
      </w:r>
      <w:r>
        <w:rPr>
          <w:b/>
          <w:bCs/>
        </w:rPr>
        <w:t xml:space="preserve">ukazatel dlouhodobého krytí </w:t>
      </w:r>
      <w:r w:rsidR="003046DE">
        <w:rPr>
          <w:b/>
          <w:bCs/>
        </w:rPr>
        <w:t xml:space="preserve">stálých </w:t>
      </w:r>
      <w:r>
        <w:rPr>
          <w:b/>
          <w:bCs/>
        </w:rPr>
        <w:t>aktiv</w:t>
      </w:r>
      <w:r>
        <w:t xml:space="preserve"> dosahovat 100 %. Pokud toto číslo přesahuje je podnik </w:t>
      </w:r>
      <w:r>
        <w:rPr>
          <w:b/>
          <w:bCs/>
        </w:rPr>
        <w:t>překapitalizován</w:t>
      </w:r>
      <w:r>
        <w:t>, tudíž podnik disponuje příliš velkým množstvím dlouhodobého kapitálu (Kubíčková, Jindřichovská, 20</w:t>
      </w:r>
      <w:r w:rsidR="00463E7A">
        <w:t>15</w:t>
      </w:r>
      <w:r>
        <w:t xml:space="preserve">, s. 137). Ve zkoumaném podniku přímo nastává výše popsaná situace, kdy je tento ukazatel </w:t>
      </w:r>
      <w:r w:rsidR="00570B9B">
        <w:rPr>
          <w:b/>
          <w:bCs/>
        </w:rPr>
        <w:t>dlouhodobě</w:t>
      </w:r>
      <w:r>
        <w:rPr>
          <w:b/>
          <w:bCs/>
        </w:rPr>
        <w:t xml:space="preserve"> na úrovni vyšší než 100 %</w:t>
      </w:r>
      <w:r>
        <w:t>. Tento jev naznačuje neefektivitu nakládání s dlouhodobým kapitálem. </w:t>
      </w:r>
    </w:p>
    <w:p w14:paraId="13F96E51" w14:textId="72276680" w:rsidR="0079417C" w:rsidRDefault="0079417C" w:rsidP="00570B9B">
      <w:pPr>
        <w:pStyle w:val="Odstavec1"/>
        <w:ind w:firstLine="709"/>
      </w:pPr>
      <w:r>
        <w:t>Analýza poměrového ukazatele</w:t>
      </w:r>
      <w:r>
        <w:rPr>
          <w:b/>
          <w:bCs/>
        </w:rPr>
        <w:t xml:space="preserve"> dlouhodobého krytí stálých aktiv</w:t>
      </w:r>
      <w:r>
        <w:t xml:space="preserve"> vlastním kapitálem ukázala vcelku vysoké hodnoty. Literatura doporučuje hodnoty mezi </w:t>
      </w:r>
      <w:r w:rsidR="00463E7A">
        <w:t>75–100</w:t>
      </w:r>
      <w:r>
        <w:t xml:space="preserve"> %, aby bylo splněno pravidlo opatrného financování (Kubíčková, Jindřichovská,</w:t>
      </w:r>
      <w:r w:rsidR="00463E7A">
        <w:t xml:space="preserve"> 2015</w:t>
      </w:r>
      <w:r>
        <w:t xml:space="preserve">, s. 137). Těchto hodnot podnik nabývá </w:t>
      </w:r>
      <w:r w:rsidR="00570B9B">
        <w:t>pouze</w:t>
      </w:r>
      <w:r>
        <w:t xml:space="preserve"> v prvních dvou letech zkoumaného období a od roku 2019 se pohybuje </w:t>
      </w:r>
      <w:r>
        <w:rPr>
          <w:b/>
          <w:bCs/>
        </w:rPr>
        <w:t>výrazně nad doporučovanou hranicí</w:t>
      </w:r>
      <w:r>
        <w:t xml:space="preserve">. Tato situace souvisí s přírůstkem vlastního kapitálu pomocí </w:t>
      </w:r>
      <w:r w:rsidR="00895BA8">
        <w:t>dodatečných</w:t>
      </w:r>
      <w:r>
        <w:t xml:space="preserve"> vkladů zmiňovaná při </w:t>
      </w:r>
      <w:r w:rsidR="00895BA8">
        <w:t>rozboru</w:t>
      </w:r>
      <w:r>
        <w:t xml:space="preserve"> ukazatele </w:t>
      </w:r>
      <w:r w:rsidR="00895BA8">
        <w:t>zadluženosti</w:t>
      </w:r>
      <w:r>
        <w:t xml:space="preserve"> vlastního kapitálu. V tomto </w:t>
      </w:r>
      <w:r w:rsidR="00895BA8">
        <w:t>případě</w:t>
      </w:r>
      <w:r>
        <w:t>, pokud toto navýšení zároveň snižuje zadluženost podniku, netvoří vyšší než doporučené hodnoty pro podnik zásadní problém. </w:t>
      </w:r>
    </w:p>
    <w:p w14:paraId="7B1F6C72" w14:textId="77777777" w:rsidR="0079417C" w:rsidRDefault="0079417C" w:rsidP="003162DE">
      <w:pPr>
        <w:pStyle w:val="Nadpis2"/>
        <w:numPr>
          <w:ilvl w:val="1"/>
          <w:numId w:val="18"/>
        </w:numPr>
      </w:pPr>
      <w:bookmarkStart w:id="53" w:name="_Toc132567260"/>
      <w:r w:rsidRPr="00AE4F3C">
        <w:t>Aktivita</w:t>
      </w:r>
      <w:bookmarkEnd w:id="53"/>
    </w:p>
    <w:p w14:paraId="7F9041E1" w14:textId="7AC4055B" w:rsidR="0079417C" w:rsidRDefault="0079417C" w:rsidP="00AE4F3C">
      <w:pPr>
        <w:pStyle w:val="Odstavec1"/>
      </w:pPr>
      <w:r>
        <w:t>Ukazatele aktivity ukazují</w:t>
      </w:r>
      <w:r w:rsidR="00AE4F3C">
        <w:t>,</w:t>
      </w:r>
      <w:r>
        <w:t xml:space="preserve"> jak efektivně podnik hospodaří se svým majetkem. V</w:t>
      </w:r>
      <w:r w:rsidR="00AE4F3C">
        <w:t> </w:t>
      </w:r>
      <w:r>
        <w:t>tabulce</w:t>
      </w:r>
      <w:r w:rsidR="00AE4F3C">
        <w:t xml:space="preserve"> č. 13 </w:t>
      </w:r>
      <w:r>
        <w:t>jsme je začlenil</w:t>
      </w:r>
      <w:r w:rsidR="00AE4F3C">
        <w:t>y</w:t>
      </w:r>
      <w:r>
        <w:t xml:space="preserve"> do čtyř dílčích skupin: ukazatele vázanosti, ukazatele obratovosti, ukazatele doby obratu, ukazatele produktivity práce. </w:t>
      </w:r>
    </w:p>
    <w:p w14:paraId="0F884AD7" w14:textId="04EB01F3" w:rsidR="0079417C" w:rsidRDefault="0079417C" w:rsidP="00AE4F3C">
      <w:pPr>
        <w:pStyle w:val="Titulektabulky"/>
      </w:pPr>
      <w:bookmarkStart w:id="54" w:name="_Toc133180299"/>
      <w:r>
        <w:lastRenderedPageBreak/>
        <w:t>Tabulka</w:t>
      </w:r>
      <w:r w:rsidR="00AE4F3C">
        <w:t xml:space="preserve"> č. 13</w:t>
      </w:r>
      <w:r>
        <w:t xml:space="preserve">: </w:t>
      </w:r>
      <w:r w:rsidR="00AE4F3C">
        <w:t>Ukazatelé a</w:t>
      </w:r>
      <w:r>
        <w:t>ktivit</w:t>
      </w:r>
      <w:r w:rsidR="00AE4F3C">
        <w:t>y</w:t>
      </w:r>
      <w:bookmarkEnd w:id="54"/>
    </w:p>
    <w:p w14:paraId="7AABC2DD" w14:textId="11699D3F" w:rsidR="0079417C" w:rsidRDefault="0079417C" w:rsidP="00AE4F3C">
      <w:pPr>
        <w:pStyle w:val="Odstavec1"/>
      </w:pPr>
      <w:r>
        <w:rPr>
          <w:noProof/>
          <w:bdr w:val="none" w:sz="0" w:space="0" w:color="auto" w:frame="1"/>
        </w:rPr>
        <w:drawing>
          <wp:inline distT="0" distB="0" distL="0" distR="0" wp14:anchorId="2977697A" wp14:editId="54C47FD9">
            <wp:extent cx="4677410" cy="2551430"/>
            <wp:effectExtent l="0" t="0" r="8890" b="1270"/>
            <wp:docPr id="23" name="Obrázek 2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stůl&#10;&#10;Popis byl vytvořen automatic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7410" cy="2551430"/>
                    </a:xfrm>
                    <a:prstGeom prst="rect">
                      <a:avLst/>
                    </a:prstGeom>
                    <a:noFill/>
                    <a:ln>
                      <a:noFill/>
                    </a:ln>
                  </pic:spPr>
                </pic:pic>
              </a:graphicData>
            </a:graphic>
          </wp:inline>
        </w:drawing>
      </w:r>
    </w:p>
    <w:p w14:paraId="2F55D193" w14:textId="666A33EF" w:rsidR="0079417C" w:rsidRPr="00AE4F3C" w:rsidRDefault="00AE4F3C" w:rsidP="00AE4F3C">
      <w:pPr>
        <w:pStyle w:val="pramen"/>
        <w:rPr>
          <w:rFonts w:ascii="Cambria" w:eastAsia="Times New Roman" w:hAnsi="Cambria" w:cs="Times New Roman"/>
          <w:sz w:val="20"/>
          <w:szCs w:val="20"/>
          <w:lang w:val="cs-CZ" w:eastAsia="sk-SK"/>
        </w:rPr>
      </w:pPr>
      <w:r w:rsidRPr="00085F1A">
        <w:rPr>
          <w:rFonts w:ascii="Cambria" w:eastAsia="Times New Roman" w:hAnsi="Cambria" w:cs="Times New Roman"/>
          <w:sz w:val="20"/>
          <w:szCs w:val="20"/>
          <w:lang w:val="cs-CZ" w:eastAsia="sk-SK"/>
        </w:rPr>
        <w:t xml:space="preserve">Zdroj: Vlastní zpracování dle Veřejného rejstříku </w:t>
      </w:r>
    </w:p>
    <w:p w14:paraId="0A55BA64" w14:textId="253BCB15" w:rsidR="0079417C" w:rsidRDefault="0079417C" w:rsidP="00AE4F3C">
      <w:pPr>
        <w:pStyle w:val="Odstavec1"/>
        <w:ind w:firstLine="709"/>
      </w:pPr>
      <w:r>
        <w:rPr>
          <w:b/>
          <w:bCs/>
        </w:rPr>
        <w:t>Vázanost</w:t>
      </w:r>
      <w:r>
        <w:t xml:space="preserve"> aktiv měří </w:t>
      </w:r>
      <w:r w:rsidR="00AE4F3C">
        <w:t>intenzitu,</w:t>
      </w:r>
      <w:r>
        <w:t xml:space="preserve"> s níž firma využívá aktiv s cílem dosáhnout tržeb. Čím je ukazatel nižší, tím lépe. Společnost má v průběhu všech let vázanost celkových aktiv nižší než 50 % což může naznačovat tomu, že firma expanduje, aniž by musela zvyšovat</w:t>
      </w:r>
    </w:p>
    <w:p w14:paraId="15DC3478" w14:textId="1E7981C7" w:rsidR="0079417C" w:rsidRDefault="0079417C" w:rsidP="00AE4F3C">
      <w:pPr>
        <w:pStyle w:val="Odstavec1"/>
      </w:pPr>
      <w:r>
        <w:t xml:space="preserve">finanční zdroje. </w:t>
      </w:r>
      <w:r>
        <w:rPr>
          <w:b/>
          <w:bCs/>
        </w:rPr>
        <w:t xml:space="preserve">Vázanost stálých aktiv </w:t>
      </w:r>
      <w:r>
        <w:t xml:space="preserve">se se stářím firmy obecně zvyšuje. V roce 2018 je vidět vysoké navýšení na 20 % což poté způsobilo také zvýšení vázanosti celkových aktiv. Navýšení způsobilo zvýšení DHM v roce 2018 o 154 % (viz tabulka </w:t>
      </w:r>
      <w:r w:rsidR="00AE4F3C">
        <w:t>č.</w:t>
      </w:r>
      <w:r w:rsidR="00CB323E">
        <w:t xml:space="preserve"> 5</w:t>
      </w:r>
      <w:r>
        <w:t>). K následnému poklesu poté došlo kvůli zpětnému poklesu DHM v roce 2019 o 33</w:t>
      </w:r>
      <w:r w:rsidR="00AE4F3C">
        <w:t xml:space="preserve"> </w:t>
      </w:r>
      <w:r>
        <w:t>%.</w:t>
      </w:r>
    </w:p>
    <w:p w14:paraId="3BD5A487" w14:textId="69D49D44" w:rsidR="0079417C" w:rsidRDefault="0079417C" w:rsidP="00AE4F3C">
      <w:pPr>
        <w:pStyle w:val="Odstavec1"/>
        <w:ind w:firstLine="709"/>
      </w:pPr>
      <w:r>
        <w:rPr>
          <w:b/>
          <w:bCs/>
        </w:rPr>
        <w:t xml:space="preserve">Obrat zásob </w:t>
      </w:r>
      <w:r>
        <w:t xml:space="preserve">udává, kolikrát je v průběhu roku každá položka zásob firmy prodána a znovu naskladněna. Obrat zásob společnosti se v průběhu let postupně snižuje, což by mohlo naznačovat, že společnost má zastaralé zásoby. Reálná hodnota zásob by tedy mohla být nižší než cena oficiální (uvedená v účetních výkazech). </w:t>
      </w:r>
      <w:r>
        <w:rPr>
          <w:b/>
          <w:bCs/>
        </w:rPr>
        <w:t xml:space="preserve">Obrat stálých aktiv </w:t>
      </w:r>
      <w:r>
        <w:t>je převráceným ukazatelem vázanosti stálých aktiv, což jde také vidět i ve výsledcích v</w:t>
      </w:r>
      <w:r w:rsidR="001E0CD2">
        <w:t> </w:t>
      </w:r>
      <w:r>
        <w:t>tabulc</w:t>
      </w:r>
      <w:r w:rsidR="00CB323E">
        <w:t>e</w:t>
      </w:r>
      <w:r w:rsidR="001E0CD2">
        <w:t xml:space="preserve"> č. 13.</w:t>
      </w:r>
      <w:r>
        <w:t xml:space="preserve"> </w:t>
      </w:r>
      <w:r>
        <w:rPr>
          <w:b/>
          <w:bCs/>
        </w:rPr>
        <w:t xml:space="preserve">Obrat oběžných aktiv </w:t>
      </w:r>
      <w:r>
        <w:t>se průměrně udržoval na hodnotě 3,6.</w:t>
      </w:r>
      <w:r w:rsidR="001E0CD2">
        <w:t xml:space="preserve"> </w:t>
      </w:r>
      <w:r>
        <w:rPr>
          <w:b/>
          <w:bCs/>
        </w:rPr>
        <w:t xml:space="preserve">Obrat aktiv </w:t>
      </w:r>
      <w:r>
        <w:t>měří efektivitu, s jakou je podnik schopen využívat svá aktiva pro podnikání. Čím je hodnota vyšší, tím lépe firma své zdroje využívá. Minimálně by měla být jeho hodnota na úrovni 1. To společnost splňuje a průměrně udržuje svou hodnotu na úrovni cca 2,3. V porovnáním s odvětvím v</w:t>
      </w:r>
      <w:r w:rsidR="001E0CD2">
        <w:t> </w:t>
      </w:r>
      <w:r>
        <w:t>tabulce</w:t>
      </w:r>
      <w:r w:rsidR="001E0CD2">
        <w:t xml:space="preserve"> č. 14 </w:t>
      </w:r>
      <w:r>
        <w:t>má společnost velmi dobré výsledky. </w:t>
      </w:r>
    </w:p>
    <w:p w14:paraId="0E15AD15" w14:textId="77777777" w:rsidR="0079417C" w:rsidRDefault="0079417C" w:rsidP="00AE4F3C">
      <w:pPr>
        <w:pStyle w:val="Odstavec1"/>
      </w:pPr>
    </w:p>
    <w:p w14:paraId="709DB087" w14:textId="2148AFDD" w:rsidR="0079417C" w:rsidRDefault="0079417C" w:rsidP="001E0CD2">
      <w:pPr>
        <w:pStyle w:val="Titulektabulky"/>
      </w:pPr>
      <w:bookmarkStart w:id="55" w:name="_Toc133180300"/>
      <w:r>
        <w:t>Tabulka</w:t>
      </w:r>
      <w:r w:rsidR="001E0CD2">
        <w:t xml:space="preserve"> č. 14</w:t>
      </w:r>
      <w:r>
        <w:t>: Obrat aktiv v odvětví</w:t>
      </w:r>
      <w:bookmarkEnd w:id="55"/>
    </w:p>
    <w:p w14:paraId="6C8A2A32" w14:textId="24108378" w:rsidR="0079417C" w:rsidRDefault="0079417C" w:rsidP="00FF2CB5">
      <w:pPr>
        <w:pStyle w:val="Normlnweb"/>
        <w:spacing w:after="0"/>
        <w:jc w:val="center"/>
      </w:pPr>
      <w:r>
        <w:rPr>
          <w:rFonts w:ascii="Arial" w:hAnsi="Arial" w:cs="Arial"/>
          <w:noProof/>
          <w:color w:val="000000"/>
          <w:sz w:val="22"/>
          <w:szCs w:val="22"/>
          <w:bdr w:val="none" w:sz="0" w:space="0" w:color="auto" w:frame="1"/>
        </w:rPr>
        <w:drawing>
          <wp:inline distT="0" distB="0" distL="0" distR="0" wp14:anchorId="65162CA2" wp14:editId="6AF994A4">
            <wp:extent cx="2705100" cy="449174"/>
            <wp:effectExtent l="0" t="0" r="0" b="8255"/>
            <wp:docPr id="22" name="Obrázek 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stůl&#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970" cy="464263"/>
                    </a:xfrm>
                    <a:prstGeom prst="rect">
                      <a:avLst/>
                    </a:prstGeom>
                    <a:noFill/>
                    <a:ln>
                      <a:noFill/>
                    </a:ln>
                  </pic:spPr>
                </pic:pic>
              </a:graphicData>
            </a:graphic>
          </wp:inline>
        </w:drawing>
      </w:r>
    </w:p>
    <w:p w14:paraId="076819D2" w14:textId="42B63992" w:rsidR="0079417C" w:rsidRDefault="001E0CD2" w:rsidP="001E0CD2">
      <w:pPr>
        <w:pStyle w:val="pramen"/>
      </w:pPr>
      <w:r w:rsidRPr="00085F1A">
        <w:rPr>
          <w:rFonts w:ascii="Cambria" w:eastAsia="Times New Roman" w:hAnsi="Cambria" w:cs="Times New Roman"/>
          <w:sz w:val="20"/>
          <w:szCs w:val="20"/>
          <w:lang w:val="cs-CZ" w:eastAsia="sk-SK"/>
        </w:rPr>
        <w:t xml:space="preserve">Zdroj: Vlastní zpracování </w:t>
      </w:r>
    </w:p>
    <w:p w14:paraId="3FB332C1" w14:textId="77777777" w:rsidR="0079417C" w:rsidRDefault="0079417C" w:rsidP="001E0CD2">
      <w:pPr>
        <w:pStyle w:val="Odstavec1"/>
        <w:ind w:firstLine="709"/>
      </w:pPr>
      <w:r>
        <w:rPr>
          <w:b/>
          <w:bCs/>
        </w:rPr>
        <w:t>Doba obratu zásob</w:t>
      </w:r>
      <w:r>
        <w:t xml:space="preserve"> udává průměrný počet dnů, po níž jsou zásoby vázány v podnikání do doby jejich spotřeby. V průběhu let se postupně doba obratu zásob zvyšovala a v roce 2021 byla 37 dnů. Vzhledem k tomu, že se jedná o výrobní podnik dosahované hodnoty jsou v pořádku. </w:t>
      </w:r>
      <w:r>
        <w:rPr>
          <w:b/>
          <w:bCs/>
        </w:rPr>
        <w:t>Průměrná doba inkasa</w:t>
      </w:r>
      <w:r>
        <w:t xml:space="preserve"> ukazuje dobu, po kterou musí firma čekat na inkaso plateb za své již provedené tržby. V roce 2017 to bylo 63 dnů a postupně se společnosti podařilo tuto dobu snížit na 49 dnů v roce 2021. </w:t>
      </w:r>
      <w:r>
        <w:rPr>
          <w:b/>
          <w:bCs/>
        </w:rPr>
        <w:t>Doba obratu závazků</w:t>
      </w:r>
      <w:r>
        <w:t xml:space="preserve"> udává, jak dlouho firma odkládá platbu svým dodavatelům. Při porovnání s průměrnou dobou inkasa vykazuje podobný trend. Také se postupně snižuje a v roce 2021 byla doba obratu závazků 78 dnů, což je o 29 dnů více než u průměrné doby inkasa.</w:t>
      </w:r>
    </w:p>
    <w:p w14:paraId="58AEE90F" w14:textId="4785F9A0" w:rsidR="0079417C" w:rsidRDefault="0079417C" w:rsidP="001E0CD2">
      <w:pPr>
        <w:pStyle w:val="Titulekgraf"/>
      </w:pPr>
      <w:bookmarkStart w:id="56" w:name="_Toc133180316"/>
      <w:r>
        <w:t>Graf č.</w:t>
      </w:r>
      <w:r w:rsidR="001E0CD2">
        <w:t xml:space="preserve"> 6</w:t>
      </w:r>
      <w:r>
        <w:t>: Porovnání obratovosti a doby obratu zásob</w:t>
      </w:r>
      <w:bookmarkEnd w:id="56"/>
    </w:p>
    <w:p w14:paraId="492FC136" w14:textId="1C3FC295" w:rsidR="0079417C" w:rsidRDefault="0079417C" w:rsidP="0079417C">
      <w:pPr>
        <w:pStyle w:val="Normlnweb"/>
        <w:spacing w:before="240" w:after="240"/>
        <w:jc w:val="both"/>
      </w:pPr>
      <w:r>
        <w:rPr>
          <w:rFonts w:ascii="Arial" w:hAnsi="Arial" w:cs="Arial"/>
          <w:noProof/>
          <w:color w:val="000000"/>
          <w:sz w:val="22"/>
          <w:szCs w:val="22"/>
          <w:bdr w:val="none" w:sz="0" w:space="0" w:color="auto" w:frame="1"/>
        </w:rPr>
        <w:drawing>
          <wp:inline distT="0" distB="0" distL="0" distR="0" wp14:anchorId="1EBB2F5A" wp14:editId="55B502F8">
            <wp:extent cx="4677410" cy="2802890"/>
            <wp:effectExtent l="0" t="0" r="8890" b="0"/>
            <wp:docPr id="21" name="Obrázek 2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abulka&#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7410" cy="2802890"/>
                    </a:xfrm>
                    <a:prstGeom prst="rect">
                      <a:avLst/>
                    </a:prstGeom>
                    <a:noFill/>
                    <a:ln>
                      <a:noFill/>
                    </a:ln>
                  </pic:spPr>
                </pic:pic>
              </a:graphicData>
            </a:graphic>
          </wp:inline>
        </w:drawing>
      </w:r>
    </w:p>
    <w:p w14:paraId="063D3B04" w14:textId="77777777" w:rsidR="001E0CD2" w:rsidRDefault="001E0CD2" w:rsidP="001E0CD2">
      <w:pPr>
        <w:pStyle w:val="pramen"/>
      </w:pPr>
      <w:r w:rsidRPr="00085F1A">
        <w:rPr>
          <w:rFonts w:ascii="Cambria" w:eastAsia="Times New Roman" w:hAnsi="Cambria" w:cs="Times New Roman"/>
          <w:sz w:val="20"/>
          <w:szCs w:val="20"/>
          <w:lang w:val="cs-CZ" w:eastAsia="sk-SK"/>
        </w:rPr>
        <w:t xml:space="preserve">Zdroj: Vlastní zpracování </w:t>
      </w:r>
    </w:p>
    <w:p w14:paraId="43BDB8B6" w14:textId="77777777" w:rsidR="0079417C" w:rsidRDefault="0079417C" w:rsidP="0079417C"/>
    <w:p w14:paraId="769F3E80" w14:textId="1A6FE46F" w:rsidR="0079417C" w:rsidRDefault="0079417C" w:rsidP="001E0CD2">
      <w:pPr>
        <w:pStyle w:val="Odstavec1"/>
      </w:pPr>
      <w:r>
        <w:lastRenderedPageBreak/>
        <w:t>Graf</w:t>
      </w:r>
      <w:r w:rsidR="001E0CD2">
        <w:t xml:space="preserve"> č. 6</w:t>
      </w:r>
      <w:r>
        <w:t xml:space="preserve"> ukazuje vzájemné provázání </w:t>
      </w:r>
      <w:r>
        <w:rPr>
          <w:b/>
          <w:bCs/>
        </w:rPr>
        <w:t xml:space="preserve">obratu zásob </w:t>
      </w:r>
      <w:r>
        <w:t xml:space="preserve">a </w:t>
      </w:r>
      <w:r>
        <w:rPr>
          <w:b/>
          <w:bCs/>
        </w:rPr>
        <w:t>doby obratu zásob</w:t>
      </w:r>
      <w:r>
        <w:t>. Podle výsledků usuzujeme že obrat zásob je nepřímo úměrný době obratu zásob. To je vidět například na posunu z roku 2020 do roku 2021 kdy klesl obrat zásob a doba obratu zásob se naopak zvýšila.</w:t>
      </w:r>
      <w:r w:rsidR="001E0CD2">
        <w:tab/>
      </w:r>
    </w:p>
    <w:p w14:paraId="562DA8DD" w14:textId="30813035" w:rsidR="0079417C" w:rsidRDefault="0079417C" w:rsidP="001E0CD2">
      <w:pPr>
        <w:pStyle w:val="Odstavec1"/>
        <w:ind w:firstLine="709"/>
      </w:pPr>
      <w:r>
        <w:rPr>
          <w:b/>
          <w:bCs/>
        </w:rPr>
        <w:t>Podíl personálních nákladů na obratu</w:t>
      </w:r>
      <w:r>
        <w:t xml:space="preserve"> udává, kolik procent z obratu padlo jako personální náklady na jeho vygenerování. je v průběhu let stabilní okolo 20 %. Stejně jako Podíl personálních nákladů na obratu je </w:t>
      </w:r>
      <w:r>
        <w:rPr>
          <w:b/>
          <w:bCs/>
        </w:rPr>
        <w:t>Podíl personálních nákladů na celkových nákladech</w:t>
      </w:r>
      <w:r>
        <w:t xml:space="preserve"> průměrně kolem 21 % </w:t>
      </w:r>
      <w:r w:rsidR="00E47DE3">
        <w:t>s</w:t>
      </w:r>
      <w:r>
        <w:t xml:space="preserve"> žádným významným poklesem nebo růstem. Mzdové náklady společnosti teda nejsou hlavní nákladovou položkou. </w:t>
      </w:r>
      <w:r>
        <w:rPr>
          <w:b/>
          <w:bCs/>
        </w:rPr>
        <w:t>Dosažený obrat na jednoho pracovníka</w:t>
      </w:r>
      <w:r>
        <w:t xml:space="preserve"> v průběhu let rostl s tím, že v roce 2021 dosáhl 3 339 tisíc korun. To naznačuje, že společnost efektivně využívá své lidské zdroje. </w:t>
      </w:r>
      <w:r>
        <w:rPr>
          <w:b/>
          <w:bCs/>
        </w:rPr>
        <w:t>Průměrná mzda na pracovníka</w:t>
      </w:r>
      <w:r>
        <w:t xml:space="preserve"> se také postupně navyšovala. V roce 2021 tvořila 502 tisíc korun což je průměrně 41 842 KČ měsíčně na pracovníka.</w:t>
      </w:r>
    </w:p>
    <w:p w14:paraId="431197EB" w14:textId="3A469999" w:rsidR="00F12D07" w:rsidRDefault="00F12D07" w:rsidP="003162DE">
      <w:pPr>
        <w:pStyle w:val="Nadpis2"/>
        <w:numPr>
          <w:ilvl w:val="1"/>
          <w:numId w:val="18"/>
        </w:numPr>
      </w:pPr>
      <w:bookmarkStart w:id="57" w:name="_Toc132567261"/>
      <w:r>
        <w:t>Likvidita</w:t>
      </w:r>
      <w:bookmarkEnd w:id="57"/>
    </w:p>
    <w:p w14:paraId="417F614B" w14:textId="5183DEC4" w:rsidR="00E47DE3" w:rsidRPr="00E47DE3" w:rsidRDefault="00E47DE3" w:rsidP="00E47DE3">
      <w:pPr>
        <w:pStyle w:val="Odstavec1"/>
      </w:pPr>
      <w:r>
        <w:t>Likvidity společnosti jsme porovnávaly v tabulce č. 15 primárně s ukazateli likvidity v odvětví. Obecně se dá říct, že je společnost méně likvidní než průměr společností v jejím odvětví napříč všemi druhy likvidity. Nicméně vždy se rozdíl pohybuje okolo 0,2 nebo méně. </w:t>
      </w:r>
    </w:p>
    <w:p w14:paraId="7FC74CF7" w14:textId="1D5AE50B" w:rsidR="0079417C" w:rsidRDefault="0079417C" w:rsidP="001E0CD2">
      <w:pPr>
        <w:pStyle w:val="Titulektabulky"/>
      </w:pPr>
      <w:bookmarkStart w:id="58" w:name="_Toc133180301"/>
      <w:r>
        <w:t xml:space="preserve">Tabulka </w:t>
      </w:r>
      <w:r w:rsidR="001E0CD2">
        <w:t>č. 15</w:t>
      </w:r>
      <w:r>
        <w:t>: Likvidita</w:t>
      </w:r>
      <w:bookmarkEnd w:id="58"/>
    </w:p>
    <w:p w14:paraId="1BE0A58E" w14:textId="62586FDF" w:rsidR="0079417C" w:rsidRDefault="0079417C" w:rsidP="0079417C">
      <w:pPr>
        <w:pStyle w:val="Normlnweb"/>
        <w:spacing w:after="0"/>
      </w:pPr>
      <w:r>
        <w:rPr>
          <w:rFonts w:ascii="Arial" w:hAnsi="Arial" w:cs="Arial"/>
          <w:noProof/>
          <w:color w:val="000000"/>
          <w:sz w:val="22"/>
          <w:szCs w:val="22"/>
          <w:bdr w:val="none" w:sz="0" w:space="0" w:color="auto" w:frame="1"/>
        </w:rPr>
        <w:drawing>
          <wp:inline distT="0" distB="0" distL="0" distR="0" wp14:anchorId="0E1443C6" wp14:editId="05672DE5">
            <wp:extent cx="4677410" cy="807085"/>
            <wp:effectExtent l="0" t="0" r="8890" b="0"/>
            <wp:docPr id="20" name="Obrázek 20" descr="Obsah obrázku stůl, kalend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stůl, kalendář&#10;&#10;Popis byl vytvořen automatic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7410" cy="807085"/>
                    </a:xfrm>
                    <a:prstGeom prst="rect">
                      <a:avLst/>
                    </a:prstGeom>
                    <a:noFill/>
                    <a:ln>
                      <a:noFill/>
                    </a:ln>
                  </pic:spPr>
                </pic:pic>
              </a:graphicData>
            </a:graphic>
          </wp:inline>
        </w:drawing>
      </w:r>
    </w:p>
    <w:p w14:paraId="5C3D5811" w14:textId="77719BE5" w:rsidR="0079417C" w:rsidRDefault="001E0CD2" w:rsidP="001E0CD2">
      <w:pPr>
        <w:pStyle w:val="pramen"/>
      </w:pPr>
      <w:r w:rsidRPr="00085F1A">
        <w:rPr>
          <w:rFonts w:ascii="Cambria" w:eastAsia="Times New Roman" w:hAnsi="Cambria" w:cs="Times New Roman"/>
          <w:sz w:val="20"/>
          <w:szCs w:val="20"/>
          <w:lang w:val="cs-CZ" w:eastAsia="sk-SK"/>
        </w:rPr>
        <w:t xml:space="preserve">Zdroj: Vlastní zpracování </w:t>
      </w:r>
    </w:p>
    <w:p w14:paraId="38686642" w14:textId="279C112B" w:rsidR="0079417C" w:rsidRDefault="0079417C" w:rsidP="001E0CD2">
      <w:pPr>
        <w:pStyle w:val="Odstavec1"/>
      </w:pPr>
      <w:r>
        <w:rPr>
          <w:b/>
          <w:bCs/>
        </w:rPr>
        <w:t>Běžná</w:t>
      </w:r>
      <w:r>
        <w:t xml:space="preserve"> likvidita znázorňuje kolikrát oběžná aktiva kryjí krátkodobé závazky firmy. Obecně doporučená hodnota je 1,5 - 2,5. Podle výsledků odvětví ale víme, že bychom měli očekávat běžnou likviditu blíže k nižší hranici. V průběhu let jde poznat, že se společnost snažila svou běžnou likviditu zvyšovat. V roce 2018 byla běžná likvidita </w:t>
      </w:r>
      <w:r w:rsidR="001E0CD2">
        <w:t>nižší,</w:t>
      </w:r>
      <w:r>
        <w:t xml:space="preserve"> než stanovená hranice což přisuzujeme růstu krátkodobých závazků. V roce 2019 společnost poté rozdíl dorovnala zvýšením oběžných aktiv.</w:t>
      </w:r>
    </w:p>
    <w:p w14:paraId="1827C2E7" w14:textId="77777777" w:rsidR="0079417C" w:rsidRDefault="0079417C" w:rsidP="001E0CD2">
      <w:pPr>
        <w:pStyle w:val="Odstavec1"/>
      </w:pPr>
    </w:p>
    <w:p w14:paraId="11C0A7FC" w14:textId="4A1E7495" w:rsidR="0079417C" w:rsidRPr="00476A06" w:rsidRDefault="0079417C" w:rsidP="00476A06">
      <w:pPr>
        <w:pStyle w:val="Odstavec1"/>
      </w:pPr>
      <w:r w:rsidRPr="00476A06">
        <w:rPr>
          <w:b/>
          <w:bCs/>
        </w:rPr>
        <w:lastRenderedPageBreak/>
        <w:t>Pohotová likvidita</w:t>
      </w:r>
      <w:r w:rsidRPr="00476A06">
        <w:t xml:space="preserve"> </w:t>
      </w:r>
      <w:r w:rsidR="001E0CD2" w:rsidRPr="00476A06">
        <w:t>znázorňuje,</w:t>
      </w:r>
      <w:r w:rsidRPr="00476A06">
        <w:t xml:space="preserve"> zda je podnik schopen dostát krátkodobým závazkům, bez toho</w:t>
      </w:r>
      <w:r w:rsidR="001E0CD2" w:rsidRPr="00476A06">
        <w:t>,</w:t>
      </w:r>
      <w:r w:rsidRPr="00476A06">
        <w:t xml:space="preserve"> aby musel prodávat své zásoby. Obecně doporučená hodnota je 1 - 1,5. V průběhu let pozorujeme podobný trend jako u běžné likvidity</w:t>
      </w:r>
      <w:r w:rsidR="001E0CD2" w:rsidRPr="00476A06">
        <w:t>,</w:t>
      </w:r>
      <w:r w:rsidRPr="00476A06">
        <w:t xml:space="preserve"> kde oproti roku 2017 je pohotová likvidita nižší než pohotová likvidita v odvětví. To se poté postupně v roce 2019 změnilo a z výsledků usuzujeme, že společnost se snaží udržovat svou pohotovou likviditu okolo 1,2. V roce 2018 byla pohotová likvidita 0,97 což je opět nižší než doporučená hodnota. To naznačuje, že společnost nebyla schopna dostát svým krátkodobým závazkům, bez toho</w:t>
      </w:r>
      <w:r w:rsidR="001E0CD2" w:rsidRPr="00476A06">
        <w:t>,</w:t>
      </w:r>
      <w:r w:rsidRPr="00476A06">
        <w:t xml:space="preserve"> aby musela prodat část svých zásob.</w:t>
      </w:r>
    </w:p>
    <w:p w14:paraId="41AEAE6B" w14:textId="46E2A090" w:rsidR="0079417C" w:rsidRPr="00476A06" w:rsidRDefault="0079417C" w:rsidP="00476A06">
      <w:pPr>
        <w:pStyle w:val="Odstavec1"/>
        <w:ind w:firstLine="709"/>
      </w:pPr>
      <w:r w:rsidRPr="00476A06">
        <w:rPr>
          <w:b/>
          <w:bCs/>
        </w:rPr>
        <w:t>Okamžitá likvidita</w:t>
      </w:r>
      <w:r w:rsidRPr="00476A06">
        <w:t xml:space="preserve"> znázorňuje schopnost podniku uhradit krátkodobé závazky v daném okamžiku. Obecně doporučená hodnota je 0,2 - 0,5. Podle výsledků odvětví víme, že by se společnost měla pohybovat okolo hodnoty 0,3. To se jí ale v letech 2017-2019 nepodařilo. Nejnižší okamžitá likvidita měla hodnotu 0,07 v roce 2019. To se dalo očekávat vzhledem k výsledkům horizontální analýzy rozvahy (viz tabulka </w:t>
      </w:r>
      <w:r w:rsidR="001E0CD2" w:rsidRPr="00476A06">
        <w:t xml:space="preserve">č. </w:t>
      </w:r>
      <w:r w:rsidR="00476A06" w:rsidRPr="00476A06">
        <w:t>6</w:t>
      </w:r>
      <w:r w:rsidRPr="00476A06">
        <w:t>) kdy v roce 2019 poklesly peněžní prostředky společnosti o 55 % oproti roku 2018. Společnost od roku 2020 začala svou okamžitou likviditu zvyšovat a v roce 2023 dosáhla hodnoty 0,33 která odpovídá výsledkům odvětví z předešlých let.</w:t>
      </w:r>
    </w:p>
    <w:p w14:paraId="656607A0" w14:textId="77777777" w:rsidR="0079417C" w:rsidRDefault="0079417C" w:rsidP="00476A06">
      <w:pPr>
        <w:pStyle w:val="Odstavec1"/>
        <w:ind w:firstLine="360"/>
      </w:pPr>
      <w:r w:rsidRPr="00476A06">
        <w:rPr>
          <w:b/>
          <w:bCs/>
        </w:rPr>
        <w:t xml:space="preserve">Obecně </w:t>
      </w:r>
      <w:r w:rsidRPr="00476A06">
        <w:t>se společnost aktuálně nepotýká s žádnými problémy v oblasti likvidity. Neuspokojivé výsledky z roků 2018 a 2019 se podařilo společnosti v dalších letech napravit. Výsledky odpovídají také našemu očekávání z předešlé horizontální a vertikální analýzy VZZ a rozvahy.</w:t>
      </w:r>
    </w:p>
    <w:p w14:paraId="4278E32E" w14:textId="77777777" w:rsidR="00952697" w:rsidRPr="00952697" w:rsidRDefault="00952697" w:rsidP="00952697">
      <w:pPr>
        <w:pStyle w:val="Dalodstavce"/>
      </w:pPr>
    </w:p>
    <w:p w14:paraId="163F6D47" w14:textId="6F7224B9" w:rsidR="0079417C" w:rsidRDefault="00952697" w:rsidP="003162DE">
      <w:pPr>
        <w:pStyle w:val="Nadpis2"/>
        <w:numPr>
          <w:ilvl w:val="1"/>
          <w:numId w:val="18"/>
        </w:numPr>
      </w:pPr>
      <w:bookmarkStart w:id="59" w:name="_Toc132567262"/>
      <w:r>
        <w:t>Výstupy do SWOT analýzy</w:t>
      </w:r>
      <w:bookmarkEnd w:id="59"/>
    </w:p>
    <w:p w14:paraId="674BB4D2" w14:textId="54656653" w:rsidR="00952697" w:rsidRDefault="00952697" w:rsidP="00952697">
      <w:pPr>
        <w:pStyle w:val="Odstavec1"/>
      </w:pPr>
      <w:r w:rsidRPr="00F21AAE">
        <w:rPr>
          <w:b/>
          <w:bCs/>
        </w:rPr>
        <w:t>Mezi silné stránky</w:t>
      </w:r>
      <w:r>
        <w:t xml:space="preserve"> </w:t>
      </w:r>
      <w:r w:rsidR="00F21AAE">
        <w:t>podniku bychom zařadily vysoké hodnoty ROE a ROA</w:t>
      </w:r>
      <w:r w:rsidR="00E47DE3">
        <w:t xml:space="preserve">, </w:t>
      </w:r>
      <w:r w:rsidR="00F21AAE">
        <w:t>klesající trend zadluženosti podniku</w:t>
      </w:r>
      <w:r w:rsidR="00E47DE3">
        <w:t xml:space="preserve"> a dále běžnou, pohotovou i okamžitou likviditu a obecně dobré výsledky u ukazatelů aktivity.</w:t>
      </w:r>
    </w:p>
    <w:p w14:paraId="5E62CB83" w14:textId="3ECECFD1" w:rsidR="00F21AAE" w:rsidRPr="00F21AAE" w:rsidRDefault="00B02F6E" w:rsidP="00F21AAE">
      <w:pPr>
        <w:pStyle w:val="Dalodstavce"/>
      </w:pPr>
      <w:r w:rsidRPr="00B02F6E">
        <w:rPr>
          <w:b/>
          <w:bCs/>
        </w:rPr>
        <w:t>Jako slabé stránky</w:t>
      </w:r>
      <w:r>
        <w:t xml:space="preserve"> podniku považujeme nízké hodnoty ROS a překapitalizaci podniku, kterou ukazuje dlouhodobé krytí aktiv podniku</w:t>
      </w:r>
    </w:p>
    <w:p w14:paraId="1A5002B4" w14:textId="72C1B2CE" w:rsidR="0079417C" w:rsidRDefault="0079417C" w:rsidP="00476A06">
      <w:pPr>
        <w:pStyle w:val="Nadpis1"/>
      </w:pPr>
      <w:bookmarkStart w:id="60" w:name="_Toc132567263"/>
      <w:r w:rsidRPr="00476A06">
        <w:lastRenderedPageBreak/>
        <w:t>Finanční</w:t>
      </w:r>
      <w:r>
        <w:t xml:space="preserve"> páka</w:t>
      </w:r>
      <w:bookmarkEnd w:id="60"/>
    </w:p>
    <w:p w14:paraId="0A8478ED" w14:textId="7290484D" w:rsidR="0079417C" w:rsidRDefault="0079417C" w:rsidP="00476A06">
      <w:pPr>
        <w:pStyle w:val="Odstavec1"/>
      </w:pPr>
      <w:r w:rsidRPr="00476A06">
        <w:rPr>
          <w:b/>
          <w:bCs/>
        </w:rPr>
        <w:t>Finanční páka ukazuje</w:t>
      </w:r>
      <w:r>
        <w:t xml:space="preserve"> rozsah, v jakém je cizí kapitál společnosti použit k financování podniku. Je založena na principu, že cizí kapitál je levnější než vlastní kapitál. Výhodnost použití cizího kapitálu se zjišťuje porovnáním ROA a ROE. Finanční páka je také indikátorem rizika. Nicméně pokud společnost vydělává více než jsou úroky, může pomoci zvýšit rentabilitu podniku. Úroky navíc snižují daňové zatížení podniku (daňový efekt)</w:t>
      </w:r>
      <w:r w:rsidR="00476A06">
        <w:t xml:space="preserve"> </w:t>
      </w:r>
      <w:r>
        <w:t>(Sedláček, 2007, s. 69)</w:t>
      </w:r>
      <w:r w:rsidR="00476A06">
        <w:t>.</w:t>
      </w:r>
    </w:p>
    <w:p w14:paraId="171FE528" w14:textId="77739B26" w:rsidR="0079417C" w:rsidRDefault="0079417C" w:rsidP="00476A06">
      <w:pPr>
        <w:pStyle w:val="Titulektabulky"/>
      </w:pPr>
      <w:bookmarkStart w:id="61" w:name="_Toc133180302"/>
      <w:r>
        <w:t xml:space="preserve">Tabulka </w:t>
      </w:r>
      <w:r w:rsidR="00476A06">
        <w:t>č. 16</w:t>
      </w:r>
      <w:r>
        <w:t>: Finanční páka</w:t>
      </w:r>
      <w:bookmarkEnd w:id="61"/>
    </w:p>
    <w:p w14:paraId="3DA6E6D4" w14:textId="06A6FF41" w:rsidR="0079417C" w:rsidRDefault="0079417C" w:rsidP="00476A06">
      <w:pPr>
        <w:pStyle w:val="Odstavec1"/>
      </w:pPr>
      <w:r>
        <w:rPr>
          <w:noProof/>
          <w:bdr w:val="none" w:sz="0" w:space="0" w:color="auto" w:frame="1"/>
        </w:rPr>
        <w:drawing>
          <wp:inline distT="0" distB="0" distL="0" distR="0" wp14:anchorId="3A78BF9F" wp14:editId="39D39FD2">
            <wp:extent cx="4359275" cy="1052830"/>
            <wp:effectExtent l="0" t="0" r="3175" b="0"/>
            <wp:docPr id="19" name="Obrázek 1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stůl&#10;&#10;Popis byl vytvořen automatic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inline>
        </w:drawing>
      </w:r>
    </w:p>
    <w:p w14:paraId="53FA5BDE" w14:textId="28F20F54" w:rsidR="0079417C" w:rsidRDefault="00476A06" w:rsidP="00476A06">
      <w:pPr>
        <w:pStyle w:val="pramen"/>
      </w:pPr>
      <w:r w:rsidRPr="00085F1A">
        <w:rPr>
          <w:rFonts w:ascii="Cambria" w:eastAsia="Times New Roman" w:hAnsi="Cambria" w:cs="Times New Roman"/>
          <w:sz w:val="20"/>
          <w:szCs w:val="20"/>
          <w:lang w:val="cs-CZ" w:eastAsia="sk-SK"/>
        </w:rPr>
        <w:t xml:space="preserve">Zdroj: Vlastní zpracování </w:t>
      </w:r>
    </w:p>
    <w:p w14:paraId="46A334FB" w14:textId="6EECAB5F" w:rsidR="0079417C" w:rsidRDefault="0079417C" w:rsidP="00476A06">
      <w:pPr>
        <w:pStyle w:val="Odstavec1"/>
      </w:pPr>
      <w:r>
        <w:t>Výsledné hodnoty finanční páky jsou zobrazeny v</w:t>
      </w:r>
      <w:r w:rsidR="00476A06">
        <w:t> </w:t>
      </w:r>
      <w:r>
        <w:t>tabulce</w:t>
      </w:r>
      <w:r w:rsidR="00476A06">
        <w:t xml:space="preserve"> č. 16</w:t>
      </w:r>
      <w:r>
        <w:t xml:space="preserve">. Ukazatel ROE má ve všech obdobích vyšší </w:t>
      </w:r>
      <w:r w:rsidR="00476A06">
        <w:t>hodnotu,</w:t>
      </w:r>
      <w:r>
        <w:t xml:space="preserve"> než ROA což znamená, že finanční páka podniku působila ve všech obdobích pozitivně a napomáhá tedy ke zvýšení rentability podniku. Společnost měla nejvyšší finanční páku v roce 2017. V roce 2021 byla finanční páka nižší o více než polovinu oproti roku 2017. To značí že společnost se v současné době spoléhá na cizí zdroje méně oproti minulým rokům a je tím pádem méně zadlužená. Vzhledem k tomu, že finanční páka působí pozitivně na společnost také při vyšší hodnotě v roce 2017 mohlo by se společnosti do budoucna vyplatit finanční páku opět navyšovat.</w:t>
      </w:r>
    </w:p>
    <w:p w14:paraId="08774996" w14:textId="1E411510" w:rsidR="00E47DE3" w:rsidRPr="00E47DE3" w:rsidRDefault="00E47DE3" w:rsidP="00E47DE3">
      <w:pPr>
        <w:pStyle w:val="Dalodstavce"/>
      </w:pPr>
      <w:r>
        <w:t xml:space="preserve">Mezi </w:t>
      </w:r>
      <w:r>
        <w:rPr>
          <w:b/>
          <w:bCs/>
        </w:rPr>
        <w:t xml:space="preserve">silné stránky </w:t>
      </w:r>
      <w:r>
        <w:t>do SWOT analýzy jsme zařadily tedy také finanční páku společnosti.</w:t>
      </w:r>
    </w:p>
    <w:p w14:paraId="4455CA23" w14:textId="480E03BF" w:rsidR="00E47DE3" w:rsidRDefault="00E47DE3" w:rsidP="00E47DE3">
      <w:pPr>
        <w:pStyle w:val="Dalodstavce"/>
      </w:pPr>
    </w:p>
    <w:p w14:paraId="5CB29EC3" w14:textId="246E25FE" w:rsidR="00E47DE3" w:rsidRPr="00E47DE3" w:rsidRDefault="00E47DE3" w:rsidP="00E47DE3">
      <w:pPr>
        <w:pStyle w:val="Dalodstavce"/>
        <w:ind w:firstLine="0"/>
        <w:rPr>
          <w:b/>
          <w:bCs/>
        </w:rPr>
      </w:pPr>
    </w:p>
    <w:p w14:paraId="7E345925" w14:textId="77777777" w:rsidR="0079417C" w:rsidRDefault="0079417C" w:rsidP="00476A06">
      <w:pPr>
        <w:pStyle w:val="Odstavec1"/>
      </w:pPr>
    </w:p>
    <w:p w14:paraId="394CEA16" w14:textId="77777777" w:rsidR="0079417C" w:rsidRDefault="0079417C" w:rsidP="00476A06">
      <w:pPr>
        <w:pStyle w:val="Nadpis1"/>
      </w:pPr>
      <w:bookmarkStart w:id="62" w:name="_Toc132567264"/>
      <w:r>
        <w:lastRenderedPageBreak/>
        <w:t>Pyramidový rozklad</w:t>
      </w:r>
      <w:bookmarkEnd w:id="62"/>
      <w:r>
        <w:t> </w:t>
      </w:r>
    </w:p>
    <w:p w14:paraId="56035DBB" w14:textId="77777777" w:rsidR="00FF2CB5" w:rsidRDefault="0079417C" w:rsidP="00FF2CB5">
      <w:pPr>
        <w:pStyle w:val="Odstavec1"/>
        <w:ind w:firstLine="709"/>
      </w:pPr>
      <w:r>
        <w:t xml:space="preserve">Pyramidové rozklady napomáhají podrobnějšímu nahlédnutí na situaci firmy, </w:t>
      </w:r>
      <w:r w:rsidR="00476A06">
        <w:t>protože nám</w:t>
      </w:r>
      <w:r>
        <w:t xml:space="preserve"> umožňují lépe zobrazit </w:t>
      </w:r>
      <w:r w:rsidR="00476A06">
        <w:t>vzájemné</w:t>
      </w:r>
      <w:r>
        <w:t xml:space="preserve"> souvislosti mezi dílčími ukazateli. Nejčastěji se pro pyramidové </w:t>
      </w:r>
      <w:r w:rsidR="00476A06">
        <w:t>rozklady</w:t>
      </w:r>
      <w:r>
        <w:t xml:space="preserve"> volí ukazatel ROE, protože se v něm promítají nejdůležitější oblasti podnikové výkonnosti (</w:t>
      </w:r>
      <w:r w:rsidR="00476A06">
        <w:t>Kubíčková</w:t>
      </w:r>
      <w:r>
        <w:t xml:space="preserve">, </w:t>
      </w:r>
      <w:r w:rsidR="00476A06">
        <w:t>Jindřichovská, 2015, s.</w:t>
      </w:r>
      <w:r w:rsidR="008B2583">
        <w:t xml:space="preserve"> 185-186</w:t>
      </w:r>
      <w:r>
        <w:t>) Pro účely práce jsme zvolili rozklad ukazatele ROE z důvodu výše uvedeného, pro účely tohoto rozkladu jsme využili DuPontov</w:t>
      </w:r>
      <w:r w:rsidR="008B2583">
        <w:t>u</w:t>
      </w:r>
      <w:r>
        <w:t xml:space="preserve"> metod</w:t>
      </w:r>
      <w:r w:rsidR="008B2583">
        <w:t>u</w:t>
      </w:r>
      <w:r>
        <w:t xml:space="preserve"> jako jedné z nejvyužívanějších pro tyto účely. Konkrétní rozklad </w:t>
      </w:r>
      <w:r w:rsidR="008B2583">
        <w:t>ukazatele</w:t>
      </w:r>
      <w:r>
        <w:t xml:space="preserve"> ROE je znázorněn na obrázku </w:t>
      </w:r>
      <w:r w:rsidR="008B2583">
        <w:t>č. 2</w:t>
      </w:r>
      <w:r w:rsidR="00FF2CB5">
        <w:t xml:space="preserve">. Vzhledem k tomu, že ve všech letech se působení ukazatelů výrazně neměnilo byl rozebrán podrobně pouze rok 2021. </w:t>
      </w:r>
    </w:p>
    <w:p w14:paraId="56BD1B64" w14:textId="5A2FB270" w:rsidR="0079417C" w:rsidRDefault="0079417C" w:rsidP="00476A06">
      <w:pPr>
        <w:pStyle w:val="Odstavec1"/>
      </w:pPr>
    </w:p>
    <w:p w14:paraId="0A3BB878" w14:textId="69135945" w:rsidR="008B2583" w:rsidRPr="008B2583" w:rsidRDefault="008B2583" w:rsidP="008B2583">
      <w:pPr>
        <w:pStyle w:val="Dalodstavce"/>
        <w:jc w:val="center"/>
        <w:rPr>
          <w:b/>
          <w:bCs/>
        </w:rPr>
      </w:pPr>
      <w:r w:rsidRPr="008B2583">
        <w:rPr>
          <w:b/>
          <w:bCs/>
        </w:rPr>
        <w:t>Obrázek č. 2: Pyramidový rozklad</w:t>
      </w:r>
    </w:p>
    <w:p w14:paraId="2FD0BD85" w14:textId="77777777" w:rsidR="0079417C" w:rsidRDefault="0079417C" w:rsidP="00476A06">
      <w:pPr>
        <w:pStyle w:val="Odstavec1"/>
      </w:pPr>
    </w:p>
    <w:p w14:paraId="76036A42" w14:textId="2D0C4A34" w:rsidR="0079417C" w:rsidRDefault="000A25DE" w:rsidP="00476A06">
      <w:pPr>
        <w:pStyle w:val="Odstavec1"/>
      </w:pPr>
      <w:r>
        <w:rPr>
          <w:noProof/>
          <w:bdr w:val="none" w:sz="0" w:space="0" w:color="auto" w:frame="1"/>
        </w:rPr>
        <w:drawing>
          <wp:inline distT="0" distB="0" distL="0" distR="0" wp14:anchorId="5727861A" wp14:editId="6BA9D6DD">
            <wp:extent cx="4191000" cy="3968750"/>
            <wp:effectExtent l="0" t="0" r="0" b="508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19801EE" w14:textId="77777777" w:rsidR="00E02D92" w:rsidRDefault="00E02D92" w:rsidP="00E02D92">
      <w:pPr>
        <w:pStyle w:val="pramen"/>
      </w:pPr>
      <w:r w:rsidRPr="00085F1A">
        <w:rPr>
          <w:rFonts w:ascii="Cambria" w:eastAsia="Times New Roman" w:hAnsi="Cambria" w:cs="Times New Roman"/>
          <w:sz w:val="20"/>
          <w:szCs w:val="20"/>
          <w:lang w:val="cs-CZ" w:eastAsia="sk-SK"/>
        </w:rPr>
        <w:t xml:space="preserve">Zdroj: Vlastní zpracování </w:t>
      </w:r>
    </w:p>
    <w:p w14:paraId="7C106919" w14:textId="73A01ABE" w:rsidR="0079417C" w:rsidRDefault="6891B4C7" w:rsidP="00E02D92">
      <w:pPr>
        <w:pStyle w:val="Odstavec1"/>
        <w:ind w:firstLine="709"/>
      </w:pPr>
      <w:r w:rsidRPr="6891B4C7">
        <w:rPr>
          <w:b/>
          <w:bCs/>
        </w:rPr>
        <w:lastRenderedPageBreak/>
        <w:t>DuPontův rozklad ROE</w:t>
      </w:r>
      <w:r>
        <w:t xml:space="preserve"> ukazuje, že společnost má výkonnost s ROE (EAT) na úrovni 0,31, což je poměrně dobrá rentabilita. Takto vysoká hodnota je dle pyramidového rozkladu způsobena pomocí vysoké finanční páky na úrovni 2,12 díky využívání externího financování, jehož vliv na podnik kde blíže analyzován v rámci ukazatelů zadluženosti. Ukazatel ROA, který do celkového ROE vstupuje jako multiplikace finanční páky dosahuje 14 % což ukazuje podnikovou schopnost zhodnocení aktiv poměrně dobrou zejména při porovnávání s odvětvím viz. Analýza rentability. Na ukazatel ROA působí ukazatel ROS a obrat aktiv. Jak již bylo uvedeno u analýzy ukazatelů rentability, ukazatel </w:t>
      </w:r>
      <w:r w:rsidRPr="6891B4C7">
        <w:rPr>
          <w:b/>
          <w:bCs/>
        </w:rPr>
        <w:t>ROS dosahuje nízkých hodnot</w:t>
      </w:r>
      <w:r>
        <w:t xml:space="preserve"> což naznačuje neefektivitu v podniku a vysoké provozní náklady. Na druhou stranu je obrat aktiv v podniku na velmi dobré úrovni a napomáhá dobré výkonnosti podniku. Pyramidový rozklad ukázal a potvrdil výsledky předchozích analýz.</w:t>
      </w:r>
      <w:r w:rsidR="00FF2CB5">
        <w:t xml:space="preserve"> </w:t>
      </w:r>
    </w:p>
    <w:p w14:paraId="03611154" w14:textId="4F18C89F" w:rsidR="6891B4C7" w:rsidRDefault="6891B4C7" w:rsidP="6891B4C7">
      <w:pPr>
        <w:pStyle w:val="Dalodstavce"/>
      </w:pPr>
    </w:p>
    <w:p w14:paraId="7BB0AE23" w14:textId="09BE0183" w:rsidR="6891B4C7" w:rsidRDefault="6891B4C7" w:rsidP="6891B4C7">
      <w:pPr>
        <w:pStyle w:val="Nadpis1"/>
      </w:pPr>
      <w:bookmarkStart w:id="63" w:name="_Toc132567265"/>
      <w:r>
        <w:lastRenderedPageBreak/>
        <w:t>Vážený průměr nákladů na kapitál (WACC)</w:t>
      </w:r>
      <w:bookmarkEnd w:id="63"/>
    </w:p>
    <w:p w14:paraId="274E4B48" w14:textId="62A90310" w:rsidR="0079417C" w:rsidRPr="0079417C" w:rsidRDefault="6891B4C7" w:rsidP="0079417C">
      <w:pPr>
        <w:pStyle w:val="Odstavec1"/>
      </w:pPr>
      <w:r>
        <w:t xml:space="preserve">WACC (Weighted Average Cost of Capital) je ukazatel, který slouží k určení nákladů na kapitál společnosti. Je to vážený průměr všech zdrojů financování společnosti, včetně akcií, dluhopisů a jiných forem dluhu. WACC se používá jako referenční míra pro rozhodování o investičních projektech, hodnocení akvizic a určování hodnoty společnosti. Obvykle se používá jako diskontní míra, když se diskontují budoucí peněžní toky, aby se určila současná hodnota těchto peněžních toků. Pro naši práci jsme se </w:t>
      </w:r>
      <w:r w:rsidR="00C03FDA">
        <w:t>rozhodly</w:t>
      </w:r>
      <w:r>
        <w:t xml:space="preserve"> využít stavebnicový model výpočtu WACC. </w:t>
      </w:r>
    </w:p>
    <w:p w14:paraId="0378C3F5" w14:textId="555ACBD0" w:rsidR="6891B4C7" w:rsidRDefault="6891B4C7" w:rsidP="6891B4C7">
      <w:pPr>
        <w:pStyle w:val="Dalodstavce"/>
      </w:pPr>
    </w:p>
    <w:p w14:paraId="3D5FCE3F" w14:textId="5A9DB2AA" w:rsidR="6891B4C7" w:rsidRDefault="6891B4C7" w:rsidP="6891B4C7">
      <w:pPr>
        <w:pStyle w:val="Dalodstavce"/>
      </w:pPr>
      <w:r>
        <w:t>Stavebnicový model výpočtu WACC je převzatý z metodiky českého Ministerstva průmyslu a obchodu (2014). Vzorec je následující:</w:t>
      </w:r>
    </w:p>
    <w:p w14:paraId="55ADE397" w14:textId="59442D4A" w:rsidR="6891B4C7" w:rsidRDefault="6891B4C7" w:rsidP="6891B4C7">
      <w:pPr>
        <w:pStyle w:val="Dalodstavce"/>
        <w:jc w:val="center"/>
      </w:pPr>
      <w:r>
        <w:rPr>
          <w:noProof/>
        </w:rPr>
        <w:drawing>
          <wp:inline distT="0" distB="0" distL="0" distR="0" wp14:anchorId="6FEF1445" wp14:editId="374D023F">
            <wp:extent cx="3137606" cy="360491"/>
            <wp:effectExtent l="0" t="0" r="0" b="0"/>
            <wp:docPr id="777653848" name="Obrázek 77765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137606" cy="360491"/>
                    </a:xfrm>
                    <a:prstGeom prst="rect">
                      <a:avLst/>
                    </a:prstGeom>
                  </pic:spPr>
                </pic:pic>
              </a:graphicData>
            </a:graphic>
          </wp:inline>
        </w:drawing>
      </w:r>
    </w:p>
    <w:p w14:paraId="2BFC99E8" w14:textId="58147629" w:rsidR="6891B4C7" w:rsidRDefault="6891B4C7" w:rsidP="6891B4C7">
      <w:pPr>
        <w:pStyle w:val="Dalodstavce"/>
        <w:ind w:firstLine="0"/>
      </w:pPr>
      <w:r w:rsidRPr="6891B4C7">
        <w:t>r(f) - Jedná se o bezrizikovou sazbu, která je stanovena jako výnos desetiletých státních dluhopisů.</w:t>
      </w:r>
    </w:p>
    <w:p w14:paraId="3140426E" w14:textId="4EDA4BEC" w:rsidR="6891B4C7" w:rsidRDefault="6891B4C7" w:rsidP="6891B4C7">
      <w:pPr>
        <w:pStyle w:val="Dalodstavce"/>
        <w:ind w:firstLine="0"/>
      </w:pPr>
      <w:r w:rsidRPr="6891B4C7">
        <w:t>r(LA) - Jedná se o rizikovou přirážku za velikost podniku. Je navázána na velikost úplatných zdrojů podniku (UZ), což je součet vlastního kapitálu, bankovních úvěrů a dluhopisů.</w:t>
      </w:r>
    </w:p>
    <w:p w14:paraId="2E8B9CA9" w14:textId="508D12E3" w:rsidR="6891B4C7" w:rsidRDefault="3EB9A30E" w:rsidP="3EB9A30E">
      <w:pPr>
        <w:pStyle w:val="Dalodstavce"/>
        <w:ind w:firstLine="0"/>
      </w:pPr>
      <w:r>
        <w:t xml:space="preserve">r(podnikatelské) - Jedná se o rizikovou přirážku za podnikatelské riziko podniku. Je navázána na ukazatel produkční síly (EBIT/aktiva), její dostatečnou velikost a předmět činnosti podniku. </w:t>
      </w:r>
    </w:p>
    <w:p w14:paraId="22DE0F17" w14:textId="4CAC614F" w:rsidR="3EB9A30E" w:rsidRDefault="3EB9A30E" w:rsidP="3EB9A30E">
      <w:pPr>
        <w:pStyle w:val="Dalodstavce"/>
        <w:ind w:firstLine="0"/>
      </w:pPr>
      <w:r>
        <w:t>r(FinStab</w:t>
      </w:r>
      <w:r w:rsidR="29AA65B2">
        <w:t>) -</w:t>
      </w:r>
      <w:r>
        <w:t xml:space="preserve"> Jedná se o rizikovou přirážku za finanční stabilitu. Charakterizuje vztahy životnosti aktiv a pasiv, je navázána na </w:t>
      </w:r>
      <w:r w:rsidR="3C382363">
        <w:t>oběžnou likviditu</w:t>
      </w:r>
      <w:r w:rsidR="6879CBA9">
        <w:t>.</w:t>
      </w:r>
    </w:p>
    <w:p w14:paraId="70D86E25" w14:textId="1CB9A7DF" w:rsidR="49BD2042" w:rsidRDefault="49BD2042" w:rsidP="49BD2042">
      <w:pPr>
        <w:pStyle w:val="Dalodstavce"/>
        <w:ind w:firstLine="0"/>
      </w:pPr>
    </w:p>
    <w:p w14:paraId="49215643" w14:textId="61B71054" w:rsidR="49BD2042" w:rsidRDefault="6D0F3649" w:rsidP="49BD2042">
      <w:pPr>
        <w:pStyle w:val="Dalodstavce"/>
        <w:ind w:firstLine="0"/>
      </w:pPr>
      <w:r>
        <w:t>V</w:t>
      </w:r>
      <w:r w:rsidR="00B91921">
        <w:t> </w:t>
      </w:r>
      <w:r>
        <w:t>tabulce</w:t>
      </w:r>
      <w:r w:rsidR="00B91921">
        <w:t xml:space="preserve"> č. 17</w:t>
      </w:r>
      <w:r w:rsidR="3C395253">
        <w:t xml:space="preserve"> </w:t>
      </w:r>
      <w:r w:rsidR="4477BAAE">
        <w:t xml:space="preserve">jsou vidět </w:t>
      </w:r>
      <w:r w:rsidR="72201677">
        <w:t>výsled</w:t>
      </w:r>
      <w:r w:rsidR="00C03FDA">
        <w:t>k</w:t>
      </w:r>
      <w:r w:rsidR="72201677">
        <w:t xml:space="preserve">y WACC </w:t>
      </w:r>
      <w:r w:rsidR="3E109886">
        <w:t xml:space="preserve">pro podnik </w:t>
      </w:r>
      <w:r w:rsidR="36982B53">
        <w:t>S&amp;K Label.</w:t>
      </w:r>
    </w:p>
    <w:p w14:paraId="6B3D4D75" w14:textId="77777777" w:rsidR="00B91921" w:rsidRDefault="00B91921" w:rsidP="7BB1FCE2">
      <w:pPr>
        <w:pStyle w:val="Dalodstavce"/>
        <w:ind w:firstLine="0"/>
      </w:pPr>
    </w:p>
    <w:p w14:paraId="2B43DB29" w14:textId="77777777" w:rsidR="00B91921" w:rsidRDefault="00B91921" w:rsidP="7BB1FCE2">
      <w:pPr>
        <w:pStyle w:val="Dalodstavce"/>
        <w:ind w:firstLine="0"/>
      </w:pPr>
    </w:p>
    <w:p w14:paraId="1D54BC47" w14:textId="77777777" w:rsidR="00B91921" w:rsidRDefault="00B91921" w:rsidP="7BB1FCE2">
      <w:pPr>
        <w:pStyle w:val="Dalodstavce"/>
        <w:ind w:firstLine="0"/>
      </w:pPr>
    </w:p>
    <w:p w14:paraId="2BC0986A" w14:textId="77777777" w:rsidR="00B91921" w:rsidRDefault="00B91921" w:rsidP="7BB1FCE2">
      <w:pPr>
        <w:pStyle w:val="Dalodstavce"/>
        <w:ind w:firstLine="0"/>
      </w:pPr>
    </w:p>
    <w:p w14:paraId="6C776959" w14:textId="77777777" w:rsidR="00B91921" w:rsidRDefault="00B91921" w:rsidP="7BB1FCE2">
      <w:pPr>
        <w:pStyle w:val="Dalodstavce"/>
        <w:ind w:firstLine="0"/>
      </w:pPr>
    </w:p>
    <w:p w14:paraId="06998C01" w14:textId="77777777" w:rsidR="00B91921" w:rsidRDefault="00B91921" w:rsidP="7BB1FCE2">
      <w:pPr>
        <w:pStyle w:val="Dalodstavce"/>
        <w:ind w:firstLine="0"/>
      </w:pPr>
    </w:p>
    <w:p w14:paraId="315B4BF7" w14:textId="77777777" w:rsidR="00B91921" w:rsidRDefault="00B91921" w:rsidP="7BB1FCE2">
      <w:pPr>
        <w:pStyle w:val="Dalodstavce"/>
        <w:ind w:firstLine="0"/>
      </w:pPr>
    </w:p>
    <w:p w14:paraId="4899419A" w14:textId="77777777" w:rsidR="00B91921" w:rsidRDefault="00B91921" w:rsidP="7BB1FCE2">
      <w:pPr>
        <w:pStyle w:val="Dalodstavce"/>
        <w:ind w:firstLine="0"/>
      </w:pPr>
    </w:p>
    <w:p w14:paraId="19DD1D6D" w14:textId="77777777" w:rsidR="00B91921" w:rsidRDefault="00B91921" w:rsidP="7BB1FCE2">
      <w:pPr>
        <w:pStyle w:val="Dalodstavce"/>
        <w:ind w:firstLine="0"/>
      </w:pPr>
    </w:p>
    <w:p w14:paraId="4583CC8B" w14:textId="77777777" w:rsidR="00B91921" w:rsidRDefault="00B91921" w:rsidP="7BB1FCE2">
      <w:pPr>
        <w:pStyle w:val="Dalodstavce"/>
        <w:ind w:firstLine="0"/>
      </w:pPr>
    </w:p>
    <w:p w14:paraId="22780C0F" w14:textId="77777777" w:rsidR="00B91921" w:rsidRDefault="00B91921" w:rsidP="7BB1FCE2">
      <w:pPr>
        <w:pStyle w:val="Dalodstavce"/>
        <w:ind w:firstLine="0"/>
      </w:pPr>
    </w:p>
    <w:p w14:paraId="47583083" w14:textId="77777777" w:rsidR="00C03FDA" w:rsidRDefault="00C03FDA" w:rsidP="7BB1FCE2">
      <w:pPr>
        <w:pStyle w:val="Dalodstavce"/>
        <w:ind w:firstLine="0"/>
      </w:pPr>
    </w:p>
    <w:p w14:paraId="73308BFC" w14:textId="7AED83FB" w:rsidR="00B91921" w:rsidRDefault="00B91921" w:rsidP="0053372B">
      <w:pPr>
        <w:pStyle w:val="Titulektabulky"/>
      </w:pPr>
      <w:bookmarkStart w:id="64" w:name="_Toc133180303"/>
      <w:r>
        <w:t>Tabulk</w:t>
      </w:r>
      <w:r w:rsidR="00C03FDA">
        <w:t>a</w:t>
      </w:r>
      <w:r>
        <w:t xml:space="preserve"> č. 17: </w:t>
      </w:r>
      <w:r w:rsidR="00C03FDA">
        <w:t>Výpočet WACC</w:t>
      </w:r>
      <w:bookmarkEnd w:id="64"/>
    </w:p>
    <w:p w14:paraId="1C37C849" w14:textId="356E8050" w:rsidR="6891B4C7" w:rsidRDefault="6891B4C7" w:rsidP="7BB1FCE2">
      <w:pPr>
        <w:pStyle w:val="Dalodstavce"/>
        <w:ind w:firstLine="0"/>
      </w:pPr>
      <w:r>
        <w:rPr>
          <w:noProof/>
        </w:rPr>
        <w:drawing>
          <wp:inline distT="0" distB="0" distL="0" distR="0" wp14:anchorId="67030070" wp14:editId="07E27E30">
            <wp:extent cx="4572000" cy="2352675"/>
            <wp:effectExtent l="0" t="0" r="0" b="0"/>
            <wp:docPr id="1186732999" name="Obrázek 118673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14:paraId="4D975532" w14:textId="71CCE8D5" w:rsidR="5E6E0A1E" w:rsidRDefault="00C03FDA" w:rsidP="00C03FDA">
      <w:pPr>
        <w:pStyle w:val="pramen"/>
      </w:pPr>
      <w:r w:rsidRPr="00C03FDA">
        <w:t>Zdroj: Vlastní zpracování</w:t>
      </w:r>
    </w:p>
    <w:p w14:paraId="6EF0918A" w14:textId="154970DD" w:rsidR="53D2CD6D" w:rsidRDefault="13B415E8" w:rsidP="53D2CD6D">
      <w:pPr>
        <w:pStyle w:val="Dalodstavce"/>
        <w:ind w:firstLine="0"/>
      </w:pPr>
      <w:r>
        <w:t xml:space="preserve">Hodnota nákladů na kapitál společnosti, zjišťovaná WACC, vykazuje v průběhu jednotlivých let výrazné fluktuace. V roce </w:t>
      </w:r>
      <w:r w:rsidR="27281A5B">
        <w:t>2020</w:t>
      </w:r>
      <w:r>
        <w:t xml:space="preserve"> dosáhla nejnižší úrovně nákladů, konkrétně </w:t>
      </w:r>
      <w:r w:rsidR="1594DD38">
        <w:t>13,7</w:t>
      </w:r>
      <w:r>
        <w:t xml:space="preserve"> %. Naopak v roce</w:t>
      </w:r>
      <w:r w:rsidR="102ACC4F">
        <w:t xml:space="preserve"> </w:t>
      </w:r>
      <w:r w:rsidR="114C88E3">
        <w:t>2018</w:t>
      </w:r>
      <w:r>
        <w:t xml:space="preserve"> se náklady na kapitál dostaly na své </w:t>
      </w:r>
      <w:r w:rsidR="00C03FDA">
        <w:t>maximum,</w:t>
      </w:r>
      <w:r>
        <w:t xml:space="preserve"> a to na úrovni </w:t>
      </w:r>
      <w:r w:rsidR="09E8557C">
        <w:t>20,7</w:t>
      </w:r>
      <w:r>
        <w:t xml:space="preserve"> %. Při sledování vývoje WACC v čase je zjevné, že na jeho fluktuaci má největší vliv přirážka za riziko finanční nestability (označovaná jako "</w:t>
      </w:r>
      <w:r w:rsidR="3A5EAFC3">
        <w:t>r(</w:t>
      </w:r>
      <w:r w:rsidR="02F7DCEE">
        <w:t>FinStab)")</w:t>
      </w:r>
      <w:r w:rsidR="78CACC6A">
        <w:t xml:space="preserve"> </w:t>
      </w:r>
      <w:r w:rsidR="437BD6FC">
        <w:t>a přirážka za riziko</w:t>
      </w:r>
      <w:r w:rsidR="72435EA8">
        <w:t xml:space="preserve"> </w:t>
      </w:r>
      <w:r w:rsidR="507F382A">
        <w:t>velikosti podniku</w:t>
      </w:r>
      <w:r w:rsidR="3D678C9B">
        <w:t xml:space="preserve"> (označovaná jako "</w:t>
      </w:r>
      <w:r w:rsidR="28584F3F">
        <w:t>r(</w:t>
      </w:r>
      <w:r w:rsidR="3A5EAFC3">
        <w:t>podnik</w:t>
      </w:r>
      <w:r w:rsidR="7B514348">
        <w:t xml:space="preserve">.)"). </w:t>
      </w:r>
      <w:r w:rsidR="44C2D65D">
        <w:t>Je tomu tak, protože mají</w:t>
      </w:r>
      <w:r>
        <w:t xml:space="preserve"> největší váhu v rámci součástí</w:t>
      </w:r>
      <w:r w:rsidR="0DC8367D">
        <w:t xml:space="preserve"> </w:t>
      </w:r>
      <w:r w:rsidR="3666A284">
        <w:t>WACC.</w:t>
      </w:r>
      <w:r>
        <w:t xml:space="preserve"> Vývoj hodnoty WACC a jeho jednotlivých složek v průběhu času je vizualizován na následujícím grafu.</w:t>
      </w:r>
    </w:p>
    <w:p w14:paraId="15F9AF41" w14:textId="58C49589" w:rsidR="53D2CD6D" w:rsidRDefault="53D2CD6D" w:rsidP="53D2CD6D">
      <w:pPr>
        <w:pStyle w:val="Dalodstavce"/>
        <w:ind w:firstLine="0"/>
      </w:pPr>
    </w:p>
    <w:p w14:paraId="1642CD15" w14:textId="6DD31A11" w:rsidR="53D2CD6D" w:rsidRDefault="00C03FDA" w:rsidP="00C03FDA">
      <w:pPr>
        <w:pStyle w:val="Titulekgraf"/>
      </w:pPr>
      <w:bookmarkStart w:id="65" w:name="_Toc133180317"/>
      <w:r>
        <w:lastRenderedPageBreak/>
        <w:t>Graf č. 7: Vývoj WACC</w:t>
      </w:r>
      <w:bookmarkEnd w:id="65"/>
    </w:p>
    <w:p w14:paraId="1DC5949F" w14:textId="2193AC2B" w:rsidR="72F0FBBC" w:rsidRDefault="5E6E0A1E" w:rsidP="72F0FBBC">
      <w:pPr>
        <w:pStyle w:val="Dalodstavce"/>
        <w:ind w:firstLine="0"/>
      </w:pPr>
      <w:r>
        <w:rPr>
          <w:noProof/>
        </w:rPr>
        <w:drawing>
          <wp:inline distT="0" distB="0" distL="0" distR="0" wp14:anchorId="5EF0FF6A" wp14:editId="09ED2392">
            <wp:extent cx="4572000" cy="2752725"/>
            <wp:effectExtent l="0" t="0" r="0" b="0"/>
            <wp:docPr id="226030546" name="Obrázek 22603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4C29D82" w14:textId="68363AAD" w:rsidR="6891B4C7" w:rsidRDefault="00C03FDA" w:rsidP="00C03FDA">
      <w:pPr>
        <w:pStyle w:val="pramen"/>
      </w:pPr>
      <w:r>
        <w:t xml:space="preserve">Zdroj: Vlastní zpracování </w:t>
      </w:r>
    </w:p>
    <w:p w14:paraId="365CA8C4" w14:textId="4BF8755D" w:rsidR="00A0317B" w:rsidRPr="00A0317B" w:rsidRDefault="71477C59" w:rsidP="46FF2C48">
      <w:pPr>
        <w:pStyle w:val="Dalodstavce"/>
        <w:ind w:firstLine="0"/>
      </w:pPr>
      <w:r>
        <w:t xml:space="preserve">Z grafu je patrné že </w:t>
      </w:r>
      <w:r w:rsidR="74ACB215">
        <w:t xml:space="preserve">v roce 2018 přispěly </w:t>
      </w:r>
      <w:r w:rsidR="167A59B1">
        <w:t xml:space="preserve">všechny části modelu, ke </w:t>
      </w:r>
      <w:r w:rsidR="2880BA35">
        <w:t>zvýšení WACC</w:t>
      </w:r>
      <w:r w:rsidR="5FCE31DC">
        <w:t xml:space="preserve"> a</w:t>
      </w:r>
      <w:r w:rsidR="4ABEF480">
        <w:t xml:space="preserve"> na pokles v roce 2020 měly</w:t>
      </w:r>
      <w:r w:rsidR="459749D5">
        <w:t xml:space="preserve"> </w:t>
      </w:r>
      <w:r w:rsidR="596E0020">
        <w:t xml:space="preserve">největší vliv </w:t>
      </w:r>
      <w:r w:rsidR="66B6583D">
        <w:t>přirážka za riziko finanční nestability (označovaná jako "r(FinStab)") a přirážka za riziko velikosti podniku (označovaná jako "r(podnik</w:t>
      </w:r>
      <w:r w:rsidR="1750C662">
        <w:t>.)").</w:t>
      </w:r>
      <w:r w:rsidR="543FFC81">
        <w:t xml:space="preserve"> </w:t>
      </w:r>
      <w:r w:rsidR="00450395">
        <w:t>L</w:t>
      </w:r>
      <w:r w:rsidR="4D47FC0F">
        <w:t xml:space="preserve">ze tedy předpokládat, že případným zlepšením hodnoty běžné likvidity </w:t>
      </w:r>
      <w:r w:rsidR="4BCA7E0F">
        <w:t xml:space="preserve">a </w:t>
      </w:r>
      <w:r w:rsidR="33218591">
        <w:t xml:space="preserve">produkční síly </w:t>
      </w:r>
      <w:r w:rsidR="4D47FC0F">
        <w:t xml:space="preserve">by podnik v budoucnu </w:t>
      </w:r>
      <w:r w:rsidR="33218591">
        <w:t xml:space="preserve">mohl </w:t>
      </w:r>
      <w:r w:rsidR="46FF2C48">
        <w:t>dosáhnout</w:t>
      </w:r>
      <w:r w:rsidR="4D47FC0F">
        <w:t xml:space="preserve"> znatelného snížení hodnoty nákladů na kapitál.</w:t>
      </w:r>
    </w:p>
    <w:p w14:paraId="591374BD" w14:textId="77777777" w:rsidR="00191452" w:rsidRPr="00191452" w:rsidRDefault="00191452" w:rsidP="00191452">
      <w:pPr>
        <w:pStyle w:val="Odstavec1"/>
      </w:pPr>
    </w:p>
    <w:p w14:paraId="4C03B2F3" w14:textId="77777777" w:rsidR="00191452" w:rsidRPr="00191452" w:rsidRDefault="00191452" w:rsidP="00191452">
      <w:pPr>
        <w:pStyle w:val="Odstavec1"/>
      </w:pPr>
    </w:p>
    <w:p w14:paraId="7A3ADAD8" w14:textId="66C09878" w:rsidR="009D3C27" w:rsidRDefault="006731D6" w:rsidP="000D20C7">
      <w:pPr>
        <w:pStyle w:val="Nadpis1"/>
      </w:pPr>
      <w:bookmarkStart w:id="66" w:name="_Toc132567266"/>
      <w:r>
        <w:lastRenderedPageBreak/>
        <w:t>Ekonom</w:t>
      </w:r>
      <w:r w:rsidR="000D20C7">
        <w:t>ická přidaná hodnota (EVA)</w:t>
      </w:r>
      <w:bookmarkEnd w:id="66"/>
    </w:p>
    <w:p w14:paraId="51AE702F" w14:textId="0FE12AD1" w:rsidR="000D20C7" w:rsidRDefault="00A0484F" w:rsidP="000D20C7">
      <w:pPr>
        <w:pStyle w:val="Odstavec1"/>
      </w:pPr>
      <w:r>
        <w:t xml:space="preserve">Ukazatel </w:t>
      </w:r>
      <w:r w:rsidR="00326D26">
        <w:t xml:space="preserve">ekonomické přidané hodnoty </w:t>
      </w:r>
      <w:r w:rsidR="00D72A7D">
        <w:t xml:space="preserve">(EVA) </w:t>
      </w:r>
      <w:r w:rsidR="00BF1ABE">
        <w:t>byl vyvinut podnikem Stern Stewart</w:t>
      </w:r>
      <w:r w:rsidR="0040023E">
        <w:t xml:space="preserve"> </w:t>
      </w:r>
      <w:r w:rsidR="0040023E" w:rsidRPr="0040023E">
        <w:t>&amp;</w:t>
      </w:r>
      <w:r w:rsidR="0040023E">
        <w:t xml:space="preserve"> Co. </w:t>
      </w:r>
      <w:r w:rsidR="008C5137">
        <w:t xml:space="preserve">během 90. let </w:t>
      </w:r>
      <w:r w:rsidR="00CD0C70">
        <w:t>a je používán k</w:t>
      </w:r>
      <w:r w:rsidR="00A51CD5">
        <w:t xml:space="preserve"> měření tvorby hodnoty firmy. </w:t>
      </w:r>
      <w:r w:rsidR="008278C5">
        <w:t>Princip to</w:t>
      </w:r>
      <w:r w:rsidR="009F63CC">
        <w:t>h</w:t>
      </w:r>
      <w:r w:rsidR="008278C5">
        <w:t>ot</w:t>
      </w:r>
      <w:r w:rsidR="009F63CC">
        <w:t>o</w:t>
      </w:r>
      <w:r w:rsidR="008278C5">
        <w:t xml:space="preserve"> ukazatele je založen na měření </w:t>
      </w:r>
      <w:r w:rsidR="009F63CC">
        <w:t>r</w:t>
      </w:r>
      <w:r w:rsidR="00C7390A">
        <w:t>eziduálního příjmu (</w:t>
      </w:r>
      <w:r w:rsidR="00112A93">
        <w:t>výnosy kapitálu – náklady kapitálu)</w:t>
      </w:r>
      <w:r w:rsidR="00DB1428">
        <w:t xml:space="preserve"> vyjádřeného v korunách (Kubíčková a Jindřichovská, 2014, str. 304)</w:t>
      </w:r>
      <w:r w:rsidR="00112A93">
        <w:t>.</w:t>
      </w:r>
      <w:r w:rsidR="003718CF">
        <w:t xml:space="preserve"> </w:t>
      </w:r>
      <w:r w:rsidR="00112A93">
        <w:t xml:space="preserve"> Z tohoto také vychází vzorec užívaný pro výpočet</w:t>
      </w:r>
      <w:r w:rsidR="004E33E3">
        <w:t>:</w:t>
      </w:r>
    </w:p>
    <w:p w14:paraId="08213941" w14:textId="0A3C7B24" w:rsidR="004E33E3" w:rsidRPr="00E831EB" w:rsidRDefault="004E33E3" w:rsidP="004E33E3">
      <w:pPr>
        <w:pStyle w:val="Dalodstavce"/>
      </w:pPr>
      <m:oMathPara>
        <m:oMath>
          <m:r>
            <w:rPr>
              <w:rFonts w:ascii="Cambria Math" w:hAnsi="Cambria Math"/>
            </w:rPr>
            <m:t>EVA=NOPAT-(C*WACC)</m:t>
          </m:r>
        </m:oMath>
      </m:oMathPara>
    </w:p>
    <w:p w14:paraId="5D387DBB" w14:textId="77777777" w:rsidR="00E831EB" w:rsidRPr="004E33E3" w:rsidRDefault="00E831EB" w:rsidP="004E33E3">
      <w:pPr>
        <w:pStyle w:val="Dalodstavce"/>
      </w:pPr>
    </w:p>
    <w:p w14:paraId="46CB7318" w14:textId="4ECDA54A" w:rsidR="009D3C27" w:rsidRDefault="00E831EB" w:rsidP="00603FE4">
      <w:pPr>
        <w:pStyle w:val="Odstavec1"/>
      </w:pPr>
      <w:r>
        <w:t xml:space="preserve">Ukazatel </w:t>
      </w:r>
      <w:r w:rsidR="004B0F4F">
        <w:t>č</w:t>
      </w:r>
      <w:r>
        <w:t>i</w:t>
      </w:r>
      <w:r w:rsidR="004B0F4F">
        <w:t xml:space="preserve">stého provozního zisku (NOPAT) </w:t>
      </w:r>
      <w:r w:rsidR="00E42E3D">
        <w:t xml:space="preserve">v sobě zahrnuje </w:t>
      </w:r>
      <w:r w:rsidR="00D7741B">
        <w:t xml:space="preserve">výsledky hlavní činnosti podniku. Lze ji </w:t>
      </w:r>
      <w:r w:rsidR="00B207A5">
        <w:t>získat postupem popsaným v tabulce č.</w:t>
      </w:r>
      <w:r w:rsidR="00C03FDA">
        <w:t xml:space="preserve"> 18</w:t>
      </w:r>
    </w:p>
    <w:p w14:paraId="62277CE4" w14:textId="19EAAA5A" w:rsidR="00E831EB" w:rsidRPr="00E831EB" w:rsidRDefault="00E831EB" w:rsidP="0053372B">
      <w:pPr>
        <w:pStyle w:val="Titulektabulky"/>
      </w:pPr>
      <w:bookmarkStart w:id="67" w:name="_Toc133180304"/>
      <w:r>
        <w:t>Tabulka č</w:t>
      </w:r>
      <w:r w:rsidR="00FF6661">
        <w:t>. 18:</w:t>
      </w:r>
      <w:r>
        <w:t xml:space="preserve"> Výpočet ukazatele NOPAT</w:t>
      </w:r>
      <w:bookmarkEnd w:id="67"/>
    </w:p>
    <w:tbl>
      <w:tblPr>
        <w:tblStyle w:val="Mkatabulky"/>
        <w:tblW w:w="7366" w:type="dxa"/>
        <w:tblLook w:val="04A0" w:firstRow="1" w:lastRow="0" w:firstColumn="1" w:lastColumn="0" w:noHBand="0" w:noVBand="1"/>
      </w:tblPr>
      <w:tblGrid>
        <w:gridCol w:w="706"/>
        <w:gridCol w:w="6622"/>
        <w:gridCol w:w="38"/>
      </w:tblGrid>
      <w:tr w:rsidR="00643F28" w14:paraId="09CDBF04" w14:textId="77777777" w:rsidTr="002B14A2">
        <w:trPr>
          <w:cnfStyle w:val="100000000000" w:firstRow="1" w:lastRow="0" w:firstColumn="0" w:lastColumn="0" w:oddVBand="0" w:evenVBand="0" w:oddHBand="0" w:evenHBand="0" w:firstRowFirstColumn="0" w:firstRowLastColumn="0" w:lastRowFirstColumn="0" w:lastRowLastColumn="0"/>
        </w:trPr>
        <w:tc>
          <w:tcPr>
            <w:tcW w:w="7366" w:type="dxa"/>
            <w:gridSpan w:val="3"/>
          </w:tcPr>
          <w:p w14:paraId="4D567B87" w14:textId="4DD248DF" w:rsidR="00643F28" w:rsidRPr="00FF6661" w:rsidRDefault="00643F28"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 xml:space="preserve">Provozní výsledek hospodaření po odpisech </w:t>
            </w:r>
          </w:p>
        </w:tc>
      </w:tr>
      <w:tr w:rsidR="000F482F" w14:paraId="7D2041D5" w14:textId="77777777" w:rsidTr="000F482F">
        <w:trPr>
          <w:gridAfter w:val="1"/>
          <w:wAfter w:w="38" w:type="dxa"/>
        </w:trPr>
        <w:tc>
          <w:tcPr>
            <w:tcW w:w="709" w:type="dxa"/>
          </w:tcPr>
          <w:p w14:paraId="3525AF2E" w14:textId="506975AB" w:rsidR="000F482F" w:rsidRDefault="000B4222" w:rsidP="00B207A5">
            <w:pPr>
              <w:pStyle w:val="Dalodstavce"/>
              <w:ind w:firstLine="0"/>
            </w:pPr>
            <w:r>
              <w:t>+</w:t>
            </w:r>
          </w:p>
        </w:tc>
        <w:tc>
          <w:tcPr>
            <w:tcW w:w="6657" w:type="dxa"/>
          </w:tcPr>
          <w:p w14:paraId="01BE506E" w14:textId="182643CF" w:rsidR="000F482F" w:rsidRPr="00FF6661" w:rsidRDefault="000B4222"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Placené úroky na operační leasing</w:t>
            </w:r>
          </w:p>
        </w:tc>
      </w:tr>
      <w:tr w:rsidR="000F482F" w14:paraId="6FAD5771" w14:textId="77777777" w:rsidTr="000F482F">
        <w:trPr>
          <w:gridAfter w:val="1"/>
          <w:wAfter w:w="38" w:type="dxa"/>
        </w:trPr>
        <w:tc>
          <w:tcPr>
            <w:tcW w:w="709" w:type="dxa"/>
          </w:tcPr>
          <w:p w14:paraId="598A7939" w14:textId="32FC1C9A" w:rsidR="000F482F" w:rsidRDefault="000B4222" w:rsidP="00B207A5">
            <w:pPr>
              <w:pStyle w:val="Dalodstavce"/>
              <w:ind w:firstLine="0"/>
            </w:pPr>
            <w:r>
              <w:t>+</w:t>
            </w:r>
          </w:p>
        </w:tc>
        <w:tc>
          <w:tcPr>
            <w:tcW w:w="6657" w:type="dxa"/>
          </w:tcPr>
          <w:p w14:paraId="30595F64" w14:textId="628C3B01" w:rsidR="000F482F" w:rsidRPr="00FF6661" w:rsidRDefault="000B4222"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 xml:space="preserve">Nárůst zásob </w:t>
            </w:r>
            <w:r w:rsidR="00833F67" w:rsidRPr="00FF6661">
              <w:rPr>
                <w:rFonts w:asciiTheme="majorHAnsi" w:hAnsiTheme="majorHAnsi" w:cstheme="majorHAnsi"/>
                <w:sz w:val="20"/>
                <w:szCs w:val="20"/>
              </w:rPr>
              <w:t>při účtování metodou LIFO</w:t>
            </w:r>
          </w:p>
        </w:tc>
      </w:tr>
      <w:tr w:rsidR="000F482F" w14:paraId="28D23CA6" w14:textId="77777777" w:rsidTr="000F482F">
        <w:trPr>
          <w:gridAfter w:val="1"/>
          <w:wAfter w:w="38" w:type="dxa"/>
        </w:trPr>
        <w:tc>
          <w:tcPr>
            <w:tcW w:w="709" w:type="dxa"/>
          </w:tcPr>
          <w:p w14:paraId="68007B44" w14:textId="053C84B1" w:rsidR="000F482F" w:rsidRDefault="00833F67" w:rsidP="00B207A5">
            <w:pPr>
              <w:pStyle w:val="Dalodstavce"/>
              <w:ind w:firstLine="0"/>
            </w:pPr>
            <w:r>
              <w:t>+</w:t>
            </w:r>
          </w:p>
        </w:tc>
        <w:tc>
          <w:tcPr>
            <w:tcW w:w="6657" w:type="dxa"/>
          </w:tcPr>
          <w:p w14:paraId="7585CB39" w14:textId="65FCB288" w:rsidR="000F482F" w:rsidRPr="00FF6661" w:rsidRDefault="00833F67"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Odpis goodwillu</w:t>
            </w:r>
          </w:p>
        </w:tc>
      </w:tr>
      <w:tr w:rsidR="000F482F" w14:paraId="57DB150B" w14:textId="77777777" w:rsidTr="000F482F">
        <w:trPr>
          <w:gridAfter w:val="1"/>
          <w:wAfter w:w="38" w:type="dxa"/>
        </w:trPr>
        <w:tc>
          <w:tcPr>
            <w:tcW w:w="709" w:type="dxa"/>
          </w:tcPr>
          <w:p w14:paraId="246D785C" w14:textId="3D548E42" w:rsidR="000F482F" w:rsidRDefault="00833F67" w:rsidP="00B207A5">
            <w:pPr>
              <w:pStyle w:val="Dalodstavce"/>
              <w:ind w:firstLine="0"/>
            </w:pPr>
            <w:r>
              <w:t>+</w:t>
            </w:r>
          </w:p>
        </w:tc>
        <w:tc>
          <w:tcPr>
            <w:tcW w:w="6657" w:type="dxa"/>
          </w:tcPr>
          <w:p w14:paraId="16AF22E9" w14:textId="707CCB50" w:rsidR="000F482F" w:rsidRPr="00FF6661" w:rsidRDefault="00021B69"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Navýšení rezerv na nedobytné pohledávky</w:t>
            </w:r>
          </w:p>
        </w:tc>
      </w:tr>
      <w:tr w:rsidR="000F482F" w14:paraId="0DEA3A7A" w14:textId="77777777" w:rsidTr="000F482F">
        <w:trPr>
          <w:gridAfter w:val="1"/>
          <w:wAfter w:w="38" w:type="dxa"/>
        </w:trPr>
        <w:tc>
          <w:tcPr>
            <w:tcW w:w="709" w:type="dxa"/>
          </w:tcPr>
          <w:p w14:paraId="0AC31D04" w14:textId="012B32B4" w:rsidR="000F482F" w:rsidRDefault="004E67DB" w:rsidP="00B207A5">
            <w:pPr>
              <w:pStyle w:val="Dalodstavce"/>
              <w:ind w:firstLine="0"/>
            </w:pPr>
            <w:r>
              <w:t>+</w:t>
            </w:r>
          </w:p>
        </w:tc>
        <w:tc>
          <w:tcPr>
            <w:tcW w:w="6657" w:type="dxa"/>
          </w:tcPr>
          <w:p w14:paraId="7A3CEA02" w14:textId="61B6F656" w:rsidR="000F482F" w:rsidRPr="00FF6661" w:rsidRDefault="004E67DB"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 xml:space="preserve">Navýšení čistých aktivovaných nákladů na výzkum a vývoj </w:t>
            </w:r>
          </w:p>
        </w:tc>
      </w:tr>
      <w:tr w:rsidR="000F482F" w14:paraId="37C002D3" w14:textId="77777777" w:rsidTr="000F482F">
        <w:trPr>
          <w:gridAfter w:val="1"/>
          <w:wAfter w:w="38" w:type="dxa"/>
        </w:trPr>
        <w:tc>
          <w:tcPr>
            <w:tcW w:w="709" w:type="dxa"/>
          </w:tcPr>
          <w:p w14:paraId="6DD21596" w14:textId="034C975F" w:rsidR="000F482F" w:rsidRDefault="00C277B7" w:rsidP="00B207A5">
            <w:pPr>
              <w:pStyle w:val="Dalodstavce"/>
              <w:ind w:firstLine="0"/>
            </w:pPr>
            <w:r>
              <w:t xml:space="preserve">= </w:t>
            </w:r>
          </w:p>
        </w:tc>
        <w:tc>
          <w:tcPr>
            <w:tcW w:w="6657" w:type="dxa"/>
          </w:tcPr>
          <w:p w14:paraId="2F930F55" w14:textId="1E655665" w:rsidR="000F482F" w:rsidRPr="00FF6661" w:rsidRDefault="008F38EC"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 xml:space="preserve">Upravený výsledek hospodaření před zdaněním </w:t>
            </w:r>
          </w:p>
        </w:tc>
      </w:tr>
      <w:tr w:rsidR="000F482F" w14:paraId="67C0598A" w14:textId="77777777" w:rsidTr="000F482F">
        <w:trPr>
          <w:gridAfter w:val="1"/>
          <w:wAfter w:w="38" w:type="dxa"/>
        </w:trPr>
        <w:tc>
          <w:tcPr>
            <w:tcW w:w="709" w:type="dxa"/>
          </w:tcPr>
          <w:p w14:paraId="5C39356A" w14:textId="6363A431" w:rsidR="000F482F" w:rsidRDefault="003C13B9" w:rsidP="00B207A5">
            <w:pPr>
              <w:pStyle w:val="Dalodstavce"/>
              <w:ind w:firstLine="0"/>
            </w:pPr>
            <w:r>
              <w:t>-</w:t>
            </w:r>
          </w:p>
        </w:tc>
        <w:tc>
          <w:tcPr>
            <w:tcW w:w="6657" w:type="dxa"/>
          </w:tcPr>
          <w:p w14:paraId="19C2F867" w14:textId="44415D07" w:rsidR="000F482F" w:rsidRPr="00FF6661" w:rsidRDefault="00E831EB" w:rsidP="00B207A5">
            <w:pPr>
              <w:pStyle w:val="Dalodstavce"/>
              <w:ind w:firstLine="0"/>
              <w:rPr>
                <w:rFonts w:asciiTheme="majorHAnsi" w:hAnsiTheme="majorHAnsi" w:cstheme="majorHAnsi"/>
                <w:sz w:val="20"/>
                <w:szCs w:val="20"/>
              </w:rPr>
            </w:pPr>
            <w:r w:rsidRPr="00FF6661">
              <w:rPr>
                <w:rFonts w:asciiTheme="majorHAnsi" w:hAnsiTheme="majorHAnsi" w:cstheme="majorHAnsi"/>
                <w:sz w:val="20"/>
                <w:szCs w:val="20"/>
              </w:rPr>
              <w:t>Upravené daně pro potřeby NOPAT</w:t>
            </w:r>
          </w:p>
        </w:tc>
      </w:tr>
      <w:tr w:rsidR="00E831EB" w14:paraId="4F5C31AE" w14:textId="77777777" w:rsidTr="000F482F">
        <w:trPr>
          <w:gridAfter w:val="1"/>
          <w:wAfter w:w="38" w:type="dxa"/>
        </w:trPr>
        <w:tc>
          <w:tcPr>
            <w:tcW w:w="709" w:type="dxa"/>
          </w:tcPr>
          <w:p w14:paraId="1F133910" w14:textId="7CC183E0" w:rsidR="00E831EB" w:rsidRPr="00E831EB" w:rsidRDefault="00E831EB" w:rsidP="00B207A5">
            <w:pPr>
              <w:pStyle w:val="Dalodstavce"/>
              <w:ind w:firstLine="0"/>
              <w:rPr>
                <w:b/>
                <w:bCs/>
              </w:rPr>
            </w:pPr>
            <w:r w:rsidRPr="00E831EB">
              <w:rPr>
                <w:b/>
                <w:bCs/>
              </w:rPr>
              <w:t>=</w:t>
            </w:r>
          </w:p>
        </w:tc>
        <w:tc>
          <w:tcPr>
            <w:tcW w:w="6657" w:type="dxa"/>
          </w:tcPr>
          <w:p w14:paraId="3F80E84A" w14:textId="0DB9E728" w:rsidR="00E831EB" w:rsidRPr="00FF6661" w:rsidRDefault="00E831EB" w:rsidP="00B207A5">
            <w:pPr>
              <w:pStyle w:val="Dalodstavce"/>
              <w:ind w:firstLine="0"/>
              <w:rPr>
                <w:rFonts w:asciiTheme="majorHAnsi" w:hAnsiTheme="majorHAnsi" w:cstheme="majorHAnsi"/>
                <w:b/>
                <w:bCs/>
                <w:sz w:val="20"/>
                <w:szCs w:val="20"/>
              </w:rPr>
            </w:pPr>
            <w:r w:rsidRPr="00FF6661">
              <w:rPr>
                <w:rFonts w:asciiTheme="majorHAnsi" w:hAnsiTheme="majorHAnsi" w:cstheme="majorHAnsi"/>
                <w:b/>
                <w:bCs/>
                <w:sz w:val="20"/>
                <w:szCs w:val="20"/>
              </w:rPr>
              <w:t>NOPAT</w:t>
            </w:r>
          </w:p>
        </w:tc>
      </w:tr>
    </w:tbl>
    <w:p w14:paraId="7E7BC28E" w14:textId="681AD11A" w:rsidR="00B207A5" w:rsidRPr="00B207A5" w:rsidRDefault="00B207A5" w:rsidP="00B207A5">
      <w:pPr>
        <w:pStyle w:val="Dalodstavce"/>
      </w:pPr>
    </w:p>
    <w:p w14:paraId="060B40FB" w14:textId="2E1B2FFE" w:rsidR="00761D2F" w:rsidRDefault="00E831EB" w:rsidP="00FF6661">
      <w:pPr>
        <w:pStyle w:val="pramen"/>
      </w:pPr>
      <w:r>
        <w:t xml:space="preserve">Zdroj: </w:t>
      </w:r>
      <w:r w:rsidR="000D1C7B">
        <w:t>Vlastní zpracování dle K</w:t>
      </w:r>
      <w:r w:rsidR="00C55614">
        <w:t>ubíčková a Jindřichovská</w:t>
      </w:r>
      <w:r w:rsidR="00510104">
        <w:t xml:space="preserve"> (2014? str. 310)</w:t>
      </w:r>
    </w:p>
    <w:p w14:paraId="0508C288" w14:textId="35E0BAFB" w:rsidR="00432803" w:rsidRDefault="0063246B" w:rsidP="00432803">
      <w:pPr>
        <w:pStyle w:val="Dalodstavce"/>
      </w:pPr>
      <w:r>
        <w:t>Pro výpočet EVA je nutné také upravit</w:t>
      </w:r>
      <w:r w:rsidR="00BA436F">
        <w:t xml:space="preserve"> kapitál (C)</w:t>
      </w:r>
      <w:r w:rsidR="00F32962">
        <w:t xml:space="preserve"> a vyloučit </w:t>
      </w:r>
      <w:r w:rsidR="0094434F">
        <w:t>neoperativní aktiva</w:t>
      </w:r>
      <w:r w:rsidR="00C02B6E">
        <w:t xml:space="preserve"> (Kubíčková, Jindřichovská, 2014, str. 309-310)</w:t>
      </w:r>
      <w:r w:rsidR="00432803">
        <w:t xml:space="preserve">: </w:t>
      </w:r>
    </w:p>
    <w:p w14:paraId="1FDA3EA4" w14:textId="143A93CA" w:rsidR="00432803" w:rsidRDefault="00432803" w:rsidP="00432803">
      <w:pPr>
        <w:pStyle w:val="Dalodstavce"/>
        <w:numPr>
          <w:ilvl w:val="0"/>
          <w:numId w:val="27"/>
        </w:numPr>
      </w:pPr>
      <w:r>
        <w:t>Krátkodobý finanční m</w:t>
      </w:r>
      <w:r w:rsidR="008370F2">
        <w:t>a</w:t>
      </w:r>
      <w:r>
        <w:t xml:space="preserve">jetek </w:t>
      </w:r>
    </w:p>
    <w:p w14:paraId="378699BE" w14:textId="125C931D" w:rsidR="008370F2" w:rsidRDefault="008370F2" w:rsidP="00432803">
      <w:pPr>
        <w:pStyle w:val="Dalodstavce"/>
        <w:numPr>
          <w:ilvl w:val="0"/>
          <w:numId w:val="27"/>
        </w:numPr>
      </w:pPr>
      <w:r>
        <w:t>Dlouhodobý finanční majetek</w:t>
      </w:r>
    </w:p>
    <w:p w14:paraId="070143AF" w14:textId="3CCB1541" w:rsidR="008370F2" w:rsidRDefault="006D76ED" w:rsidP="00432803">
      <w:pPr>
        <w:pStyle w:val="Dalodstavce"/>
        <w:numPr>
          <w:ilvl w:val="0"/>
          <w:numId w:val="27"/>
        </w:numPr>
      </w:pPr>
      <w:r>
        <w:t>Vlastní akcie</w:t>
      </w:r>
    </w:p>
    <w:p w14:paraId="7A161A18" w14:textId="12AFCEC6" w:rsidR="006D76ED" w:rsidRDefault="006D76ED" w:rsidP="00432803">
      <w:pPr>
        <w:pStyle w:val="Dalodstavce"/>
        <w:numPr>
          <w:ilvl w:val="0"/>
          <w:numId w:val="27"/>
        </w:numPr>
      </w:pPr>
      <w:r>
        <w:t>Nedokončené investice</w:t>
      </w:r>
    </w:p>
    <w:p w14:paraId="69876594" w14:textId="733E0472" w:rsidR="00757E30" w:rsidRDefault="006D76ED" w:rsidP="00432803">
      <w:pPr>
        <w:pStyle w:val="Dalodstavce"/>
        <w:numPr>
          <w:ilvl w:val="0"/>
          <w:numId w:val="27"/>
        </w:numPr>
      </w:pPr>
      <w:r>
        <w:t>Jiná aktiva nepotřebná k operační činnosti</w:t>
      </w:r>
    </w:p>
    <w:p w14:paraId="4516BC69" w14:textId="470EEBCB" w:rsidR="00757E30" w:rsidRDefault="00703E57">
      <w:r>
        <w:t>Následující tabulka č. 19 obsahuje vypočítané hodnoty EVA a EVA entity pro podnik S</w:t>
      </w:r>
      <w:r w:rsidR="009301CF" w:rsidRPr="009301CF">
        <w:t>&amp;</w:t>
      </w:r>
      <w:r w:rsidR="009301CF">
        <w:t xml:space="preserve">K Label ve zkoumaném období. Vzhledem k nedostatečnému </w:t>
      </w:r>
      <w:r w:rsidR="00FE12F5">
        <w:t xml:space="preserve">bližšímu </w:t>
      </w:r>
      <w:r w:rsidR="009301CF">
        <w:t xml:space="preserve">vhledu do podniku </w:t>
      </w:r>
      <w:r w:rsidR="00FE12F5">
        <w:t xml:space="preserve">nejsou hodnoty NOPAT a C upraveny přesně podle teorie, jelikož jsme k velkému množství informací nad rámec veřejných neměly přístup. I tak si ovšem myslíme, že </w:t>
      </w:r>
      <w:r w:rsidR="00D31D56">
        <w:t xml:space="preserve">hodnoty </w:t>
      </w:r>
      <w:r w:rsidR="00D31D56">
        <w:lastRenderedPageBreak/>
        <w:t xml:space="preserve">mohou být pro analýzu využitelné vzhledem k jasným téměř nehraničním </w:t>
      </w:r>
      <w:r w:rsidR="00322CB2">
        <w:t>výsledkům</w:t>
      </w:r>
      <w:r w:rsidR="00D31D56">
        <w:t>.</w:t>
      </w:r>
    </w:p>
    <w:p w14:paraId="43396404" w14:textId="2D1611E5" w:rsidR="00432803" w:rsidRDefault="00FF6661" w:rsidP="0053372B">
      <w:pPr>
        <w:pStyle w:val="Titulektabulky"/>
      </w:pPr>
      <w:bookmarkStart w:id="68" w:name="_Toc133180305"/>
      <w:r>
        <w:t>Tabulka č. 19: Výpočet EVA</w:t>
      </w:r>
      <w:bookmarkEnd w:id="68"/>
      <w:r>
        <w:t xml:space="preserve"> </w:t>
      </w:r>
    </w:p>
    <w:tbl>
      <w:tblPr>
        <w:tblW w:w="0" w:type="auto"/>
        <w:tblLayout w:type="fixed"/>
        <w:tblCellMar>
          <w:left w:w="0" w:type="dxa"/>
          <w:right w:w="0" w:type="dxa"/>
        </w:tblCellMar>
        <w:tblLook w:val="04A0" w:firstRow="1" w:lastRow="0" w:firstColumn="1" w:lastColumn="0" w:noHBand="0" w:noVBand="1"/>
      </w:tblPr>
      <w:tblGrid>
        <w:gridCol w:w="1225"/>
        <w:gridCol w:w="1225"/>
        <w:gridCol w:w="1225"/>
        <w:gridCol w:w="1225"/>
        <w:gridCol w:w="1225"/>
        <w:gridCol w:w="1225"/>
      </w:tblGrid>
      <w:tr w:rsidR="00757E30" w:rsidRPr="0065191E" w14:paraId="2D1D9CDE" w14:textId="77777777" w:rsidTr="00757E30">
        <w:trPr>
          <w:trHeight w:val="315"/>
        </w:trPr>
        <w:tc>
          <w:tcPr>
            <w:tcW w:w="122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C6BDDB" w14:textId="77777777" w:rsidR="0065191E" w:rsidRPr="0065191E" w:rsidRDefault="0065191E" w:rsidP="0065191E">
            <w:pPr>
              <w:rPr>
                <w:rFonts w:ascii="Times New Roman" w:hAnsi="Times New Roman"/>
                <w:sz w:val="18"/>
                <w:szCs w:val="18"/>
              </w:rPr>
            </w:pPr>
          </w:p>
        </w:tc>
        <w:tc>
          <w:tcPr>
            <w:tcW w:w="12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6E4724" w14:textId="77777777"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2017</w:t>
            </w:r>
          </w:p>
        </w:tc>
        <w:tc>
          <w:tcPr>
            <w:tcW w:w="12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ABD59F" w14:textId="77777777"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2018</w:t>
            </w:r>
          </w:p>
        </w:tc>
        <w:tc>
          <w:tcPr>
            <w:tcW w:w="12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EE84F" w14:textId="77777777"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2019</w:t>
            </w:r>
          </w:p>
        </w:tc>
        <w:tc>
          <w:tcPr>
            <w:tcW w:w="12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931DB4" w14:textId="77777777"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2020</w:t>
            </w:r>
          </w:p>
        </w:tc>
        <w:tc>
          <w:tcPr>
            <w:tcW w:w="12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757BD" w14:textId="77777777"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2021</w:t>
            </w:r>
          </w:p>
        </w:tc>
      </w:tr>
      <w:tr w:rsidR="00757E30" w:rsidRPr="0065191E" w14:paraId="2B6701DD"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17B4C2" w14:textId="77777777" w:rsidR="0065191E" w:rsidRPr="0065191E" w:rsidRDefault="0065191E" w:rsidP="0065191E">
            <w:pPr>
              <w:rPr>
                <w:rFonts w:ascii="Arial" w:hAnsi="Arial" w:cs="Arial"/>
                <w:sz w:val="18"/>
                <w:szCs w:val="18"/>
              </w:rPr>
            </w:pPr>
            <w:r w:rsidRPr="0065191E">
              <w:rPr>
                <w:rFonts w:ascii="Arial" w:hAnsi="Arial" w:cs="Arial"/>
                <w:sz w:val="18"/>
                <w:szCs w:val="18"/>
              </w:rPr>
              <w:t xml:space="preserve">NOPAT </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E5495"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15851,7</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FDDBB"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6905,25</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9FD50"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12238,29</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7D09D"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24148,53</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AD5C0"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35136,99</w:t>
            </w:r>
          </w:p>
        </w:tc>
      </w:tr>
      <w:tr w:rsidR="00757E30" w:rsidRPr="0065191E" w14:paraId="291F2E5C"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BF5055" w14:textId="77777777" w:rsidR="0065191E" w:rsidRPr="0065191E" w:rsidRDefault="0065191E" w:rsidP="0065191E">
            <w:pPr>
              <w:rPr>
                <w:rFonts w:ascii="Arial" w:hAnsi="Arial" w:cs="Arial"/>
                <w:sz w:val="18"/>
                <w:szCs w:val="18"/>
              </w:rPr>
            </w:pPr>
            <w:r w:rsidRPr="0065191E">
              <w:rPr>
                <w:rFonts w:ascii="Arial" w:hAnsi="Arial" w:cs="Arial"/>
                <w:sz w:val="18"/>
                <w:szCs w:val="18"/>
              </w:rPr>
              <w:t>C</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98693"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142861</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C89FE"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190375</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6D83F"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169067</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92D635"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178247</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089B1"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193 835</w:t>
            </w:r>
          </w:p>
        </w:tc>
      </w:tr>
      <w:tr w:rsidR="00757E30" w:rsidRPr="0065191E" w14:paraId="3C7C7671"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4237D8" w14:textId="77777777" w:rsidR="0065191E" w:rsidRPr="0065191E" w:rsidRDefault="0065191E" w:rsidP="0065191E">
            <w:pPr>
              <w:rPr>
                <w:rFonts w:ascii="Arial" w:hAnsi="Arial" w:cs="Arial"/>
                <w:sz w:val="18"/>
                <w:szCs w:val="18"/>
              </w:rPr>
            </w:pPr>
            <w:r w:rsidRPr="0065191E">
              <w:rPr>
                <w:rFonts w:ascii="Arial" w:hAnsi="Arial" w:cs="Arial"/>
                <w:sz w:val="18"/>
                <w:szCs w:val="18"/>
              </w:rPr>
              <w:t>WACC</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652AB2" w14:textId="06F8D54D" w:rsidR="0065191E" w:rsidRPr="0065191E" w:rsidRDefault="0065191E" w:rsidP="0065191E">
            <w:pPr>
              <w:jc w:val="right"/>
              <w:rPr>
                <w:rFonts w:ascii="Arial" w:hAnsi="Arial" w:cs="Arial"/>
                <w:sz w:val="18"/>
                <w:szCs w:val="18"/>
              </w:rPr>
            </w:pPr>
            <w:r w:rsidRPr="0065191E">
              <w:rPr>
                <w:rFonts w:ascii="Arial" w:hAnsi="Arial" w:cs="Arial"/>
                <w:sz w:val="18"/>
                <w:szCs w:val="18"/>
              </w:rPr>
              <w:t>0,155</w:t>
            </w:r>
            <w:r w:rsidR="00BB6A01" w:rsidRPr="00475905">
              <w:rPr>
                <w:rFonts w:ascii="Arial" w:hAnsi="Arial" w:cs="Arial"/>
                <w:sz w:val="18"/>
                <w:szCs w:val="18"/>
              </w:rPr>
              <w:t>4</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39E3E" w14:textId="057CEEB4" w:rsidR="0065191E" w:rsidRPr="0065191E" w:rsidRDefault="0065191E" w:rsidP="0065191E">
            <w:pPr>
              <w:jc w:val="right"/>
              <w:rPr>
                <w:rFonts w:ascii="Arial" w:hAnsi="Arial" w:cs="Arial"/>
                <w:sz w:val="18"/>
                <w:szCs w:val="18"/>
              </w:rPr>
            </w:pPr>
            <w:r w:rsidRPr="0065191E">
              <w:rPr>
                <w:rFonts w:ascii="Arial" w:hAnsi="Arial" w:cs="Arial"/>
                <w:sz w:val="18"/>
                <w:szCs w:val="18"/>
              </w:rPr>
              <w:t>0,2066</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A977B" w14:textId="0A40E79A" w:rsidR="0065191E" w:rsidRPr="0065191E" w:rsidRDefault="0065191E" w:rsidP="0065191E">
            <w:pPr>
              <w:jc w:val="right"/>
              <w:rPr>
                <w:rFonts w:ascii="Arial" w:hAnsi="Arial" w:cs="Arial"/>
                <w:sz w:val="18"/>
                <w:szCs w:val="18"/>
              </w:rPr>
            </w:pPr>
            <w:r w:rsidRPr="0065191E">
              <w:rPr>
                <w:rFonts w:ascii="Arial" w:hAnsi="Arial" w:cs="Arial"/>
                <w:sz w:val="18"/>
                <w:szCs w:val="18"/>
              </w:rPr>
              <w:t>0,166</w:t>
            </w:r>
            <w:r w:rsidR="00BB6A01" w:rsidRPr="00475905">
              <w:rPr>
                <w:rFonts w:ascii="Arial" w:hAnsi="Arial" w:cs="Arial"/>
                <w:sz w:val="18"/>
                <w:szCs w:val="18"/>
              </w:rPr>
              <w:t>3</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1ECD2" w14:textId="37838A58" w:rsidR="0065191E" w:rsidRPr="0065191E" w:rsidRDefault="0065191E" w:rsidP="0065191E">
            <w:pPr>
              <w:jc w:val="right"/>
              <w:rPr>
                <w:rFonts w:ascii="Arial" w:hAnsi="Arial" w:cs="Arial"/>
                <w:sz w:val="18"/>
                <w:szCs w:val="18"/>
              </w:rPr>
            </w:pPr>
            <w:r w:rsidRPr="0065191E">
              <w:rPr>
                <w:rFonts w:ascii="Arial" w:hAnsi="Arial" w:cs="Arial"/>
                <w:sz w:val="18"/>
                <w:szCs w:val="18"/>
              </w:rPr>
              <w:t>0,137</w:t>
            </w:r>
            <w:r w:rsidR="00BB6A01" w:rsidRPr="00475905">
              <w:rPr>
                <w:rFonts w:ascii="Arial" w:hAnsi="Arial" w:cs="Arial"/>
                <w:sz w:val="18"/>
                <w:szCs w:val="18"/>
              </w:rPr>
              <w:t>4</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73BC3" w14:textId="2BA87CCD" w:rsidR="0065191E" w:rsidRPr="0065191E" w:rsidRDefault="0065191E" w:rsidP="0065191E">
            <w:pPr>
              <w:jc w:val="right"/>
              <w:rPr>
                <w:rFonts w:ascii="Arial" w:hAnsi="Arial" w:cs="Arial"/>
                <w:sz w:val="18"/>
                <w:szCs w:val="18"/>
              </w:rPr>
            </w:pPr>
            <w:r w:rsidRPr="0065191E">
              <w:rPr>
                <w:rFonts w:ascii="Arial" w:hAnsi="Arial" w:cs="Arial"/>
                <w:sz w:val="18"/>
                <w:szCs w:val="18"/>
              </w:rPr>
              <w:t>0,1497</w:t>
            </w:r>
          </w:p>
        </w:tc>
      </w:tr>
      <w:tr w:rsidR="00757E30" w:rsidRPr="0065191E" w14:paraId="75FC3036"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0DD89549" w14:textId="77777777" w:rsidR="0065191E" w:rsidRPr="0065191E" w:rsidRDefault="0065191E" w:rsidP="0065191E">
            <w:pPr>
              <w:rPr>
                <w:rFonts w:ascii="Arial" w:hAnsi="Arial" w:cs="Arial"/>
                <w:b/>
                <w:bCs/>
                <w:sz w:val="18"/>
                <w:szCs w:val="18"/>
              </w:rPr>
            </w:pPr>
            <w:r w:rsidRPr="0065191E">
              <w:rPr>
                <w:rFonts w:ascii="Arial" w:hAnsi="Arial" w:cs="Arial"/>
                <w:b/>
                <w:bCs/>
                <w:sz w:val="18"/>
                <w:szCs w:val="18"/>
              </w:rPr>
              <w:t>EVA</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48E3C8E4" w14:textId="4779766C"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-6345,3</w:t>
            </w:r>
            <w:r w:rsidR="00BB6A01" w:rsidRPr="00475905">
              <w:rPr>
                <w:rFonts w:ascii="Arial" w:hAnsi="Arial" w:cs="Arial"/>
                <w:b/>
                <w:bCs/>
                <w:sz w:val="18"/>
                <w:szCs w:val="18"/>
              </w:rPr>
              <w:t>7</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659EB595" w14:textId="33116670"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-32432,29</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14A8FE68" w14:textId="1A052833"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-15877,3</w:t>
            </w:r>
            <w:r w:rsidR="00BB6A01" w:rsidRPr="00475905">
              <w:rPr>
                <w:rFonts w:ascii="Arial" w:hAnsi="Arial" w:cs="Arial"/>
                <w:b/>
                <w:bCs/>
                <w:sz w:val="18"/>
                <w:szCs w:val="18"/>
              </w:rPr>
              <w:t>4</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32349720" w14:textId="12486206"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-341,69</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26967B12" w14:textId="79D0B6A6"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6111,28</w:t>
            </w:r>
          </w:p>
        </w:tc>
      </w:tr>
      <w:tr w:rsidR="00757E30" w:rsidRPr="0065191E" w14:paraId="0FC6F24D"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81F4B5" w14:textId="77777777" w:rsidR="0065191E" w:rsidRPr="0065191E" w:rsidRDefault="0065191E" w:rsidP="0065191E">
            <w:pPr>
              <w:rPr>
                <w:rFonts w:ascii="Arial" w:hAnsi="Arial" w:cs="Arial"/>
                <w:sz w:val="18"/>
                <w:szCs w:val="18"/>
              </w:rPr>
            </w:pPr>
            <w:r w:rsidRPr="0065191E">
              <w:rPr>
                <w:rFonts w:ascii="Arial" w:hAnsi="Arial" w:cs="Arial"/>
                <w:sz w:val="18"/>
                <w:szCs w:val="18"/>
              </w:rPr>
              <w:t>ROA</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959521"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0,1234</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86D082"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0,0499</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F9C394"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0,0884</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0A8A9"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0,1343</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30F18"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0,1822</w:t>
            </w:r>
          </w:p>
        </w:tc>
      </w:tr>
      <w:tr w:rsidR="00757E30" w:rsidRPr="0065191E" w14:paraId="0D00F824"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4A1AA2" w14:textId="77777777" w:rsidR="0065191E" w:rsidRPr="0065191E" w:rsidRDefault="0065191E" w:rsidP="0065191E">
            <w:pPr>
              <w:rPr>
                <w:rFonts w:ascii="Arial" w:hAnsi="Arial" w:cs="Arial"/>
                <w:sz w:val="18"/>
                <w:szCs w:val="18"/>
              </w:rPr>
            </w:pPr>
            <w:r w:rsidRPr="0065191E">
              <w:rPr>
                <w:rFonts w:ascii="Arial" w:hAnsi="Arial" w:cs="Arial"/>
                <w:sz w:val="18"/>
                <w:szCs w:val="18"/>
              </w:rPr>
              <w:t>aktiva</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ECAE90"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142861</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F1B1DE"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190375</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1462C"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169067</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DEC7C"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178247</w:t>
            </w:r>
          </w:p>
        </w:tc>
        <w:tc>
          <w:tcPr>
            <w:tcW w:w="12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63D78" w14:textId="77777777" w:rsidR="0065191E" w:rsidRPr="0065191E" w:rsidRDefault="0065191E" w:rsidP="0065191E">
            <w:pPr>
              <w:jc w:val="right"/>
              <w:rPr>
                <w:rFonts w:ascii="Arial" w:hAnsi="Arial" w:cs="Arial"/>
                <w:sz w:val="18"/>
                <w:szCs w:val="18"/>
              </w:rPr>
            </w:pPr>
            <w:r w:rsidRPr="0065191E">
              <w:rPr>
                <w:rFonts w:ascii="Arial" w:hAnsi="Arial" w:cs="Arial"/>
                <w:sz w:val="18"/>
                <w:szCs w:val="18"/>
              </w:rPr>
              <w:t>199 825</w:t>
            </w:r>
          </w:p>
        </w:tc>
      </w:tr>
      <w:tr w:rsidR="00757E30" w:rsidRPr="0065191E" w14:paraId="1D85677E"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793C44DB" w14:textId="77777777" w:rsidR="0065191E" w:rsidRPr="0065191E" w:rsidRDefault="0065191E" w:rsidP="0065191E">
            <w:pPr>
              <w:rPr>
                <w:rFonts w:ascii="Arial" w:hAnsi="Arial" w:cs="Arial"/>
                <w:b/>
                <w:bCs/>
                <w:sz w:val="18"/>
                <w:szCs w:val="18"/>
              </w:rPr>
            </w:pPr>
            <w:r w:rsidRPr="0065191E">
              <w:rPr>
                <w:rFonts w:ascii="Arial" w:hAnsi="Arial" w:cs="Arial"/>
                <w:b/>
                <w:bCs/>
                <w:sz w:val="18"/>
                <w:szCs w:val="18"/>
              </w:rPr>
              <w:t>EVA entity</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182A8637" w14:textId="52D58ADD"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-4568,0</w:t>
            </w:r>
            <w:r w:rsidR="00BB6A01" w:rsidRPr="00475905">
              <w:rPr>
                <w:rFonts w:ascii="Arial" w:hAnsi="Arial" w:cs="Arial"/>
                <w:b/>
                <w:bCs/>
                <w:sz w:val="18"/>
                <w:szCs w:val="18"/>
              </w:rPr>
              <w:t>2</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326B9AD0" w14:textId="04B84CBB"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-29837,83</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651EE531" w14:textId="56B1EF28"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-13170,10</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6D4B7B83" w14:textId="1FB4C4EA"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-551,6</w:t>
            </w:r>
            <w:r w:rsidR="00BB6A01" w:rsidRPr="00475905">
              <w:rPr>
                <w:rFonts w:ascii="Arial" w:hAnsi="Arial" w:cs="Arial"/>
                <w:b/>
                <w:bCs/>
                <w:sz w:val="18"/>
                <w:szCs w:val="18"/>
              </w:rPr>
              <w:t>6</w:t>
            </w:r>
          </w:p>
        </w:tc>
        <w:tc>
          <w:tcPr>
            <w:tcW w:w="1225" w:type="dxa"/>
            <w:tcBorders>
              <w:top w:val="single" w:sz="6" w:space="0" w:color="CCCCCC"/>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14:paraId="03CE5451" w14:textId="1134484D" w:rsidR="0065191E" w:rsidRPr="0065191E" w:rsidRDefault="0065191E" w:rsidP="0065191E">
            <w:pPr>
              <w:jc w:val="right"/>
              <w:rPr>
                <w:rFonts w:ascii="Arial" w:hAnsi="Arial" w:cs="Arial"/>
                <w:b/>
                <w:bCs/>
                <w:sz w:val="18"/>
                <w:szCs w:val="18"/>
              </w:rPr>
            </w:pPr>
            <w:r w:rsidRPr="0065191E">
              <w:rPr>
                <w:rFonts w:ascii="Arial" w:hAnsi="Arial" w:cs="Arial"/>
                <w:b/>
                <w:bCs/>
                <w:sz w:val="18"/>
                <w:szCs w:val="18"/>
              </w:rPr>
              <w:t>6485,4</w:t>
            </w:r>
            <w:r w:rsidR="00BB6A01" w:rsidRPr="00475905">
              <w:rPr>
                <w:rFonts w:ascii="Arial" w:hAnsi="Arial" w:cs="Arial"/>
                <w:b/>
                <w:bCs/>
                <w:sz w:val="18"/>
                <w:szCs w:val="18"/>
              </w:rPr>
              <w:t>4</w:t>
            </w:r>
          </w:p>
        </w:tc>
      </w:tr>
      <w:tr w:rsidR="00757E30" w:rsidRPr="0065191E" w14:paraId="2529DEBC" w14:textId="77777777" w:rsidTr="00757E30">
        <w:trPr>
          <w:trHeight w:val="315"/>
        </w:trPr>
        <w:tc>
          <w:tcPr>
            <w:tcW w:w="1225" w:type="dxa"/>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1E00BDD" w14:textId="77777777" w:rsidR="0065191E" w:rsidRPr="0065191E" w:rsidRDefault="0065191E" w:rsidP="0065191E">
            <w:pPr>
              <w:rPr>
                <w:rFonts w:ascii="Arial" w:hAnsi="Arial" w:cs="Arial"/>
                <w:sz w:val="18"/>
                <w:szCs w:val="18"/>
              </w:rPr>
            </w:pPr>
            <w:r w:rsidRPr="0065191E">
              <w:rPr>
                <w:rFonts w:ascii="Arial" w:hAnsi="Arial" w:cs="Arial"/>
                <w:sz w:val="18"/>
                <w:szCs w:val="18"/>
              </w:rPr>
              <w:t>eva</w:t>
            </w:r>
          </w:p>
        </w:tc>
        <w:tc>
          <w:tcPr>
            <w:tcW w:w="122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B33F4E1" w14:textId="71701C88" w:rsidR="0065191E" w:rsidRPr="0065191E" w:rsidRDefault="0065191E" w:rsidP="0065191E">
            <w:pPr>
              <w:jc w:val="right"/>
              <w:rPr>
                <w:rFonts w:ascii="Arial" w:hAnsi="Arial" w:cs="Arial"/>
                <w:sz w:val="18"/>
                <w:szCs w:val="18"/>
              </w:rPr>
            </w:pPr>
            <w:r w:rsidRPr="0065191E">
              <w:rPr>
                <w:rFonts w:ascii="Arial" w:hAnsi="Arial" w:cs="Arial"/>
                <w:sz w:val="18"/>
                <w:szCs w:val="18"/>
              </w:rPr>
              <w:t>-0,03</w:t>
            </w:r>
            <w:r w:rsidR="00BB6A01" w:rsidRPr="00475905">
              <w:rPr>
                <w:rFonts w:ascii="Arial" w:hAnsi="Arial" w:cs="Arial"/>
                <w:sz w:val="18"/>
                <w:szCs w:val="18"/>
              </w:rPr>
              <w:t>2</w:t>
            </w:r>
          </w:p>
        </w:tc>
        <w:tc>
          <w:tcPr>
            <w:tcW w:w="122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3461C2E" w14:textId="2130E2FE" w:rsidR="0065191E" w:rsidRPr="0065191E" w:rsidRDefault="0065191E" w:rsidP="0065191E">
            <w:pPr>
              <w:jc w:val="right"/>
              <w:rPr>
                <w:rFonts w:ascii="Arial" w:hAnsi="Arial" w:cs="Arial"/>
                <w:sz w:val="18"/>
                <w:szCs w:val="18"/>
              </w:rPr>
            </w:pPr>
            <w:r w:rsidRPr="0065191E">
              <w:rPr>
                <w:rFonts w:ascii="Arial" w:hAnsi="Arial" w:cs="Arial"/>
                <w:sz w:val="18"/>
                <w:szCs w:val="18"/>
              </w:rPr>
              <w:t>-0,1567</w:t>
            </w:r>
          </w:p>
        </w:tc>
        <w:tc>
          <w:tcPr>
            <w:tcW w:w="122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3B3CC48" w14:textId="62CF2677" w:rsidR="0065191E" w:rsidRPr="0065191E" w:rsidRDefault="0065191E" w:rsidP="0065191E">
            <w:pPr>
              <w:jc w:val="right"/>
              <w:rPr>
                <w:rFonts w:ascii="Arial" w:hAnsi="Arial" w:cs="Arial"/>
                <w:sz w:val="18"/>
                <w:szCs w:val="18"/>
              </w:rPr>
            </w:pPr>
            <w:r w:rsidRPr="0065191E">
              <w:rPr>
                <w:rFonts w:ascii="Arial" w:hAnsi="Arial" w:cs="Arial"/>
                <w:sz w:val="18"/>
                <w:szCs w:val="18"/>
              </w:rPr>
              <w:t>-0,077</w:t>
            </w:r>
            <w:r w:rsidR="00BB6A01" w:rsidRPr="00475905">
              <w:rPr>
                <w:rFonts w:ascii="Arial" w:hAnsi="Arial" w:cs="Arial"/>
                <w:sz w:val="18"/>
                <w:szCs w:val="18"/>
              </w:rPr>
              <w:t>9</w:t>
            </w:r>
          </w:p>
        </w:tc>
        <w:tc>
          <w:tcPr>
            <w:tcW w:w="122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3B0A926" w14:textId="28B9CCA6" w:rsidR="0065191E" w:rsidRPr="0065191E" w:rsidRDefault="0065191E" w:rsidP="0065191E">
            <w:pPr>
              <w:jc w:val="right"/>
              <w:rPr>
                <w:rFonts w:ascii="Arial" w:hAnsi="Arial" w:cs="Arial"/>
                <w:sz w:val="18"/>
                <w:szCs w:val="18"/>
              </w:rPr>
            </w:pPr>
            <w:r w:rsidRPr="0065191E">
              <w:rPr>
                <w:rFonts w:ascii="Arial" w:hAnsi="Arial" w:cs="Arial"/>
                <w:sz w:val="18"/>
                <w:szCs w:val="18"/>
              </w:rPr>
              <w:t>-0,003</w:t>
            </w:r>
            <w:r w:rsidR="00BB6A01" w:rsidRPr="00475905">
              <w:rPr>
                <w:rFonts w:ascii="Arial" w:hAnsi="Arial" w:cs="Arial"/>
                <w:sz w:val="18"/>
                <w:szCs w:val="18"/>
              </w:rPr>
              <w:t>1</w:t>
            </w:r>
          </w:p>
        </w:tc>
        <w:tc>
          <w:tcPr>
            <w:tcW w:w="122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B55C9C1" w14:textId="3FE3C871" w:rsidR="0065191E" w:rsidRPr="0065191E" w:rsidRDefault="0065191E" w:rsidP="0065191E">
            <w:pPr>
              <w:jc w:val="right"/>
              <w:rPr>
                <w:rFonts w:ascii="Arial" w:hAnsi="Arial" w:cs="Arial"/>
                <w:sz w:val="18"/>
                <w:szCs w:val="18"/>
              </w:rPr>
            </w:pPr>
            <w:r w:rsidRPr="0065191E">
              <w:rPr>
                <w:rFonts w:ascii="Arial" w:hAnsi="Arial" w:cs="Arial"/>
                <w:sz w:val="18"/>
                <w:szCs w:val="18"/>
              </w:rPr>
              <w:t>0,032</w:t>
            </w:r>
            <w:r w:rsidR="00DA3231" w:rsidRPr="00475905">
              <w:rPr>
                <w:rFonts w:ascii="Arial" w:hAnsi="Arial" w:cs="Arial"/>
                <w:sz w:val="18"/>
                <w:szCs w:val="18"/>
              </w:rPr>
              <w:t>5</w:t>
            </w:r>
          </w:p>
        </w:tc>
      </w:tr>
    </w:tbl>
    <w:p w14:paraId="2E0E9049" w14:textId="1AC77449" w:rsidR="00432803" w:rsidRDefault="00FF6661" w:rsidP="00FF6661">
      <w:pPr>
        <w:pStyle w:val="pramen"/>
      </w:pPr>
      <w:r>
        <w:t xml:space="preserve">Zdroj: Vlastní zpracování </w:t>
      </w:r>
    </w:p>
    <w:p w14:paraId="298E56AD" w14:textId="34B03CD8" w:rsidR="00E1061F" w:rsidRDefault="003C72DF" w:rsidP="0055633C">
      <w:pPr>
        <w:pStyle w:val="Odstavec1"/>
      </w:pPr>
      <w:r>
        <w:t xml:space="preserve">Z analýzy uvedené v tabulce 19 lze vidět, že podnik měl </w:t>
      </w:r>
      <w:r w:rsidR="001B461E">
        <w:t xml:space="preserve">až do roku 2021 zápornou přidanou hodnotu, což znamená, že </w:t>
      </w:r>
      <w:r w:rsidR="00E55638">
        <w:t xml:space="preserve">hodnotu pomocí své hlavní činnosti nevytvářel a spíše ji ztrácel. </w:t>
      </w:r>
      <w:r w:rsidR="00FE4917">
        <w:t xml:space="preserve">Což bylo jistě způsobeno </w:t>
      </w:r>
      <w:r w:rsidR="0055018F">
        <w:t xml:space="preserve">vysokým kapitálem v porovnání s čistým provozním ziskem. </w:t>
      </w:r>
      <w:r w:rsidR="009D6A4A">
        <w:t>Tyto hodnoty jsou ovlivněny zejména růstem tržeb</w:t>
      </w:r>
      <w:r w:rsidR="007F6B01">
        <w:t xml:space="preserve"> a poklesem podílu výkonové spotřeby, což vedlo ke zvyšování podílu provozního VH na obratu od roku 2020.</w:t>
      </w:r>
      <w:r w:rsidR="00A71E1A">
        <w:t xml:space="preserve"> Tyto skutečnosti vycházejí z předchozích analýz uvedených v práci.</w:t>
      </w:r>
    </w:p>
    <w:p w14:paraId="0C29B753" w14:textId="6F1591FC" w:rsidR="0055633C" w:rsidRDefault="0055018F" w:rsidP="007F6B01">
      <w:pPr>
        <w:pStyle w:val="Odstavec1"/>
        <w:ind w:firstLine="482"/>
      </w:pPr>
      <w:r>
        <w:t xml:space="preserve">Jak již bylo zmiňováno výpočet ukazatele EVA v našem případě není </w:t>
      </w:r>
      <w:r w:rsidR="00CD6641">
        <w:t xml:space="preserve">naprosto </w:t>
      </w:r>
      <w:r>
        <w:t xml:space="preserve">přesný, kvůli nedostatku informací, ale vzhledem k absolutním </w:t>
      </w:r>
      <w:r w:rsidR="00CD6641">
        <w:t>hodnotám</w:t>
      </w:r>
      <w:r>
        <w:t xml:space="preserve"> výsledků, které jsou celkem velké lze </w:t>
      </w:r>
      <w:r w:rsidR="00DA3FF5">
        <w:t>s jistotou říci, že podnik hodnotu netvořil minimálně do roku 2020, kdy je hodnota EVA – 342</w:t>
      </w:r>
      <w:r w:rsidR="00CD6641">
        <w:t>. Tento rok se dá po</w:t>
      </w:r>
      <w:r w:rsidR="00F662D1">
        <w:t>važov</w:t>
      </w:r>
      <w:r w:rsidR="00573752">
        <w:t>a</w:t>
      </w:r>
      <w:r w:rsidR="00F662D1">
        <w:t xml:space="preserve">t za přechodný, kdy mohlo pomocí nedostatku informací dojít ke zkreslení a </w:t>
      </w:r>
      <w:r w:rsidR="00573752">
        <w:t>zde mohl podnik nízkou hodnotu tvořit. Od roku 2020 došlo k nárůstu ukazatele NOPAT</w:t>
      </w:r>
      <w:r w:rsidR="005B3E50">
        <w:t xml:space="preserve">, což ovlivnilo změnu EVA do kladných čísel. </w:t>
      </w:r>
      <w:r w:rsidR="0025403F">
        <w:t xml:space="preserve">Tyto nárůsty lze také propojit s růstem ukazatele rentability a lze vidět, že podniku se dařilo. </w:t>
      </w:r>
    </w:p>
    <w:p w14:paraId="36E7034C" w14:textId="6C7EDCB9" w:rsidR="00D92CE6" w:rsidRDefault="00D92CE6" w:rsidP="00D92CE6">
      <w:pPr>
        <w:pStyle w:val="Dalodstavce"/>
      </w:pPr>
      <w:r>
        <w:t>Vývoj ukazatelů NOPAT, C a EVA je znázorněn v grafu č. 8.</w:t>
      </w:r>
    </w:p>
    <w:p w14:paraId="59E69872" w14:textId="77777777" w:rsidR="00D92CE6" w:rsidRDefault="00D92CE6">
      <w:r>
        <w:br w:type="page"/>
      </w:r>
    </w:p>
    <w:p w14:paraId="36A17E81" w14:textId="5A840A11" w:rsidR="00D92CE6" w:rsidRPr="00D92CE6" w:rsidRDefault="00D92CE6" w:rsidP="0053372B">
      <w:pPr>
        <w:pStyle w:val="Titulekgraf"/>
      </w:pPr>
      <w:bookmarkStart w:id="69" w:name="_Toc133180318"/>
      <w:r>
        <w:lastRenderedPageBreak/>
        <w:t>Graf č. 8: V</w:t>
      </w:r>
      <w:r w:rsidR="0053372B">
        <w:t>ývoj EVA a dalších ukazatelů</w:t>
      </w:r>
      <w:bookmarkEnd w:id="69"/>
    </w:p>
    <w:p w14:paraId="7469F1B5" w14:textId="7EC9C0E4" w:rsidR="00FF6661" w:rsidRDefault="008D28AA" w:rsidP="00FF6661">
      <w:pPr>
        <w:pStyle w:val="Odstavec1"/>
      </w:pPr>
      <w:r>
        <w:rPr>
          <w:noProof/>
        </w:rPr>
        <w:drawing>
          <wp:inline distT="0" distB="0" distL="0" distR="0" wp14:anchorId="1CF9EB08" wp14:editId="0EC101E5">
            <wp:extent cx="4677410" cy="2998470"/>
            <wp:effectExtent l="0" t="0" r="8890" b="11430"/>
            <wp:docPr id="25" name="Graf 25">
              <a:extLst xmlns:a="http://schemas.openxmlformats.org/drawingml/2006/main">
                <a:ext uri="{FF2B5EF4-FFF2-40B4-BE49-F238E27FC236}">
                  <a16:creationId xmlns:a16="http://schemas.microsoft.com/office/drawing/2014/main" id="{88904333-0F05-6483-5A9D-089EA3C44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73A55A" w14:textId="3DB76DF4" w:rsidR="0053372B" w:rsidRPr="0053372B" w:rsidRDefault="0053372B" w:rsidP="0053372B">
      <w:pPr>
        <w:pStyle w:val="pramen"/>
      </w:pPr>
      <w:r>
        <w:t xml:space="preserve">Zdroj: vlastní zpracování </w:t>
      </w:r>
    </w:p>
    <w:p w14:paraId="5170F02A" w14:textId="77777777" w:rsidR="00D92CE6" w:rsidRDefault="00D92CE6" w:rsidP="00D92CE6">
      <w:pPr>
        <w:pStyle w:val="Dalodstavce"/>
      </w:pPr>
      <w:r>
        <w:t xml:space="preserve">Dalším ukazatelem, který je zde uveden je EVA entity, v jehož výpočtu se užívá ukazatele ROA, který se sníží o WACC a celá tato hodnot se vynásobí aktivy. Tento ukazatel ve zkoumaném podniku sleduje stejný vývoj jako klasický ukazatel EVA, což může odradit potenciální investory, jelikož ukazatel dosahuje výrazně záporných hodnot. Ke změně ovšem dochází opět roku 2021, kdy dochází k přeměně hodnoty na kladnou. </w:t>
      </w:r>
    </w:p>
    <w:p w14:paraId="74BA5B17" w14:textId="77777777" w:rsidR="00D92CE6" w:rsidRPr="0025403F" w:rsidRDefault="00D92CE6" w:rsidP="00D92CE6">
      <w:pPr>
        <w:pStyle w:val="Dalodstavce"/>
      </w:pPr>
      <w:r>
        <w:t xml:space="preserve">Informace o vývoji podniku za poslední účetní období bohužel nemáme, ale pokud by se podnik vyvíjel stejným směrem a zvyšoval svůj provozní zisk a snižoval kapitál (aktiva) hodnot tvořená podnikem by neustále narůstala a ve výsledku by podnik mohl být lukrativnější i pro investory. </w:t>
      </w:r>
    </w:p>
    <w:p w14:paraId="606C1719" w14:textId="08DFA34A" w:rsidR="00FF6661" w:rsidRDefault="58187F3D" w:rsidP="58187F3D">
      <w:pPr>
        <w:pStyle w:val="Nadpis1"/>
      </w:pPr>
      <w:bookmarkStart w:id="70" w:name="_Toc132567267"/>
      <w:r>
        <w:lastRenderedPageBreak/>
        <w:t>Bonitní model – Quick-test</w:t>
      </w:r>
      <w:bookmarkEnd w:id="70"/>
      <w:r>
        <w:t xml:space="preserve"> </w:t>
      </w:r>
    </w:p>
    <w:p w14:paraId="78C887D1" w14:textId="1B9BEF33" w:rsidR="00FF6661" w:rsidRPr="00090AA0" w:rsidRDefault="58187F3D" w:rsidP="005125A7">
      <w:pPr>
        <w:pStyle w:val="Bezmezer"/>
        <w:jc w:val="both"/>
      </w:pPr>
      <w:r>
        <w:t>Bonitní model Quick-test je jednoduchý a rychlý nástroj, který slouží k posouzení bonity, tedy schopnosti jedince splácet své závazky včas a bez problémů. Nejprve se vypočítají poměrové ukazatele z dat výročních zpráv a přiřadí se jim hodnocení. Toto hodnocení vyjadřuje výkon firmy v různých oblastech (kapitálová síla, zadlužení, výnosy a finanční výkonnost). Z těchto hodnocení se poté vytvoří celkové hodnocení firmy jako celku. (Kralicek, 1993)</w:t>
      </w:r>
    </w:p>
    <w:p w14:paraId="2EFDE5F9" w14:textId="206AC518" w:rsidR="58187F3D" w:rsidRDefault="58187F3D" w:rsidP="58187F3D">
      <w:pPr>
        <w:pStyle w:val="Bezmezer"/>
      </w:pPr>
    </w:p>
    <w:p w14:paraId="3557569F" w14:textId="13327381" w:rsidR="58187F3D" w:rsidRDefault="58187F3D" w:rsidP="005125A7">
      <w:pPr>
        <w:pStyle w:val="Bezmezer"/>
        <w:jc w:val="both"/>
      </w:pPr>
      <w:r>
        <w:t>Pro co nejlepší využití informací zveřejněných ve výročních zprávách by měl každý ukazatel vycházet právě z jedné oblasti finanční analýzy. Ukazateli jsou:</w:t>
      </w:r>
    </w:p>
    <w:p w14:paraId="1E93AA77" w14:textId="6F9B41EC" w:rsidR="58187F3D" w:rsidRDefault="58187F3D" w:rsidP="005125A7">
      <w:pPr>
        <w:pStyle w:val="Bezmezer"/>
        <w:numPr>
          <w:ilvl w:val="0"/>
          <w:numId w:val="3"/>
        </w:numPr>
        <w:jc w:val="both"/>
        <w:rPr>
          <w:rFonts w:eastAsia="Cambria" w:cs="Cambria"/>
        </w:rPr>
      </w:pPr>
      <w:r w:rsidRPr="58187F3D">
        <w:rPr>
          <w:rFonts w:eastAsia="Cambria" w:cs="Cambria"/>
        </w:rPr>
        <w:t>Kvóta vlastního kapitálu</w:t>
      </w:r>
    </w:p>
    <w:p w14:paraId="767ACF1C" w14:textId="61D854EE" w:rsidR="58187F3D" w:rsidRDefault="58187F3D" w:rsidP="005125A7">
      <w:pPr>
        <w:pStyle w:val="Bezmezer"/>
        <w:numPr>
          <w:ilvl w:val="0"/>
          <w:numId w:val="3"/>
        </w:numPr>
        <w:jc w:val="both"/>
        <w:rPr>
          <w:rFonts w:eastAsia="Cambria" w:cs="Cambria"/>
        </w:rPr>
      </w:pPr>
      <w:r w:rsidRPr="58187F3D">
        <w:rPr>
          <w:rFonts w:eastAsia="Cambria" w:cs="Cambria"/>
        </w:rPr>
        <w:t>Doba splácení dluhu</w:t>
      </w:r>
    </w:p>
    <w:p w14:paraId="2BD4B29D" w14:textId="6399CD40" w:rsidR="58187F3D" w:rsidRDefault="58187F3D" w:rsidP="005125A7">
      <w:pPr>
        <w:pStyle w:val="Bezmezer"/>
        <w:numPr>
          <w:ilvl w:val="0"/>
          <w:numId w:val="3"/>
        </w:numPr>
        <w:jc w:val="both"/>
        <w:rPr>
          <w:rFonts w:eastAsia="Cambria" w:cs="Cambria"/>
        </w:rPr>
      </w:pPr>
      <w:r w:rsidRPr="58187F3D">
        <w:rPr>
          <w:rFonts w:eastAsia="Cambria" w:cs="Cambria"/>
        </w:rPr>
        <w:t>Rentabilita celkového kapitálu (ROA)</w:t>
      </w:r>
    </w:p>
    <w:p w14:paraId="287F9145" w14:textId="630A63DC" w:rsidR="58187F3D" w:rsidRDefault="58187F3D" w:rsidP="005125A7">
      <w:pPr>
        <w:pStyle w:val="Bezmezer"/>
        <w:numPr>
          <w:ilvl w:val="0"/>
          <w:numId w:val="3"/>
        </w:numPr>
        <w:jc w:val="both"/>
        <w:rPr>
          <w:rFonts w:eastAsia="Cambria" w:cs="Cambria"/>
        </w:rPr>
      </w:pPr>
      <w:r w:rsidRPr="58187F3D">
        <w:rPr>
          <w:rFonts w:eastAsia="Cambria" w:cs="Cambria"/>
        </w:rPr>
        <w:t>Cash-flow v % podnikového výkonu</w:t>
      </w:r>
    </w:p>
    <w:p w14:paraId="778ED7AE" w14:textId="7753A278" w:rsidR="58187F3D" w:rsidRDefault="58187F3D" w:rsidP="005125A7">
      <w:pPr>
        <w:pStyle w:val="Bezmezer"/>
        <w:jc w:val="both"/>
        <w:rPr>
          <w:rFonts w:eastAsia="Cambria" w:cs="Cambria"/>
        </w:rPr>
      </w:pPr>
    </w:p>
    <w:p w14:paraId="2E13D4DD" w14:textId="7CEFFCE8" w:rsidR="58187F3D" w:rsidRDefault="58187F3D" w:rsidP="005125A7">
      <w:pPr>
        <w:pStyle w:val="Bezmezer"/>
        <w:jc w:val="both"/>
      </w:pPr>
      <w:r w:rsidRPr="58187F3D">
        <w:rPr>
          <w:rFonts w:eastAsia="Cambria" w:cs="Cambria"/>
        </w:rPr>
        <w:t xml:space="preserve">V tabulkách </w:t>
      </w:r>
      <w:r w:rsidR="005125A7">
        <w:rPr>
          <w:rFonts w:eastAsia="Cambria" w:cs="Cambria"/>
        </w:rPr>
        <w:t>20</w:t>
      </w:r>
      <w:r w:rsidRPr="58187F3D">
        <w:rPr>
          <w:rFonts w:eastAsia="Cambria" w:cs="Cambria"/>
        </w:rPr>
        <w:t xml:space="preserve"> a </w:t>
      </w:r>
      <w:r w:rsidR="005125A7">
        <w:rPr>
          <w:rFonts w:eastAsia="Cambria" w:cs="Cambria"/>
        </w:rPr>
        <w:t>21</w:t>
      </w:r>
      <w:r w:rsidRPr="58187F3D">
        <w:rPr>
          <w:rFonts w:eastAsia="Cambria" w:cs="Cambria"/>
        </w:rPr>
        <w:t xml:space="preserve"> jsou vidět výsledky Quick-testu </w:t>
      </w:r>
      <w:r>
        <w:t>S&amp;K LABEL.</w:t>
      </w:r>
    </w:p>
    <w:p w14:paraId="3C84119B" w14:textId="58F2E921" w:rsidR="58187F3D" w:rsidRDefault="005125A7" w:rsidP="005125A7">
      <w:pPr>
        <w:pStyle w:val="Titulektabulky"/>
      </w:pPr>
      <w:bookmarkStart w:id="71" w:name="_Toc133180306"/>
      <w:r>
        <w:t xml:space="preserve">Tabulka č. 20: </w:t>
      </w:r>
      <w:r w:rsidRPr="005125A7">
        <w:t>Výpočet Quick testu</w:t>
      </w:r>
      <w:bookmarkEnd w:id="71"/>
    </w:p>
    <w:p w14:paraId="029A0261" w14:textId="765DA8D9" w:rsidR="58187F3D" w:rsidRDefault="58187F3D" w:rsidP="58187F3D">
      <w:pPr>
        <w:pStyle w:val="Bezmezer"/>
      </w:pPr>
      <w:r>
        <w:rPr>
          <w:noProof/>
        </w:rPr>
        <w:drawing>
          <wp:inline distT="0" distB="0" distL="0" distR="0" wp14:anchorId="47016D39" wp14:editId="7079491A">
            <wp:extent cx="4352925" cy="1088231"/>
            <wp:effectExtent l="0" t="0" r="0" b="0"/>
            <wp:docPr id="1085975260" name="Obrázek 108597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363462" cy="1090865"/>
                    </a:xfrm>
                    <a:prstGeom prst="rect">
                      <a:avLst/>
                    </a:prstGeom>
                  </pic:spPr>
                </pic:pic>
              </a:graphicData>
            </a:graphic>
          </wp:inline>
        </w:drawing>
      </w:r>
    </w:p>
    <w:p w14:paraId="79432245" w14:textId="1C19B78F" w:rsidR="58187F3D" w:rsidRDefault="58187F3D" w:rsidP="58187F3D">
      <w:pPr>
        <w:pStyle w:val="pramen"/>
      </w:pPr>
      <w:r>
        <w:t>Zdroj: vlastní zpracování</w:t>
      </w:r>
    </w:p>
    <w:p w14:paraId="5B8C30E1" w14:textId="36C31950" w:rsidR="58187F3D" w:rsidRDefault="005125A7" w:rsidP="005125A7">
      <w:pPr>
        <w:pStyle w:val="Titulektabulky"/>
      </w:pPr>
      <w:bookmarkStart w:id="72" w:name="_Toc133180307"/>
      <w:r>
        <w:t xml:space="preserve">Tabulka č. 21: </w:t>
      </w:r>
      <w:r w:rsidRPr="005125A7">
        <w:t>Výsledky Quick-testu společnosti S&amp;K LABEL</w:t>
      </w:r>
      <w:bookmarkEnd w:id="72"/>
    </w:p>
    <w:p w14:paraId="54FD2F99" w14:textId="546102C8" w:rsidR="58187F3D" w:rsidRDefault="58187F3D" w:rsidP="0047475B">
      <w:pPr>
        <w:pStyle w:val="Bezmezer"/>
        <w:jc w:val="center"/>
      </w:pPr>
      <w:r>
        <w:rPr>
          <w:noProof/>
        </w:rPr>
        <w:drawing>
          <wp:inline distT="0" distB="0" distL="0" distR="0" wp14:anchorId="3ADEFBC5" wp14:editId="694940A1">
            <wp:extent cx="2895600" cy="1639447"/>
            <wp:effectExtent l="0" t="0" r="0" b="0"/>
            <wp:docPr id="46900091" name="Obrázek 469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11269" cy="1648319"/>
                    </a:xfrm>
                    <a:prstGeom prst="rect">
                      <a:avLst/>
                    </a:prstGeom>
                  </pic:spPr>
                </pic:pic>
              </a:graphicData>
            </a:graphic>
          </wp:inline>
        </w:drawing>
      </w:r>
    </w:p>
    <w:p w14:paraId="18BD6E38" w14:textId="5D5974A8" w:rsidR="58187F3D" w:rsidRDefault="58187F3D" w:rsidP="58187F3D">
      <w:pPr>
        <w:pStyle w:val="pramen"/>
      </w:pPr>
      <w:r>
        <w:t>Zdroj: vlastní zpracování</w:t>
      </w:r>
    </w:p>
    <w:p w14:paraId="65155458" w14:textId="0FBF7ECE" w:rsidR="58187F3D" w:rsidRDefault="58187F3D" w:rsidP="005125A7">
      <w:pPr>
        <w:pStyle w:val="Bezmezer"/>
        <w:jc w:val="both"/>
        <w:rPr>
          <w:rFonts w:eastAsia="Cambria" w:cs="Cambria"/>
        </w:rPr>
      </w:pPr>
      <w:r>
        <w:lastRenderedPageBreak/>
        <w:t>Podle výsledků analýzy jsou výsledné hodnoty společnosti S&amp;K LABEL velmi dobré. Horších hodnot výsledky dosahovaly hlavně v letech 2017 a 2018. Výsledek společnosti v roce 2018 podržela kvóta vlastního kapitálu, což může naznačovat velkou kapitálovou sílu společnosti. Z předchozích analýz vycházel rok 2018 jako nejslabší u všech analýz, a to je také potvrzeno v tomto bonitním modelu. Stejně tak jako, v předešlých analýzách vychází rok 2020 a 2021 velmi pozitivně a dá se tak usoudit, že společnosti se daří udržovat podnik bonitní.</w:t>
      </w:r>
    </w:p>
    <w:p w14:paraId="5F2BCBAA" w14:textId="27BA99CB" w:rsidR="58187F3D" w:rsidRDefault="58187F3D" w:rsidP="005125A7">
      <w:pPr>
        <w:pStyle w:val="Bezmezer"/>
        <w:jc w:val="both"/>
      </w:pPr>
    </w:p>
    <w:p w14:paraId="2DAD2228" w14:textId="2B761275" w:rsidR="58187F3D" w:rsidRDefault="58187F3D" w:rsidP="005125A7">
      <w:pPr>
        <w:pStyle w:val="Bezmezer"/>
        <w:jc w:val="both"/>
        <w:rPr>
          <w:rFonts w:eastAsia="Cambria" w:cs="Cambria"/>
        </w:rPr>
      </w:pPr>
      <w:r>
        <w:t xml:space="preserve">V grafu X lze vidět, jak růst ROE (R3) pozitivně ovlivnil výsledky analýzy v roce 2020.  V grafu je také vidět kolísání </w:t>
      </w:r>
      <w:r w:rsidRPr="58187F3D">
        <w:rPr>
          <w:rFonts w:eastAsia="Cambria" w:cs="Cambria"/>
        </w:rPr>
        <w:t>Cash-flow v % podnikového výkonu (R4) což může naznačovat fluktuaci finanční výkonnosti.</w:t>
      </w:r>
    </w:p>
    <w:p w14:paraId="4B616AA2" w14:textId="08DB58FD" w:rsidR="58187F3D" w:rsidRDefault="005125A7" w:rsidP="005125A7">
      <w:pPr>
        <w:pStyle w:val="Titulekgraf"/>
      </w:pPr>
      <w:bookmarkStart w:id="73" w:name="_Toc133180319"/>
      <w:r>
        <w:t xml:space="preserve">Graf č. 9: </w:t>
      </w:r>
      <w:r w:rsidRPr="005125A7">
        <w:t>Vývoj R1-R4 v čase</w:t>
      </w:r>
      <w:bookmarkEnd w:id="73"/>
    </w:p>
    <w:p w14:paraId="0D3C20A1" w14:textId="7BA8FB89" w:rsidR="58187F3D" w:rsidRDefault="58187F3D" w:rsidP="58187F3D">
      <w:pPr>
        <w:pStyle w:val="Bezmezer"/>
      </w:pPr>
      <w:r>
        <w:rPr>
          <w:noProof/>
        </w:rPr>
        <w:drawing>
          <wp:inline distT="0" distB="0" distL="0" distR="0" wp14:anchorId="4C3BA567" wp14:editId="42320E77">
            <wp:extent cx="4572000" cy="2752725"/>
            <wp:effectExtent l="0" t="0" r="0" b="0"/>
            <wp:docPr id="337746203" name="Obrázek 33774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7DA9D93" w14:textId="43FB6E5C" w:rsidR="58187F3D" w:rsidRDefault="005125A7" w:rsidP="005125A7">
      <w:pPr>
        <w:pStyle w:val="pramen"/>
      </w:pPr>
      <w:r>
        <w:t>Zdroj: vlastní zpracování</w:t>
      </w:r>
    </w:p>
    <w:p w14:paraId="451DBA97" w14:textId="77777777" w:rsidR="58187F3D" w:rsidRDefault="58187F3D" w:rsidP="58187F3D">
      <w:pPr>
        <w:pStyle w:val="Bezmezer"/>
      </w:pPr>
      <w:r>
        <w:t>Výstupem do SWOT analýzy jsme zařadily mezi silné stránky bonitu společnosti, která je od roku 2019 na velmi dobré úrovni. Žádné nově identifikované slabé stránky jsme v průběhu analýzy nezaznamenaly.</w:t>
      </w:r>
    </w:p>
    <w:p w14:paraId="7343D4CF" w14:textId="77777777" w:rsidR="00527401" w:rsidRDefault="00527401" w:rsidP="58187F3D">
      <w:pPr>
        <w:pStyle w:val="Bezmezer"/>
      </w:pPr>
    </w:p>
    <w:p w14:paraId="0FD2CEF7" w14:textId="77777777" w:rsidR="00527401" w:rsidRDefault="00527401" w:rsidP="58187F3D">
      <w:pPr>
        <w:pStyle w:val="Bezmezer"/>
      </w:pPr>
    </w:p>
    <w:p w14:paraId="5F6CD6E1" w14:textId="4E23A50D" w:rsidR="00527401" w:rsidRDefault="00527401" w:rsidP="00B057FD">
      <w:pPr>
        <w:pStyle w:val="Nadpis1"/>
      </w:pPr>
      <w:bookmarkStart w:id="74" w:name="_Toc132567268"/>
      <w:r>
        <w:lastRenderedPageBreak/>
        <w:t xml:space="preserve">Bankrotní </w:t>
      </w:r>
      <w:r w:rsidR="00B057FD">
        <w:t xml:space="preserve">model </w:t>
      </w:r>
      <w:r w:rsidR="00116E40">
        <w:t xml:space="preserve">– </w:t>
      </w:r>
      <w:r w:rsidR="00E079B2">
        <w:t>I</w:t>
      </w:r>
      <w:r w:rsidR="00F504C0">
        <w:t xml:space="preserve">ndex </w:t>
      </w:r>
      <w:r w:rsidR="00B057FD">
        <w:t>IN05</w:t>
      </w:r>
      <w:bookmarkEnd w:id="74"/>
    </w:p>
    <w:p w14:paraId="6C113470" w14:textId="49F6914B" w:rsidR="00116E40" w:rsidRDefault="00116E40" w:rsidP="0043358B">
      <w:pPr>
        <w:pStyle w:val="Odstavec1"/>
      </w:pPr>
      <w:r>
        <w:t xml:space="preserve">Pro komplexní hodnocení podniku jsme se rozhodly využít </w:t>
      </w:r>
      <w:r w:rsidR="00055310">
        <w:t xml:space="preserve">vedle bonitního modelu uvedené v předchozí kapitole také bankrotní model </w:t>
      </w:r>
      <w:r w:rsidR="00F504C0">
        <w:t xml:space="preserve">index </w:t>
      </w:r>
      <w:r w:rsidR="00055310">
        <w:t xml:space="preserve">IN05. </w:t>
      </w:r>
      <w:r w:rsidR="00DF3D6D">
        <w:t xml:space="preserve">Tento index je </w:t>
      </w:r>
      <w:r w:rsidR="00FC01E9">
        <w:t xml:space="preserve">nejnovější ze všech modelů IN, které byly vytvořeny manželi Neumaierovými. </w:t>
      </w:r>
      <w:r w:rsidR="000D52D5">
        <w:t xml:space="preserve">Přímo IN05 je dlouhodobě považován za nejvhodnější pro </w:t>
      </w:r>
      <w:r w:rsidR="008B6D8C">
        <w:t>hodnocení českých podniků a zaměšuje se na predikci finančních problémů a také na to, zda podnik tvoří hodnotu pro vlastníky</w:t>
      </w:r>
      <w:r w:rsidR="00593EB3">
        <w:t xml:space="preserve"> (Kubíčková, Jindřichovská, 2014, str. 233-234)</w:t>
      </w:r>
      <w:r w:rsidR="008B6D8C">
        <w:t xml:space="preserve">. </w:t>
      </w:r>
      <w:r w:rsidR="00593EB3">
        <w:t>Jeho vzorec je následující:</w:t>
      </w:r>
    </w:p>
    <w:p w14:paraId="44551089" w14:textId="6C4893FC" w:rsidR="00593EB3" w:rsidRPr="00A76E02" w:rsidRDefault="00550073" w:rsidP="0043358B">
      <w:pPr>
        <w:pStyle w:val="Dalodstavce"/>
      </w:pPr>
      <m:oMathPara>
        <m:oMath>
          <m:r>
            <w:rPr>
              <w:rFonts w:ascii="Cambria Math" w:hAnsi="Cambria Math"/>
            </w:rPr>
            <m:t>IN05=0,13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+0,04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+3,97</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+0,21</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+0,09</m:t>
          </m:r>
          <m:sSub>
            <m:sSubPr>
              <m:ctrlPr>
                <w:rPr>
                  <w:rFonts w:ascii="Cambria Math" w:hAnsi="Cambria Math"/>
                  <w:i/>
                </w:rPr>
              </m:ctrlPr>
            </m:sSubPr>
            <m:e>
              <m:r>
                <w:rPr>
                  <w:rFonts w:ascii="Cambria Math" w:hAnsi="Cambria Math"/>
                </w:rPr>
                <m:t>x</m:t>
              </m:r>
            </m:e>
            <m:sub>
              <m:r>
                <w:rPr>
                  <w:rFonts w:ascii="Cambria Math" w:hAnsi="Cambria Math"/>
                </w:rPr>
                <m:t>5</m:t>
              </m:r>
            </m:sub>
          </m:sSub>
        </m:oMath>
      </m:oMathPara>
    </w:p>
    <w:p w14:paraId="472620D1" w14:textId="1755091B" w:rsidR="00A76E02" w:rsidRDefault="00A76E02" w:rsidP="0043358B">
      <w:pPr>
        <w:pStyle w:val="Dalodstavce"/>
      </w:pPr>
      <w:r>
        <w:t xml:space="preserve">Kde: </w:t>
      </w:r>
    </w:p>
    <w:p w14:paraId="4461CF1C" w14:textId="42996FE5" w:rsidR="00A76E02" w:rsidRDefault="00A76E02" w:rsidP="0043358B">
      <w:pPr>
        <w:pStyle w:val="Dalodstavce"/>
      </w:pPr>
      <w:r>
        <w:rPr>
          <w:i/>
          <w:iCs/>
        </w:rPr>
        <w:t>X</w:t>
      </w:r>
      <w:r>
        <w:rPr>
          <w:i/>
          <w:iCs/>
          <w:vertAlign w:val="subscript"/>
        </w:rPr>
        <w:t>1</w:t>
      </w:r>
      <w:r>
        <w:rPr>
          <w:i/>
          <w:iCs/>
          <w:vertAlign w:val="subscript"/>
        </w:rPr>
        <w:tab/>
      </w:r>
      <w:r w:rsidR="00D9303D">
        <w:rPr>
          <w:i/>
          <w:iCs/>
        </w:rPr>
        <w:t xml:space="preserve">= </w:t>
      </w:r>
      <w:r w:rsidR="00D9303D">
        <w:t>Celková aktiva/Cizí kapitál</w:t>
      </w:r>
    </w:p>
    <w:p w14:paraId="40A38A7D" w14:textId="7378612D" w:rsidR="00D9303D" w:rsidRDefault="00D9303D" w:rsidP="0043358B">
      <w:pPr>
        <w:pStyle w:val="Dalodstavce"/>
      </w:pPr>
      <w:r w:rsidRPr="004D0E66">
        <w:rPr>
          <w:i/>
          <w:iCs/>
        </w:rPr>
        <w:t>X</w:t>
      </w:r>
      <w:r w:rsidRPr="004D0E66">
        <w:rPr>
          <w:i/>
          <w:iCs/>
          <w:vertAlign w:val="subscript"/>
        </w:rPr>
        <w:t>2</w:t>
      </w:r>
      <w:r>
        <w:rPr>
          <w:vertAlign w:val="subscript"/>
        </w:rPr>
        <w:tab/>
      </w:r>
      <w:r>
        <w:t xml:space="preserve"> = EBIT/úroky</w:t>
      </w:r>
    </w:p>
    <w:p w14:paraId="1905DF1A" w14:textId="07E710A9" w:rsidR="00D9303D" w:rsidRDefault="00D9303D" w:rsidP="0043358B">
      <w:pPr>
        <w:pStyle w:val="Dalodstavce"/>
      </w:pPr>
      <w:r w:rsidRPr="004D0E66">
        <w:rPr>
          <w:i/>
          <w:iCs/>
        </w:rPr>
        <w:t>X</w:t>
      </w:r>
      <w:r w:rsidRPr="004D0E66">
        <w:rPr>
          <w:i/>
          <w:iCs/>
          <w:vertAlign w:val="subscript"/>
        </w:rPr>
        <w:t>3</w:t>
      </w:r>
      <w:r>
        <w:t xml:space="preserve"> = EBIT</w:t>
      </w:r>
      <w:r w:rsidR="003E7A3D">
        <w:t xml:space="preserve">/celková aktiva </w:t>
      </w:r>
    </w:p>
    <w:p w14:paraId="6E51FB84" w14:textId="158C65AD" w:rsidR="003E7A3D" w:rsidRDefault="003E7A3D" w:rsidP="0043358B">
      <w:pPr>
        <w:pStyle w:val="Dalodstavce"/>
      </w:pPr>
      <w:r w:rsidRPr="004D0E66">
        <w:rPr>
          <w:i/>
          <w:iCs/>
        </w:rPr>
        <w:t>X</w:t>
      </w:r>
      <w:r w:rsidRPr="004D0E66">
        <w:rPr>
          <w:i/>
          <w:iCs/>
          <w:vertAlign w:val="subscript"/>
        </w:rPr>
        <w:t>4</w:t>
      </w:r>
      <w:r>
        <w:rPr>
          <w:vertAlign w:val="subscript"/>
        </w:rPr>
        <w:tab/>
      </w:r>
      <w:r>
        <w:t xml:space="preserve"> = </w:t>
      </w:r>
      <w:r w:rsidR="00A441AB">
        <w:t>Výnosy/celková aktiva</w:t>
      </w:r>
    </w:p>
    <w:p w14:paraId="11B3AD94" w14:textId="36D79610" w:rsidR="00A441AB" w:rsidRDefault="00A441AB" w:rsidP="0043358B">
      <w:pPr>
        <w:pStyle w:val="Dalodstavce"/>
      </w:pPr>
      <w:r w:rsidRPr="004D0E66">
        <w:rPr>
          <w:i/>
          <w:iCs/>
        </w:rPr>
        <w:t>X</w:t>
      </w:r>
      <w:r w:rsidRPr="004D0E66">
        <w:rPr>
          <w:i/>
          <w:iCs/>
          <w:vertAlign w:val="subscript"/>
        </w:rPr>
        <w:t>5</w:t>
      </w:r>
      <w:r>
        <w:t xml:space="preserve"> = Oběžná aktiva/krátkodobé závazky </w:t>
      </w:r>
    </w:p>
    <w:p w14:paraId="26DB5732" w14:textId="77777777" w:rsidR="00A441AB" w:rsidRDefault="00A441AB" w:rsidP="0043358B">
      <w:pPr>
        <w:pStyle w:val="Dalodstavce"/>
      </w:pPr>
    </w:p>
    <w:p w14:paraId="11DA7E9A" w14:textId="2BE446D4" w:rsidR="002C7968" w:rsidRPr="00110240" w:rsidRDefault="00110240" w:rsidP="0043358B">
      <w:pPr>
        <w:pStyle w:val="Dalodstavce"/>
      </w:pPr>
      <w:r>
        <w:t>Provedly jsme výpočet tohoto indexu na zkoumaném podniku S</w:t>
      </w:r>
      <w:r w:rsidRPr="00110240">
        <w:t>&amp;K Label</w:t>
      </w:r>
      <w:r w:rsidR="00AF1CDF">
        <w:t xml:space="preserve"> a výsledky jsou uvedeny v tabulce č. 22. </w:t>
      </w:r>
    </w:p>
    <w:p w14:paraId="75639D8A" w14:textId="3F4A1F61" w:rsidR="00F00493" w:rsidRDefault="00F00493" w:rsidP="00C93AFD">
      <w:pPr>
        <w:pStyle w:val="Titulektabulky"/>
      </w:pPr>
      <w:bookmarkStart w:id="75" w:name="_Toc133180308"/>
      <w:r>
        <w:t xml:space="preserve">Tabulka č. 22: </w:t>
      </w:r>
      <w:r w:rsidR="00842876">
        <w:t>Výsledky indexu IN05</w:t>
      </w:r>
      <w:bookmarkEnd w:id="75"/>
    </w:p>
    <w:tbl>
      <w:tblPr>
        <w:tblW w:w="7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1"/>
        <w:gridCol w:w="850"/>
        <w:gridCol w:w="762"/>
        <w:gridCol w:w="762"/>
        <w:gridCol w:w="762"/>
        <w:gridCol w:w="762"/>
        <w:gridCol w:w="763"/>
      </w:tblGrid>
      <w:tr w:rsidR="008B7384" w:rsidRPr="00C215E9" w14:paraId="4120C405"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039DE995" w14:textId="77777777" w:rsidR="00C215E9" w:rsidRPr="00C93AFD" w:rsidRDefault="00C215E9" w:rsidP="0043358B">
            <w:pPr>
              <w:jc w:val="both"/>
              <w:rPr>
                <w:rFonts w:ascii="Times New Roman" w:hAnsi="Times New Roman"/>
                <w:sz w:val="18"/>
                <w:szCs w:val="18"/>
              </w:rPr>
            </w:pPr>
          </w:p>
        </w:tc>
        <w:tc>
          <w:tcPr>
            <w:tcW w:w="850" w:type="dxa"/>
            <w:shd w:val="clear" w:color="auto" w:fill="A8D08D" w:themeFill="accent6" w:themeFillTint="99"/>
            <w:tcMar>
              <w:top w:w="30" w:type="dxa"/>
              <w:left w:w="45" w:type="dxa"/>
              <w:bottom w:w="30" w:type="dxa"/>
              <w:right w:w="45" w:type="dxa"/>
            </w:tcMar>
            <w:vAlign w:val="bottom"/>
            <w:hideMark/>
          </w:tcPr>
          <w:p w14:paraId="5C16BC57" w14:textId="77777777" w:rsidR="00C215E9" w:rsidRPr="00C93AFD" w:rsidRDefault="00C215E9" w:rsidP="0043358B">
            <w:pPr>
              <w:jc w:val="both"/>
              <w:rPr>
                <w:rFonts w:ascii="Times New Roman" w:hAnsi="Times New Roman"/>
                <w:sz w:val="18"/>
                <w:szCs w:val="18"/>
              </w:rPr>
            </w:pPr>
          </w:p>
        </w:tc>
        <w:tc>
          <w:tcPr>
            <w:tcW w:w="762" w:type="dxa"/>
            <w:shd w:val="clear" w:color="auto" w:fill="A8D08D" w:themeFill="accent6" w:themeFillTint="99"/>
            <w:tcMar>
              <w:top w:w="30" w:type="dxa"/>
              <w:left w:w="45" w:type="dxa"/>
              <w:bottom w:w="30" w:type="dxa"/>
              <w:right w:w="45" w:type="dxa"/>
            </w:tcMar>
            <w:vAlign w:val="bottom"/>
            <w:hideMark/>
          </w:tcPr>
          <w:p w14:paraId="6F442CD2" w14:textId="77777777" w:rsidR="00C215E9" w:rsidRPr="00C93AFD" w:rsidRDefault="00C215E9" w:rsidP="0043358B">
            <w:pPr>
              <w:jc w:val="both"/>
              <w:rPr>
                <w:rFonts w:ascii="Arial" w:hAnsi="Arial" w:cs="Arial"/>
                <w:b/>
                <w:bCs/>
                <w:sz w:val="18"/>
                <w:szCs w:val="18"/>
              </w:rPr>
            </w:pPr>
            <w:r w:rsidRPr="00C93AFD">
              <w:rPr>
                <w:rFonts w:ascii="Arial" w:hAnsi="Arial" w:cs="Arial"/>
                <w:b/>
                <w:bCs/>
                <w:sz w:val="18"/>
                <w:szCs w:val="18"/>
              </w:rPr>
              <w:t>2017</w:t>
            </w:r>
          </w:p>
        </w:tc>
        <w:tc>
          <w:tcPr>
            <w:tcW w:w="762" w:type="dxa"/>
            <w:shd w:val="clear" w:color="auto" w:fill="A8D08D" w:themeFill="accent6" w:themeFillTint="99"/>
            <w:tcMar>
              <w:top w:w="30" w:type="dxa"/>
              <w:left w:w="45" w:type="dxa"/>
              <w:bottom w:w="30" w:type="dxa"/>
              <w:right w:w="45" w:type="dxa"/>
            </w:tcMar>
            <w:vAlign w:val="bottom"/>
            <w:hideMark/>
          </w:tcPr>
          <w:p w14:paraId="25785E9D" w14:textId="77777777" w:rsidR="00C215E9" w:rsidRPr="00C93AFD" w:rsidRDefault="00C215E9" w:rsidP="0043358B">
            <w:pPr>
              <w:jc w:val="both"/>
              <w:rPr>
                <w:rFonts w:ascii="Arial" w:hAnsi="Arial" w:cs="Arial"/>
                <w:b/>
                <w:bCs/>
                <w:sz w:val="18"/>
                <w:szCs w:val="18"/>
              </w:rPr>
            </w:pPr>
            <w:r w:rsidRPr="00C93AFD">
              <w:rPr>
                <w:rFonts w:ascii="Arial" w:hAnsi="Arial" w:cs="Arial"/>
                <w:b/>
                <w:bCs/>
                <w:sz w:val="18"/>
                <w:szCs w:val="18"/>
              </w:rPr>
              <w:t>2018</w:t>
            </w:r>
          </w:p>
        </w:tc>
        <w:tc>
          <w:tcPr>
            <w:tcW w:w="762" w:type="dxa"/>
            <w:shd w:val="clear" w:color="auto" w:fill="A8D08D" w:themeFill="accent6" w:themeFillTint="99"/>
            <w:tcMar>
              <w:top w:w="30" w:type="dxa"/>
              <w:left w:w="45" w:type="dxa"/>
              <w:bottom w:w="30" w:type="dxa"/>
              <w:right w:w="45" w:type="dxa"/>
            </w:tcMar>
            <w:vAlign w:val="bottom"/>
            <w:hideMark/>
          </w:tcPr>
          <w:p w14:paraId="15D27D49" w14:textId="77777777" w:rsidR="00C215E9" w:rsidRPr="00C93AFD" w:rsidRDefault="00C215E9" w:rsidP="0043358B">
            <w:pPr>
              <w:jc w:val="both"/>
              <w:rPr>
                <w:rFonts w:ascii="Arial" w:hAnsi="Arial" w:cs="Arial"/>
                <w:b/>
                <w:bCs/>
                <w:sz w:val="18"/>
                <w:szCs w:val="18"/>
              </w:rPr>
            </w:pPr>
            <w:r w:rsidRPr="00C93AFD">
              <w:rPr>
                <w:rFonts w:ascii="Arial" w:hAnsi="Arial" w:cs="Arial"/>
                <w:b/>
                <w:bCs/>
                <w:sz w:val="18"/>
                <w:szCs w:val="18"/>
              </w:rPr>
              <w:t>2019</w:t>
            </w:r>
          </w:p>
        </w:tc>
        <w:tc>
          <w:tcPr>
            <w:tcW w:w="762" w:type="dxa"/>
            <w:shd w:val="clear" w:color="auto" w:fill="A8D08D" w:themeFill="accent6" w:themeFillTint="99"/>
            <w:tcMar>
              <w:top w:w="30" w:type="dxa"/>
              <w:left w:w="45" w:type="dxa"/>
              <w:bottom w:w="30" w:type="dxa"/>
              <w:right w:w="45" w:type="dxa"/>
            </w:tcMar>
            <w:vAlign w:val="bottom"/>
            <w:hideMark/>
          </w:tcPr>
          <w:p w14:paraId="471D219A" w14:textId="77777777" w:rsidR="00C215E9" w:rsidRPr="00C93AFD" w:rsidRDefault="00C215E9" w:rsidP="0043358B">
            <w:pPr>
              <w:jc w:val="both"/>
              <w:rPr>
                <w:rFonts w:ascii="Arial" w:hAnsi="Arial" w:cs="Arial"/>
                <w:b/>
                <w:bCs/>
                <w:sz w:val="18"/>
                <w:szCs w:val="18"/>
              </w:rPr>
            </w:pPr>
            <w:r w:rsidRPr="00C93AFD">
              <w:rPr>
                <w:rFonts w:ascii="Arial" w:hAnsi="Arial" w:cs="Arial"/>
                <w:b/>
                <w:bCs/>
                <w:sz w:val="18"/>
                <w:szCs w:val="18"/>
              </w:rPr>
              <w:t>2020</w:t>
            </w:r>
          </w:p>
        </w:tc>
        <w:tc>
          <w:tcPr>
            <w:tcW w:w="763" w:type="dxa"/>
            <w:shd w:val="clear" w:color="auto" w:fill="A8D08D" w:themeFill="accent6" w:themeFillTint="99"/>
            <w:tcMar>
              <w:top w:w="30" w:type="dxa"/>
              <w:left w:w="45" w:type="dxa"/>
              <w:bottom w:w="30" w:type="dxa"/>
              <w:right w:w="45" w:type="dxa"/>
            </w:tcMar>
            <w:vAlign w:val="bottom"/>
            <w:hideMark/>
          </w:tcPr>
          <w:p w14:paraId="439EE0BE" w14:textId="77777777" w:rsidR="00C215E9" w:rsidRPr="00C93AFD" w:rsidRDefault="00C215E9" w:rsidP="0043358B">
            <w:pPr>
              <w:jc w:val="both"/>
              <w:rPr>
                <w:rFonts w:ascii="Arial" w:hAnsi="Arial" w:cs="Arial"/>
                <w:b/>
                <w:bCs/>
                <w:sz w:val="18"/>
                <w:szCs w:val="18"/>
              </w:rPr>
            </w:pPr>
            <w:r w:rsidRPr="00C93AFD">
              <w:rPr>
                <w:rFonts w:ascii="Arial" w:hAnsi="Arial" w:cs="Arial"/>
                <w:b/>
                <w:bCs/>
                <w:sz w:val="18"/>
                <w:szCs w:val="18"/>
              </w:rPr>
              <w:t>2021</w:t>
            </w:r>
          </w:p>
        </w:tc>
      </w:tr>
      <w:tr w:rsidR="008B7384" w:rsidRPr="00C215E9" w14:paraId="3774491E"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210CDC58" w14:textId="704A169C"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 xml:space="preserve">Celková aktiva/cizí kapitál </w:t>
            </w:r>
          </w:p>
        </w:tc>
        <w:tc>
          <w:tcPr>
            <w:tcW w:w="850" w:type="dxa"/>
            <w:tcMar>
              <w:top w:w="30" w:type="dxa"/>
              <w:left w:w="45" w:type="dxa"/>
              <w:bottom w:w="30" w:type="dxa"/>
              <w:right w:w="45" w:type="dxa"/>
            </w:tcMar>
            <w:vAlign w:val="bottom"/>
            <w:hideMark/>
          </w:tcPr>
          <w:p w14:paraId="056DDE5C" w14:textId="2B44B734" w:rsidR="00F3463D" w:rsidRPr="00C93AFD" w:rsidRDefault="00F3463D" w:rsidP="0043358B">
            <w:pPr>
              <w:jc w:val="both"/>
              <w:rPr>
                <w:rFonts w:ascii="Arial" w:hAnsi="Arial" w:cs="Arial"/>
                <w:sz w:val="18"/>
                <w:szCs w:val="18"/>
                <w:vertAlign w:val="subscript"/>
              </w:rPr>
            </w:pPr>
            <w:r w:rsidRPr="00C93AFD">
              <w:rPr>
                <w:rFonts w:ascii="Arial" w:hAnsi="Arial" w:cs="Arial"/>
                <w:sz w:val="18"/>
                <w:szCs w:val="18"/>
              </w:rPr>
              <w:t>x</w:t>
            </w:r>
            <w:r w:rsidRPr="00C93AFD">
              <w:rPr>
                <w:rFonts w:ascii="Arial" w:hAnsi="Arial" w:cs="Arial"/>
                <w:sz w:val="18"/>
                <w:szCs w:val="18"/>
                <w:vertAlign w:val="subscript"/>
              </w:rPr>
              <w:t>1</w:t>
            </w:r>
          </w:p>
        </w:tc>
        <w:tc>
          <w:tcPr>
            <w:tcW w:w="762" w:type="dxa"/>
            <w:tcMar>
              <w:top w:w="30" w:type="dxa"/>
              <w:left w:w="45" w:type="dxa"/>
              <w:bottom w:w="30" w:type="dxa"/>
              <w:right w:w="45" w:type="dxa"/>
            </w:tcMar>
            <w:vAlign w:val="bottom"/>
            <w:hideMark/>
          </w:tcPr>
          <w:p w14:paraId="62F82059" w14:textId="0B61E4B6" w:rsidR="00F3463D" w:rsidRPr="00C93AFD" w:rsidRDefault="00F3463D" w:rsidP="0043358B">
            <w:pPr>
              <w:jc w:val="both"/>
              <w:rPr>
                <w:rFonts w:ascii="Arial" w:hAnsi="Arial" w:cs="Arial"/>
                <w:sz w:val="18"/>
                <w:szCs w:val="18"/>
              </w:rPr>
            </w:pPr>
            <w:r w:rsidRPr="00C93AFD">
              <w:rPr>
                <w:rFonts w:ascii="Arial" w:hAnsi="Arial" w:cs="Arial"/>
                <w:sz w:val="18"/>
                <w:szCs w:val="18"/>
              </w:rPr>
              <w:t>1,256</w:t>
            </w:r>
          </w:p>
        </w:tc>
        <w:tc>
          <w:tcPr>
            <w:tcW w:w="762" w:type="dxa"/>
            <w:tcMar>
              <w:top w:w="30" w:type="dxa"/>
              <w:left w:w="45" w:type="dxa"/>
              <w:bottom w:w="30" w:type="dxa"/>
              <w:right w:w="45" w:type="dxa"/>
            </w:tcMar>
            <w:vAlign w:val="bottom"/>
            <w:hideMark/>
          </w:tcPr>
          <w:p w14:paraId="63FDE79F" w14:textId="397B8A22" w:rsidR="00F3463D" w:rsidRPr="00C93AFD" w:rsidRDefault="00F3463D" w:rsidP="0043358B">
            <w:pPr>
              <w:jc w:val="both"/>
              <w:rPr>
                <w:rFonts w:ascii="Arial" w:hAnsi="Arial" w:cs="Arial"/>
                <w:sz w:val="18"/>
                <w:szCs w:val="18"/>
              </w:rPr>
            </w:pPr>
            <w:r w:rsidRPr="00C93AFD">
              <w:rPr>
                <w:rFonts w:ascii="Arial" w:hAnsi="Arial" w:cs="Arial"/>
                <w:sz w:val="18"/>
                <w:szCs w:val="18"/>
              </w:rPr>
              <w:t>1,523</w:t>
            </w:r>
          </w:p>
        </w:tc>
        <w:tc>
          <w:tcPr>
            <w:tcW w:w="762" w:type="dxa"/>
            <w:tcMar>
              <w:top w:w="30" w:type="dxa"/>
              <w:left w:w="45" w:type="dxa"/>
              <w:bottom w:w="30" w:type="dxa"/>
              <w:right w:w="45" w:type="dxa"/>
            </w:tcMar>
            <w:vAlign w:val="bottom"/>
            <w:hideMark/>
          </w:tcPr>
          <w:p w14:paraId="1EABB12E" w14:textId="64C5CBBC" w:rsidR="00F3463D" w:rsidRPr="00C93AFD" w:rsidRDefault="00F3463D" w:rsidP="0043358B">
            <w:pPr>
              <w:jc w:val="both"/>
              <w:rPr>
                <w:rFonts w:ascii="Arial" w:hAnsi="Arial" w:cs="Arial"/>
                <w:sz w:val="18"/>
                <w:szCs w:val="18"/>
              </w:rPr>
            </w:pPr>
            <w:r w:rsidRPr="00C93AFD">
              <w:rPr>
                <w:rFonts w:ascii="Arial" w:hAnsi="Arial" w:cs="Arial"/>
                <w:sz w:val="18"/>
                <w:szCs w:val="18"/>
              </w:rPr>
              <w:t>1,808</w:t>
            </w:r>
          </w:p>
        </w:tc>
        <w:tc>
          <w:tcPr>
            <w:tcW w:w="762" w:type="dxa"/>
            <w:tcMar>
              <w:top w:w="30" w:type="dxa"/>
              <w:left w:w="45" w:type="dxa"/>
              <w:bottom w:w="30" w:type="dxa"/>
              <w:right w:w="45" w:type="dxa"/>
            </w:tcMar>
            <w:vAlign w:val="bottom"/>
            <w:hideMark/>
          </w:tcPr>
          <w:p w14:paraId="3BB8F333" w14:textId="2BC0991D" w:rsidR="00F3463D" w:rsidRPr="00C93AFD" w:rsidRDefault="00F3463D" w:rsidP="0043358B">
            <w:pPr>
              <w:jc w:val="both"/>
              <w:rPr>
                <w:rFonts w:ascii="Arial" w:hAnsi="Arial" w:cs="Arial"/>
                <w:sz w:val="18"/>
                <w:szCs w:val="18"/>
              </w:rPr>
            </w:pPr>
            <w:r w:rsidRPr="00C93AFD">
              <w:rPr>
                <w:rFonts w:ascii="Arial" w:hAnsi="Arial" w:cs="Arial"/>
                <w:sz w:val="18"/>
                <w:szCs w:val="18"/>
              </w:rPr>
              <w:t>1,842</w:t>
            </w:r>
          </w:p>
        </w:tc>
        <w:tc>
          <w:tcPr>
            <w:tcW w:w="763" w:type="dxa"/>
            <w:tcMar>
              <w:top w:w="30" w:type="dxa"/>
              <w:left w:w="45" w:type="dxa"/>
              <w:bottom w:w="30" w:type="dxa"/>
              <w:right w:w="45" w:type="dxa"/>
            </w:tcMar>
            <w:vAlign w:val="bottom"/>
            <w:hideMark/>
          </w:tcPr>
          <w:p w14:paraId="4156BBED" w14:textId="2ADA7A43" w:rsidR="00F3463D" w:rsidRPr="00C93AFD" w:rsidRDefault="00F3463D" w:rsidP="0043358B">
            <w:pPr>
              <w:jc w:val="both"/>
              <w:rPr>
                <w:rFonts w:ascii="Arial" w:hAnsi="Arial" w:cs="Arial"/>
                <w:sz w:val="18"/>
                <w:szCs w:val="18"/>
              </w:rPr>
            </w:pPr>
            <w:r w:rsidRPr="00C93AFD">
              <w:rPr>
                <w:rFonts w:ascii="Arial" w:hAnsi="Arial" w:cs="Arial"/>
                <w:sz w:val="18"/>
                <w:szCs w:val="18"/>
              </w:rPr>
              <w:t>1,894</w:t>
            </w:r>
          </w:p>
        </w:tc>
      </w:tr>
      <w:tr w:rsidR="008B7384" w:rsidRPr="00C215E9" w14:paraId="3379D99B"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0325CB76" w14:textId="77777777"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EBIT/úroky</w:t>
            </w:r>
          </w:p>
        </w:tc>
        <w:tc>
          <w:tcPr>
            <w:tcW w:w="850" w:type="dxa"/>
            <w:tcMar>
              <w:top w:w="30" w:type="dxa"/>
              <w:left w:w="45" w:type="dxa"/>
              <w:bottom w:w="30" w:type="dxa"/>
              <w:right w:w="45" w:type="dxa"/>
            </w:tcMar>
            <w:vAlign w:val="bottom"/>
            <w:hideMark/>
          </w:tcPr>
          <w:p w14:paraId="5BFB0CE3" w14:textId="402843CD" w:rsidR="00F3463D" w:rsidRPr="00C93AFD" w:rsidRDefault="00F3463D" w:rsidP="0043358B">
            <w:pPr>
              <w:jc w:val="both"/>
              <w:rPr>
                <w:rFonts w:ascii="Arial" w:hAnsi="Arial" w:cs="Arial"/>
                <w:sz w:val="18"/>
                <w:szCs w:val="18"/>
                <w:vertAlign w:val="subscript"/>
              </w:rPr>
            </w:pPr>
            <w:r w:rsidRPr="00C93AFD">
              <w:rPr>
                <w:rFonts w:ascii="Arial" w:hAnsi="Arial" w:cs="Arial"/>
                <w:sz w:val="18"/>
                <w:szCs w:val="18"/>
              </w:rPr>
              <w:t>x</w:t>
            </w:r>
            <w:r w:rsidRPr="00C93AFD">
              <w:rPr>
                <w:rFonts w:ascii="Arial" w:hAnsi="Arial" w:cs="Arial"/>
                <w:sz w:val="18"/>
                <w:szCs w:val="18"/>
                <w:vertAlign w:val="subscript"/>
              </w:rPr>
              <w:t>2</w:t>
            </w:r>
          </w:p>
        </w:tc>
        <w:tc>
          <w:tcPr>
            <w:tcW w:w="762" w:type="dxa"/>
            <w:tcMar>
              <w:top w:w="30" w:type="dxa"/>
              <w:left w:w="45" w:type="dxa"/>
              <w:bottom w:w="30" w:type="dxa"/>
              <w:right w:w="45" w:type="dxa"/>
            </w:tcMar>
            <w:vAlign w:val="bottom"/>
            <w:hideMark/>
          </w:tcPr>
          <w:p w14:paraId="492A41F3" w14:textId="4E73E46B" w:rsidR="00F3463D" w:rsidRPr="00C93AFD" w:rsidRDefault="00F3463D" w:rsidP="0043358B">
            <w:pPr>
              <w:jc w:val="both"/>
              <w:rPr>
                <w:rFonts w:ascii="Arial" w:hAnsi="Arial" w:cs="Arial"/>
                <w:sz w:val="18"/>
                <w:szCs w:val="18"/>
              </w:rPr>
            </w:pPr>
            <w:r w:rsidRPr="00C93AFD">
              <w:rPr>
                <w:rFonts w:ascii="Arial" w:hAnsi="Arial" w:cs="Arial"/>
                <w:sz w:val="18"/>
                <w:szCs w:val="18"/>
              </w:rPr>
              <w:t>12,455</w:t>
            </w:r>
          </w:p>
        </w:tc>
        <w:tc>
          <w:tcPr>
            <w:tcW w:w="762" w:type="dxa"/>
            <w:tcMar>
              <w:top w:w="30" w:type="dxa"/>
              <w:left w:w="45" w:type="dxa"/>
              <w:bottom w:w="30" w:type="dxa"/>
              <w:right w:w="45" w:type="dxa"/>
            </w:tcMar>
            <w:vAlign w:val="bottom"/>
            <w:hideMark/>
          </w:tcPr>
          <w:p w14:paraId="7530DDD1" w14:textId="044A615C" w:rsidR="00F3463D" w:rsidRPr="00C93AFD" w:rsidRDefault="00F3463D" w:rsidP="0043358B">
            <w:pPr>
              <w:jc w:val="both"/>
              <w:rPr>
                <w:rFonts w:ascii="Arial" w:hAnsi="Arial" w:cs="Arial"/>
                <w:sz w:val="18"/>
                <w:szCs w:val="18"/>
              </w:rPr>
            </w:pPr>
            <w:r w:rsidRPr="00C93AFD">
              <w:rPr>
                <w:rFonts w:ascii="Arial" w:hAnsi="Arial" w:cs="Arial"/>
                <w:sz w:val="18"/>
                <w:szCs w:val="18"/>
              </w:rPr>
              <w:t>8,632</w:t>
            </w:r>
          </w:p>
        </w:tc>
        <w:tc>
          <w:tcPr>
            <w:tcW w:w="762" w:type="dxa"/>
            <w:tcMar>
              <w:top w:w="30" w:type="dxa"/>
              <w:left w:w="45" w:type="dxa"/>
              <w:bottom w:w="30" w:type="dxa"/>
              <w:right w:w="45" w:type="dxa"/>
            </w:tcMar>
            <w:vAlign w:val="bottom"/>
            <w:hideMark/>
          </w:tcPr>
          <w:p w14:paraId="6EBA9342" w14:textId="09507D32" w:rsidR="00F3463D" w:rsidRPr="00C93AFD" w:rsidRDefault="00F3463D" w:rsidP="0043358B">
            <w:pPr>
              <w:jc w:val="both"/>
              <w:rPr>
                <w:rFonts w:ascii="Arial" w:hAnsi="Arial" w:cs="Arial"/>
                <w:sz w:val="18"/>
                <w:szCs w:val="18"/>
              </w:rPr>
            </w:pPr>
            <w:r w:rsidRPr="00C93AFD">
              <w:rPr>
                <w:rFonts w:ascii="Arial" w:hAnsi="Arial" w:cs="Arial"/>
                <w:sz w:val="18"/>
                <w:szCs w:val="18"/>
              </w:rPr>
              <w:t>12,826</w:t>
            </w:r>
          </w:p>
        </w:tc>
        <w:tc>
          <w:tcPr>
            <w:tcW w:w="762" w:type="dxa"/>
            <w:tcMar>
              <w:top w:w="30" w:type="dxa"/>
              <w:left w:w="45" w:type="dxa"/>
              <w:bottom w:w="30" w:type="dxa"/>
              <w:right w:w="45" w:type="dxa"/>
            </w:tcMar>
            <w:vAlign w:val="bottom"/>
            <w:hideMark/>
          </w:tcPr>
          <w:p w14:paraId="06B04065" w14:textId="70FA0EB6" w:rsidR="00F3463D" w:rsidRPr="00C93AFD" w:rsidRDefault="00F3463D" w:rsidP="0043358B">
            <w:pPr>
              <w:jc w:val="both"/>
              <w:rPr>
                <w:rFonts w:ascii="Arial" w:hAnsi="Arial" w:cs="Arial"/>
                <w:sz w:val="18"/>
                <w:szCs w:val="18"/>
              </w:rPr>
            </w:pPr>
            <w:r w:rsidRPr="00C93AFD">
              <w:rPr>
                <w:rFonts w:ascii="Arial" w:hAnsi="Arial" w:cs="Arial"/>
                <w:sz w:val="18"/>
                <w:szCs w:val="18"/>
              </w:rPr>
              <w:t>26,161</w:t>
            </w:r>
          </w:p>
        </w:tc>
        <w:tc>
          <w:tcPr>
            <w:tcW w:w="763" w:type="dxa"/>
            <w:tcMar>
              <w:top w:w="30" w:type="dxa"/>
              <w:left w:w="45" w:type="dxa"/>
              <w:bottom w:w="30" w:type="dxa"/>
              <w:right w:w="45" w:type="dxa"/>
            </w:tcMar>
            <w:vAlign w:val="bottom"/>
            <w:hideMark/>
          </w:tcPr>
          <w:p w14:paraId="32A30815" w14:textId="35340E43" w:rsidR="00F3463D" w:rsidRPr="00C93AFD" w:rsidRDefault="00F3463D" w:rsidP="0043358B">
            <w:pPr>
              <w:jc w:val="both"/>
              <w:rPr>
                <w:rFonts w:ascii="Arial" w:hAnsi="Arial" w:cs="Arial"/>
                <w:sz w:val="18"/>
                <w:szCs w:val="18"/>
              </w:rPr>
            </w:pPr>
            <w:r w:rsidRPr="00C93AFD">
              <w:rPr>
                <w:rFonts w:ascii="Arial" w:hAnsi="Arial" w:cs="Arial"/>
                <w:sz w:val="18"/>
                <w:szCs w:val="18"/>
              </w:rPr>
              <w:t>51,859</w:t>
            </w:r>
          </w:p>
        </w:tc>
      </w:tr>
      <w:tr w:rsidR="008B7384" w:rsidRPr="00C215E9" w14:paraId="0E98864C"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649DF030" w14:textId="7D5CC6DD"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EBIT/celková aktiva</w:t>
            </w:r>
          </w:p>
        </w:tc>
        <w:tc>
          <w:tcPr>
            <w:tcW w:w="850" w:type="dxa"/>
            <w:tcMar>
              <w:top w:w="30" w:type="dxa"/>
              <w:left w:w="45" w:type="dxa"/>
              <w:bottom w:w="30" w:type="dxa"/>
              <w:right w:w="45" w:type="dxa"/>
            </w:tcMar>
            <w:vAlign w:val="bottom"/>
            <w:hideMark/>
          </w:tcPr>
          <w:p w14:paraId="1A145C53" w14:textId="26BCD0B1" w:rsidR="00F3463D" w:rsidRPr="00C93AFD" w:rsidRDefault="00F3463D" w:rsidP="0043358B">
            <w:pPr>
              <w:jc w:val="both"/>
              <w:rPr>
                <w:rFonts w:ascii="Arial" w:hAnsi="Arial" w:cs="Arial"/>
                <w:sz w:val="18"/>
                <w:szCs w:val="18"/>
                <w:vertAlign w:val="subscript"/>
              </w:rPr>
            </w:pPr>
            <w:r w:rsidRPr="00C93AFD">
              <w:rPr>
                <w:rFonts w:ascii="Arial" w:hAnsi="Arial" w:cs="Arial"/>
                <w:sz w:val="18"/>
                <w:szCs w:val="18"/>
              </w:rPr>
              <w:t>x</w:t>
            </w:r>
            <w:r w:rsidRPr="00C93AFD">
              <w:rPr>
                <w:rFonts w:ascii="Arial" w:hAnsi="Arial" w:cs="Arial"/>
                <w:sz w:val="18"/>
                <w:szCs w:val="18"/>
                <w:vertAlign w:val="subscript"/>
              </w:rPr>
              <w:t>3</w:t>
            </w:r>
          </w:p>
        </w:tc>
        <w:tc>
          <w:tcPr>
            <w:tcW w:w="762" w:type="dxa"/>
            <w:tcMar>
              <w:top w:w="30" w:type="dxa"/>
              <w:left w:w="45" w:type="dxa"/>
              <w:bottom w:w="30" w:type="dxa"/>
              <w:right w:w="45" w:type="dxa"/>
            </w:tcMar>
            <w:vAlign w:val="bottom"/>
            <w:hideMark/>
          </w:tcPr>
          <w:p w14:paraId="1A268B6F" w14:textId="7D0A388C" w:rsidR="00F3463D" w:rsidRPr="00C93AFD" w:rsidRDefault="00F3463D" w:rsidP="0043358B">
            <w:pPr>
              <w:jc w:val="both"/>
              <w:rPr>
                <w:rFonts w:ascii="Arial" w:hAnsi="Arial" w:cs="Arial"/>
                <w:sz w:val="18"/>
                <w:szCs w:val="18"/>
              </w:rPr>
            </w:pPr>
            <w:r w:rsidRPr="00C93AFD">
              <w:rPr>
                <w:rFonts w:ascii="Arial" w:hAnsi="Arial" w:cs="Arial"/>
                <w:sz w:val="18"/>
                <w:szCs w:val="18"/>
              </w:rPr>
              <w:t>0,123</w:t>
            </w:r>
          </w:p>
        </w:tc>
        <w:tc>
          <w:tcPr>
            <w:tcW w:w="762" w:type="dxa"/>
            <w:tcMar>
              <w:top w:w="30" w:type="dxa"/>
              <w:left w:w="45" w:type="dxa"/>
              <w:bottom w:w="30" w:type="dxa"/>
              <w:right w:w="45" w:type="dxa"/>
            </w:tcMar>
            <w:vAlign w:val="bottom"/>
            <w:hideMark/>
          </w:tcPr>
          <w:p w14:paraId="53BFEC67" w14:textId="7EABE526" w:rsidR="00F3463D" w:rsidRPr="00C93AFD" w:rsidRDefault="00F3463D" w:rsidP="0043358B">
            <w:pPr>
              <w:jc w:val="both"/>
              <w:rPr>
                <w:rFonts w:ascii="Arial" w:hAnsi="Arial" w:cs="Arial"/>
                <w:sz w:val="18"/>
                <w:szCs w:val="18"/>
              </w:rPr>
            </w:pPr>
            <w:r w:rsidRPr="00C93AFD">
              <w:rPr>
                <w:rFonts w:ascii="Arial" w:hAnsi="Arial" w:cs="Arial"/>
                <w:sz w:val="18"/>
                <w:szCs w:val="18"/>
              </w:rPr>
              <w:t>0,050</w:t>
            </w:r>
          </w:p>
        </w:tc>
        <w:tc>
          <w:tcPr>
            <w:tcW w:w="762" w:type="dxa"/>
            <w:tcMar>
              <w:top w:w="30" w:type="dxa"/>
              <w:left w:w="45" w:type="dxa"/>
              <w:bottom w:w="30" w:type="dxa"/>
              <w:right w:w="45" w:type="dxa"/>
            </w:tcMar>
            <w:vAlign w:val="bottom"/>
            <w:hideMark/>
          </w:tcPr>
          <w:p w14:paraId="04DD0569" w14:textId="6FE9AE6F" w:rsidR="00F3463D" w:rsidRPr="00C93AFD" w:rsidRDefault="00F3463D" w:rsidP="0043358B">
            <w:pPr>
              <w:jc w:val="both"/>
              <w:rPr>
                <w:rFonts w:ascii="Arial" w:hAnsi="Arial" w:cs="Arial"/>
                <w:sz w:val="18"/>
                <w:szCs w:val="18"/>
              </w:rPr>
            </w:pPr>
            <w:r w:rsidRPr="00C93AFD">
              <w:rPr>
                <w:rFonts w:ascii="Arial" w:hAnsi="Arial" w:cs="Arial"/>
                <w:sz w:val="18"/>
                <w:szCs w:val="18"/>
              </w:rPr>
              <w:t>0,088</w:t>
            </w:r>
          </w:p>
        </w:tc>
        <w:tc>
          <w:tcPr>
            <w:tcW w:w="762" w:type="dxa"/>
            <w:tcMar>
              <w:top w:w="30" w:type="dxa"/>
              <w:left w:w="45" w:type="dxa"/>
              <w:bottom w:w="30" w:type="dxa"/>
              <w:right w:w="45" w:type="dxa"/>
            </w:tcMar>
            <w:vAlign w:val="bottom"/>
            <w:hideMark/>
          </w:tcPr>
          <w:p w14:paraId="2E254664" w14:textId="0DAD49BA" w:rsidR="00F3463D" w:rsidRPr="00C93AFD" w:rsidRDefault="00F3463D" w:rsidP="0043358B">
            <w:pPr>
              <w:jc w:val="both"/>
              <w:rPr>
                <w:rFonts w:ascii="Arial" w:hAnsi="Arial" w:cs="Arial"/>
                <w:sz w:val="18"/>
                <w:szCs w:val="18"/>
              </w:rPr>
            </w:pPr>
            <w:r w:rsidRPr="00C93AFD">
              <w:rPr>
                <w:rFonts w:ascii="Arial" w:hAnsi="Arial" w:cs="Arial"/>
                <w:sz w:val="18"/>
                <w:szCs w:val="18"/>
              </w:rPr>
              <w:t>0,134</w:t>
            </w:r>
          </w:p>
        </w:tc>
        <w:tc>
          <w:tcPr>
            <w:tcW w:w="763" w:type="dxa"/>
            <w:tcMar>
              <w:top w:w="30" w:type="dxa"/>
              <w:left w:w="45" w:type="dxa"/>
              <w:bottom w:w="30" w:type="dxa"/>
              <w:right w:w="45" w:type="dxa"/>
            </w:tcMar>
            <w:vAlign w:val="bottom"/>
            <w:hideMark/>
          </w:tcPr>
          <w:p w14:paraId="670A3B79" w14:textId="2163581A" w:rsidR="00F3463D" w:rsidRPr="00C93AFD" w:rsidRDefault="00F3463D" w:rsidP="0043358B">
            <w:pPr>
              <w:jc w:val="both"/>
              <w:rPr>
                <w:rFonts w:ascii="Arial" w:hAnsi="Arial" w:cs="Arial"/>
                <w:sz w:val="18"/>
                <w:szCs w:val="18"/>
              </w:rPr>
            </w:pPr>
            <w:r w:rsidRPr="00C93AFD">
              <w:rPr>
                <w:rFonts w:ascii="Arial" w:hAnsi="Arial" w:cs="Arial"/>
                <w:sz w:val="18"/>
                <w:szCs w:val="18"/>
              </w:rPr>
              <w:t>0,182</w:t>
            </w:r>
          </w:p>
        </w:tc>
      </w:tr>
      <w:tr w:rsidR="008B7384" w:rsidRPr="00C215E9" w14:paraId="368F5AE8"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0C64D652" w14:textId="77777777"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Výnosy/celková aktiva</w:t>
            </w:r>
          </w:p>
        </w:tc>
        <w:tc>
          <w:tcPr>
            <w:tcW w:w="850" w:type="dxa"/>
            <w:tcMar>
              <w:top w:w="30" w:type="dxa"/>
              <w:left w:w="45" w:type="dxa"/>
              <w:bottom w:w="30" w:type="dxa"/>
              <w:right w:w="45" w:type="dxa"/>
            </w:tcMar>
            <w:vAlign w:val="bottom"/>
            <w:hideMark/>
          </w:tcPr>
          <w:p w14:paraId="137ED0EC" w14:textId="5126585B" w:rsidR="00F3463D" w:rsidRPr="00C93AFD" w:rsidRDefault="00F3463D" w:rsidP="0043358B">
            <w:pPr>
              <w:jc w:val="both"/>
              <w:rPr>
                <w:rFonts w:ascii="Arial" w:hAnsi="Arial" w:cs="Arial"/>
                <w:sz w:val="18"/>
                <w:szCs w:val="18"/>
                <w:vertAlign w:val="subscript"/>
              </w:rPr>
            </w:pPr>
            <w:r w:rsidRPr="00C93AFD">
              <w:rPr>
                <w:rFonts w:ascii="Arial" w:hAnsi="Arial" w:cs="Arial"/>
                <w:sz w:val="18"/>
                <w:szCs w:val="18"/>
              </w:rPr>
              <w:t>x</w:t>
            </w:r>
            <w:r w:rsidRPr="00C93AFD">
              <w:rPr>
                <w:rFonts w:ascii="Arial" w:hAnsi="Arial" w:cs="Arial"/>
                <w:sz w:val="18"/>
                <w:szCs w:val="18"/>
                <w:vertAlign w:val="subscript"/>
              </w:rPr>
              <w:t>4</w:t>
            </w:r>
          </w:p>
        </w:tc>
        <w:tc>
          <w:tcPr>
            <w:tcW w:w="762" w:type="dxa"/>
            <w:tcMar>
              <w:top w:w="30" w:type="dxa"/>
              <w:left w:w="45" w:type="dxa"/>
              <w:bottom w:w="30" w:type="dxa"/>
              <w:right w:w="45" w:type="dxa"/>
            </w:tcMar>
            <w:vAlign w:val="bottom"/>
            <w:hideMark/>
          </w:tcPr>
          <w:p w14:paraId="0321AC01" w14:textId="21D01098" w:rsidR="00F3463D" w:rsidRPr="00C93AFD" w:rsidRDefault="00F3463D" w:rsidP="0043358B">
            <w:pPr>
              <w:jc w:val="both"/>
              <w:rPr>
                <w:rFonts w:ascii="Arial" w:hAnsi="Arial" w:cs="Arial"/>
                <w:sz w:val="18"/>
                <w:szCs w:val="18"/>
              </w:rPr>
            </w:pPr>
            <w:r w:rsidRPr="00C93AFD">
              <w:rPr>
                <w:rFonts w:ascii="Arial" w:hAnsi="Arial" w:cs="Arial"/>
                <w:sz w:val="18"/>
                <w:szCs w:val="18"/>
              </w:rPr>
              <w:t>2,812</w:t>
            </w:r>
          </w:p>
        </w:tc>
        <w:tc>
          <w:tcPr>
            <w:tcW w:w="762" w:type="dxa"/>
            <w:tcMar>
              <w:top w:w="30" w:type="dxa"/>
              <w:left w:w="45" w:type="dxa"/>
              <w:bottom w:w="30" w:type="dxa"/>
              <w:right w:w="45" w:type="dxa"/>
            </w:tcMar>
            <w:vAlign w:val="bottom"/>
            <w:hideMark/>
          </w:tcPr>
          <w:p w14:paraId="3DD053AB" w14:textId="53E8D99C" w:rsidR="00F3463D" w:rsidRPr="00C93AFD" w:rsidRDefault="00F3463D" w:rsidP="0043358B">
            <w:pPr>
              <w:jc w:val="both"/>
              <w:rPr>
                <w:rFonts w:ascii="Arial" w:hAnsi="Arial" w:cs="Arial"/>
                <w:sz w:val="18"/>
                <w:szCs w:val="18"/>
              </w:rPr>
            </w:pPr>
            <w:r w:rsidRPr="00C93AFD">
              <w:rPr>
                <w:rFonts w:ascii="Arial" w:hAnsi="Arial" w:cs="Arial"/>
                <w:sz w:val="18"/>
                <w:szCs w:val="18"/>
              </w:rPr>
              <w:t>2,062</w:t>
            </w:r>
          </w:p>
        </w:tc>
        <w:tc>
          <w:tcPr>
            <w:tcW w:w="762" w:type="dxa"/>
            <w:tcMar>
              <w:top w:w="30" w:type="dxa"/>
              <w:left w:w="45" w:type="dxa"/>
              <w:bottom w:w="30" w:type="dxa"/>
              <w:right w:w="45" w:type="dxa"/>
            </w:tcMar>
            <w:vAlign w:val="bottom"/>
            <w:hideMark/>
          </w:tcPr>
          <w:p w14:paraId="7C268E87" w14:textId="0B3D0BA0" w:rsidR="00F3463D" w:rsidRPr="00C93AFD" w:rsidRDefault="00F3463D" w:rsidP="0043358B">
            <w:pPr>
              <w:jc w:val="both"/>
              <w:rPr>
                <w:rFonts w:ascii="Arial" w:hAnsi="Arial" w:cs="Arial"/>
                <w:sz w:val="18"/>
                <w:szCs w:val="18"/>
              </w:rPr>
            </w:pPr>
            <w:r w:rsidRPr="00C93AFD">
              <w:rPr>
                <w:rFonts w:ascii="Arial" w:hAnsi="Arial" w:cs="Arial"/>
                <w:sz w:val="18"/>
                <w:szCs w:val="18"/>
              </w:rPr>
              <w:t>2,407</w:t>
            </w:r>
          </w:p>
        </w:tc>
        <w:tc>
          <w:tcPr>
            <w:tcW w:w="762" w:type="dxa"/>
            <w:tcMar>
              <w:top w:w="30" w:type="dxa"/>
              <w:left w:w="45" w:type="dxa"/>
              <w:bottom w:w="30" w:type="dxa"/>
              <w:right w:w="45" w:type="dxa"/>
            </w:tcMar>
            <w:vAlign w:val="bottom"/>
            <w:hideMark/>
          </w:tcPr>
          <w:p w14:paraId="6E36C5DB" w14:textId="01626AEF" w:rsidR="00F3463D" w:rsidRPr="00C93AFD" w:rsidRDefault="00F3463D" w:rsidP="0043358B">
            <w:pPr>
              <w:jc w:val="both"/>
              <w:rPr>
                <w:rFonts w:ascii="Arial" w:hAnsi="Arial" w:cs="Arial"/>
                <w:sz w:val="18"/>
                <w:szCs w:val="18"/>
              </w:rPr>
            </w:pPr>
            <w:r w:rsidRPr="00C93AFD">
              <w:rPr>
                <w:rFonts w:ascii="Arial" w:hAnsi="Arial" w:cs="Arial"/>
                <w:sz w:val="18"/>
                <w:szCs w:val="18"/>
              </w:rPr>
              <w:t>2,425</w:t>
            </w:r>
          </w:p>
        </w:tc>
        <w:tc>
          <w:tcPr>
            <w:tcW w:w="763" w:type="dxa"/>
            <w:tcMar>
              <w:top w:w="30" w:type="dxa"/>
              <w:left w:w="45" w:type="dxa"/>
              <w:bottom w:w="30" w:type="dxa"/>
              <w:right w:w="45" w:type="dxa"/>
            </w:tcMar>
            <w:vAlign w:val="bottom"/>
            <w:hideMark/>
          </w:tcPr>
          <w:p w14:paraId="4651434A" w14:textId="023F5C04" w:rsidR="00F3463D" w:rsidRPr="00C93AFD" w:rsidRDefault="00F3463D" w:rsidP="0043358B">
            <w:pPr>
              <w:jc w:val="both"/>
              <w:rPr>
                <w:rFonts w:ascii="Arial" w:hAnsi="Arial" w:cs="Arial"/>
                <w:sz w:val="18"/>
                <w:szCs w:val="18"/>
              </w:rPr>
            </w:pPr>
            <w:r w:rsidRPr="00C93AFD">
              <w:rPr>
                <w:rFonts w:ascii="Arial" w:hAnsi="Arial" w:cs="Arial"/>
                <w:sz w:val="18"/>
                <w:szCs w:val="18"/>
              </w:rPr>
              <w:t>2,390</w:t>
            </w:r>
          </w:p>
        </w:tc>
      </w:tr>
      <w:tr w:rsidR="008B7384" w:rsidRPr="00C215E9" w14:paraId="592E1438"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349F34C6" w14:textId="77777777"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OA/krátkodobé závazky</w:t>
            </w:r>
          </w:p>
        </w:tc>
        <w:tc>
          <w:tcPr>
            <w:tcW w:w="850" w:type="dxa"/>
            <w:tcMar>
              <w:top w:w="30" w:type="dxa"/>
              <w:left w:w="45" w:type="dxa"/>
              <w:bottom w:w="30" w:type="dxa"/>
              <w:right w:w="45" w:type="dxa"/>
            </w:tcMar>
            <w:vAlign w:val="bottom"/>
            <w:hideMark/>
          </w:tcPr>
          <w:p w14:paraId="5AB85623" w14:textId="29BB5632" w:rsidR="00F3463D" w:rsidRPr="00C93AFD" w:rsidRDefault="00F3463D" w:rsidP="0043358B">
            <w:pPr>
              <w:jc w:val="both"/>
              <w:rPr>
                <w:rFonts w:ascii="Arial" w:hAnsi="Arial" w:cs="Arial"/>
                <w:sz w:val="18"/>
                <w:szCs w:val="18"/>
                <w:vertAlign w:val="subscript"/>
              </w:rPr>
            </w:pPr>
            <w:r w:rsidRPr="00C93AFD">
              <w:rPr>
                <w:rFonts w:ascii="Arial" w:hAnsi="Arial" w:cs="Arial"/>
                <w:sz w:val="18"/>
                <w:szCs w:val="18"/>
              </w:rPr>
              <w:t>x</w:t>
            </w:r>
            <w:r w:rsidRPr="00C93AFD">
              <w:rPr>
                <w:rFonts w:ascii="Arial" w:hAnsi="Arial" w:cs="Arial"/>
                <w:sz w:val="18"/>
                <w:szCs w:val="18"/>
                <w:vertAlign w:val="subscript"/>
              </w:rPr>
              <w:t>5</w:t>
            </w:r>
          </w:p>
        </w:tc>
        <w:tc>
          <w:tcPr>
            <w:tcW w:w="762" w:type="dxa"/>
            <w:tcMar>
              <w:top w:w="30" w:type="dxa"/>
              <w:left w:w="45" w:type="dxa"/>
              <w:bottom w:w="30" w:type="dxa"/>
              <w:right w:w="45" w:type="dxa"/>
            </w:tcMar>
            <w:vAlign w:val="bottom"/>
            <w:hideMark/>
          </w:tcPr>
          <w:p w14:paraId="6CCD5E1F" w14:textId="1454D288" w:rsidR="00F3463D" w:rsidRPr="00C93AFD" w:rsidRDefault="00F3463D" w:rsidP="0043358B">
            <w:pPr>
              <w:jc w:val="both"/>
              <w:rPr>
                <w:rFonts w:ascii="Arial" w:hAnsi="Arial" w:cs="Arial"/>
                <w:sz w:val="18"/>
                <w:szCs w:val="18"/>
              </w:rPr>
            </w:pPr>
            <w:r w:rsidRPr="00C93AFD">
              <w:rPr>
                <w:rFonts w:ascii="Arial" w:hAnsi="Arial" w:cs="Arial"/>
                <w:sz w:val="18"/>
                <w:szCs w:val="18"/>
              </w:rPr>
              <w:t>1,571</w:t>
            </w:r>
          </w:p>
        </w:tc>
        <w:tc>
          <w:tcPr>
            <w:tcW w:w="762" w:type="dxa"/>
            <w:tcMar>
              <w:top w:w="30" w:type="dxa"/>
              <w:left w:w="45" w:type="dxa"/>
              <w:bottom w:w="30" w:type="dxa"/>
              <w:right w:w="45" w:type="dxa"/>
            </w:tcMar>
            <w:vAlign w:val="bottom"/>
            <w:hideMark/>
          </w:tcPr>
          <w:p w14:paraId="1DA0AA33" w14:textId="21D6A0E6" w:rsidR="00F3463D" w:rsidRPr="00C93AFD" w:rsidRDefault="00F3463D" w:rsidP="0043358B">
            <w:pPr>
              <w:jc w:val="both"/>
              <w:rPr>
                <w:rFonts w:ascii="Arial" w:hAnsi="Arial" w:cs="Arial"/>
                <w:sz w:val="18"/>
                <w:szCs w:val="18"/>
              </w:rPr>
            </w:pPr>
            <w:r w:rsidRPr="00C93AFD">
              <w:rPr>
                <w:rFonts w:ascii="Arial" w:hAnsi="Arial" w:cs="Arial"/>
                <w:sz w:val="18"/>
                <w:szCs w:val="18"/>
              </w:rPr>
              <w:t>1,385</w:t>
            </w:r>
          </w:p>
        </w:tc>
        <w:tc>
          <w:tcPr>
            <w:tcW w:w="762" w:type="dxa"/>
            <w:tcMar>
              <w:top w:w="30" w:type="dxa"/>
              <w:left w:w="45" w:type="dxa"/>
              <w:bottom w:w="30" w:type="dxa"/>
              <w:right w:w="45" w:type="dxa"/>
            </w:tcMar>
            <w:vAlign w:val="bottom"/>
            <w:hideMark/>
          </w:tcPr>
          <w:p w14:paraId="37AE1F66" w14:textId="6283B493" w:rsidR="00F3463D" w:rsidRPr="00C93AFD" w:rsidRDefault="00F3463D" w:rsidP="0043358B">
            <w:pPr>
              <w:jc w:val="both"/>
              <w:rPr>
                <w:rFonts w:ascii="Arial" w:hAnsi="Arial" w:cs="Arial"/>
                <w:sz w:val="18"/>
                <w:szCs w:val="18"/>
              </w:rPr>
            </w:pPr>
            <w:r w:rsidRPr="00C93AFD">
              <w:rPr>
                <w:rFonts w:ascii="Arial" w:hAnsi="Arial" w:cs="Arial"/>
                <w:sz w:val="18"/>
                <w:szCs w:val="18"/>
              </w:rPr>
              <w:t>1,772</w:t>
            </w:r>
          </w:p>
        </w:tc>
        <w:tc>
          <w:tcPr>
            <w:tcW w:w="762" w:type="dxa"/>
            <w:tcMar>
              <w:top w:w="30" w:type="dxa"/>
              <w:left w:w="45" w:type="dxa"/>
              <w:bottom w:w="30" w:type="dxa"/>
              <w:right w:w="45" w:type="dxa"/>
            </w:tcMar>
            <w:vAlign w:val="bottom"/>
            <w:hideMark/>
          </w:tcPr>
          <w:p w14:paraId="2DF760BA" w14:textId="087C4A48" w:rsidR="00F3463D" w:rsidRPr="00C93AFD" w:rsidRDefault="00F3463D" w:rsidP="0043358B">
            <w:pPr>
              <w:jc w:val="both"/>
              <w:rPr>
                <w:rFonts w:ascii="Arial" w:hAnsi="Arial" w:cs="Arial"/>
                <w:sz w:val="18"/>
                <w:szCs w:val="18"/>
              </w:rPr>
            </w:pPr>
            <w:r w:rsidRPr="00C93AFD">
              <w:rPr>
                <w:rFonts w:ascii="Arial" w:hAnsi="Arial" w:cs="Arial"/>
                <w:sz w:val="18"/>
                <w:szCs w:val="18"/>
              </w:rPr>
              <w:t>1,854</w:t>
            </w:r>
          </w:p>
        </w:tc>
        <w:tc>
          <w:tcPr>
            <w:tcW w:w="763" w:type="dxa"/>
            <w:tcMar>
              <w:top w:w="30" w:type="dxa"/>
              <w:left w:w="45" w:type="dxa"/>
              <w:bottom w:w="30" w:type="dxa"/>
              <w:right w:w="45" w:type="dxa"/>
            </w:tcMar>
            <w:vAlign w:val="bottom"/>
            <w:hideMark/>
          </w:tcPr>
          <w:p w14:paraId="06467CCA" w14:textId="115C9C90" w:rsidR="00F3463D" w:rsidRPr="00C93AFD" w:rsidRDefault="00F3463D" w:rsidP="0043358B">
            <w:pPr>
              <w:jc w:val="both"/>
              <w:rPr>
                <w:rFonts w:ascii="Arial" w:hAnsi="Arial" w:cs="Arial"/>
                <w:sz w:val="18"/>
                <w:szCs w:val="18"/>
              </w:rPr>
            </w:pPr>
            <w:r w:rsidRPr="00C93AFD">
              <w:rPr>
                <w:rFonts w:ascii="Arial" w:hAnsi="Arial" w:cs="Arial"/>
                <w:sz w:val="18"/>
                <w:szCs w:val="18"/>
              </w:rPr>
              <w:t>1,832</w:t>
            </w:r>
          </w:p>
        </w:tc>
      </w:tr>
      <w:tr w:rsidR="008B7384" w:rsidRPr="00C215E9" w14:paraId="1D3BE13B" w14:textId="77777777" w:rsidTr="008B7384">
        <w:trPr>
          <w:trHeight w:val="266"/>
        </w:trPr>
        <w:tc>
          <w:tcPr>
            <w:tcW w:w="2691" w:type="dxa"/>
            <w:shd w:val="clear" w:color="auto" w:fill="A8D08D" w:themeFill="accent6" w:themeFillTint="99"/>
            <w:tcMar>
              <w:top w:w="30" w:type="dxa"/>
              <w:left w:w="45" w:type="dxa"/>
              <w:bottom w:w="30" w:type="dxa"/>
              <w:right w:w="45" w:type="dxa"/>
            </w:tcMar>
            <w:vAlign w:val="bottom"/>
            <w:hideMark/>
          </w:tcPr>
          <w:p w14:paraId="57CA8315" w14:textId="77777777"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IN05</w:t>
            </w:r>
          </w:p>
        </w:tc>
        <w:tc>
          <w:tcPr>
            <w:tcW w:w="850" w:type="dxa"/>
            <w:tcMar>
              <w:top w:w="30" w:type="dxa"/>
              <w:left w:w="45" w:type="dxa"/>
              <w:bottom w:w="30" w:type="dxa"/>
              <w:right w:w="45" w:type="dxa"/>
            </w:tcMar>
            <w:vAlign w:val="bottom"/>
            <w:hideMark/>
          </w:tcPr>
          <w:p w14:paraId="0F139533" w14:textId="257501BB" w:rsidR="00F3463D" w:rsidRPr="00C93AFD" w:rsidRDefault="00F3463D" w:rsidP="0043358B">
            <w:pPr>
              <w:jc w:val="both"/>
              <w:rPr>
                <w:rFonts w:ascii="Arial" w:hAnsi="Arial" w:cs="Arial"/>
                <w:sz w:val="18"/>
                <w:szCs w:val="18"/>
              </w:rPr>
            </w:pPr>
            <w:r w:rsidRPr="00C93AFD">
              <w:rPr>
                <w:rFonts w:ascii="Arial" w:hAnsi="Arial" w:cs="Arial"/>
                <w:sz w:val="18"/>
                <w:szCs w:val="18"/>
              </w:rPr>
              <w:t>bez max hodnot</w:t>
            </w:r>
          </w:p>
        </w:tc>
        <w:tc>
          <w:tcPr>
            <w:tcW w:w="762" w:type="dxa"/>
            <w:tcMar>
              <w:top w:w="30" w:type="dxa"/>
              <w:left w:w="45" w:type="dxa"/>
              <w:bottom w:w="30" w:type="dxa"/>
              <w:right w:w="45" w:type="dxa"/>
            </w:tcMar>
            <w:vAlign w:val="bottom"/>
            <w:hideMark/>
          </w:tcPr>
          <w:p w14:paraId="7D4F6D76" w14:textId="712B2824"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1,772</w:t>
            </w:r>
          </w:p>
        </w:tc>
        <w:tc>
          <w:tcPr>
            <w:tcW w:w="762" w:type="dxa"/>
            <w:tcMar>
              <w:top w:w="30" w:type="dxa"/>
              <w:left w:w="45" w:type="dxa"/>
              <w:bottom w:w="30" w:type="dxa"/>
              <w:right w:w="45" w:type="dxa"/>
            </w:tcMar>
            <w:vAlign w:val="bottom"/>
            <w:hideMark/>
          </w:tcPr>
          <w:p w14:paraId="6B2740F3" w14:textId="378B5ECE"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1,254</w:t>
            </w:r>
          </w:p>
        </w:tc>
        <w:tc>
          <w:tcPr>
            <w:tcW w:w="762" w:type="dxa"/>
            <w:tcMar>
              <w:top w:w="30" w:type="dxa"/>
              <w:left w:w="45" w:type="dxa"/>
              <w:bottom w:w="30" w:type="dxa"/>
              <w:right w:w="45" w:type="dxa"/>
            </w:tcMar>
            <w:vAlign w:val="bottom"/>
            <w:hideMark/>
          </w:tcPr>
          <w:p w14:paraId="5BF3987F" w14:textId="1A060634"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1,684</w:t>
            </w:r>
          </w:p>
        </w:tc>
        <w:tc>
          <w:tcPr>
            <w:tcW w:w="762" w:type="dxa"/>
            <w:tcMar>
              <w:top w:w="30" w:type="dxa"/>
              <w:left w:w="45" w:type="dxa"/>
              <w:bottom w:w="30" w:type="dxa"/>
              <w:right w:w="45" w:type="dxa"/>
            </w:tcMar>
            <w:vAlign w:val="bottom"/>
            <w:hideMark/>
          </w:tcPr>
          <w:p w14:paraId="2B2E2178" w14:textId="59A28A36"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2,374</w:t>
            </w:r>
          </w:p>
        </w:tc>
        <w:tc>
          <w:tcPr>
            <w:tcW w:w="763" w:type="dxa"/>
            <w:tcMar>
              <w:top w:w="30" w:type="dxa"/>
              <w:left w:w="45" w:type="dxa"/>
              <w:bottom w:w="30" w:type="dxa"/>
              <w:right w:w="45" w:type="dxa"/>
            </w:tcMar>
            <w:vAlign w:val="bottom"/>
            <w:hideMark/>
          </w:tcPr>
          <w:p w14:paraId="23C6D090" w14:textId="68221195"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3,547</w:t>
            </w:r>
          </w:p>
        </w:tc>
      </w:tr>
      <w:tr w:rsidR="008B7384" w:rsidRPr="00C215E9" w14:paraId="47B5E4DC" w14:textId="77777777" w:rsidTr="008B7384">
        <w:trPr>
          <w:trHeight w:val="337"/>
        </w:trPr>
        <w:tc>
          <w:tcPr>
            <w:tcW w:w="2691" w:type="dxa"/>
            <w:shd w:val="clear" w:color="auto" w:fill="A8D08D" w:themeFill="accent6" w:themeFillTint="99"/>
            <w:tcMar>
              <w:top w:w="30" w:type="dxa"/>
              <w:left w:w="45" w:type="dxa"/>
              <w:bottom w:w="30" w:type="dxa"/>
              <w:right w:w="45" w:type="dxa"/>
            </w:tcMar>
            <w:vAlign w:val="bottom"/>
            <w:hideMark/>
          </w:tcPr>
          <w:p w14:paraId="1D3C61C3" w14:textId="77777777"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IN05</w:t>
            </w:r>
          </w:p>
        </w:tc>
        <w:tc>
          <w:tcPr>
            <w:tcW w:w="850" w:type="dxa"/>
            <w:tcMar>
              <w:top w:w="30" w:type="dxa"/>
              <w:left w:w="45" w:type="dxa"/>
              <w:bottom w:w="30" w:type="dxa"/>
              <w:right w:w="45" w:type="dxa"/>
            </w:tcMar>
            <w:vAlign w:val="bottom"/>
            <w:hideMark/>
          </w:tcPr>
          <w:p w14:paraId="307F3AB3" w14:textId="77777777" w:rsidR="00F3463D" w:rsidRPr="00C93AFD" w:rsidRDefault="00F3463D" w:rsidP="0043358B">
            <w:pPr>
              <w:jc w:val="both"/>
              <w:rPr>
                <w:rFonts w:ascii="Arial" w:hAnsi="Arial" w:cs="Arial"/>
                <w:sz w:val="18"/>
                <w:szCs w:val="18"/>
              </w:rPr>
            </w:pPr>
            <w:r w:rsidRPr="00C93AFD">
              <w:rPr>
                <w:rFonts w:ascii="Arial" w:hAnsi="Arial" w:cs="Arial"/>
                <w:sz w:val="18"/>
                <w:szCs w:val="18"/>
              </w:rPr>
              <w:t>s max hodnotami</w:t>
            </w:r>
          </w:p>
        </w:tc>
        <w:tc>
          <w:tcPr>
            <w:tcW w:w="762" w:type="dxa"/>
            <w:tcMar>
              <w:top w:w="30" w:type="dxa"/>
              <w:left w:w="45" w:type="dxa"/>
              <w:bottom w:w="30" w:type="dxa"/>
              <w:right w:w="45" w:type="dxa"/>
            </w:tcMar>
            <w:vAlign w:val="bottom"/>
            <w:hideMark/>
          </w:tcPr>
          <w:p w14:paraId="1BFBBC19" w14:textId="4A944F81"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1,634</w:t>
            </w:r>
          </w:p>
        </w:tc>
        <w:tc>
          <w:tcPr>
            <w:tcW w:w="762" w:type="dxa"/>
            <w:tcMar>
              <w:top w:w="30" w:type="dxa"/>
              <w:left w:w="45" w:type="dxa"/>
              <w:bottom w:w="30" w:type="dxa"/>
              <w:right w:w="45" w:type="dxa"/>
            </w:tcMar>
            <w:vAlign w:val="bottom"/>
            <w:hideMark/>
          </w:tcPr>
          <w:p w14:paraId="236BC11B" w14:textId="399711E4"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1,254</w:t>
            </w:r>
          </w:p>
        </w:tc>
        <w:tc>
          <w:tcPr>
            <w:tcW w:w="762" w:type="dxa"/>
            <w:tcMar>
              <w:top w:w="30" w:type="dxa"/>
              <w:left w:w="45" w:type="dxa"/>
              <w:bottom w:w="30" w:type="dxa"/>
              <w:right w:w="45" w:type="dxa"/>
            </w:tcMar>
            <w:vAlign w:val="bottom"/>
            <w:hideMark/>
          </w:tcPr>
          <w:p w14:paraId="77DC0139" w14:textId="64DC74B4"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1,531</w:t>
            </w:r>
          </w:p>
        </w:tc>
        <w:tc>
          <w:tcPr>
            <w:tcW w:w="762" w:type="dxa"/>
            <w:tcMar>
              <w:top w:w="30" w:type="dxa"/>
              <w:left w:w="45" w:type="dxa"/>
              <w:bottom w:w="30" w:type="dxa"/>
              <w:right w:w="45" w:type="dxa"/>
            </w:tcMar>
            <w:vAlign w:val="bottom"/>
            <w:hideMark/>
          </w:tcPr>
          <w:p w14:paraId="4E27CE6F" w14:textId="641B3BC1"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1,688</w:t>
            </w:r>
          </w:p>
        </w:tc>
        <w:tc>
          <w:tcPr>
            <w:tcW w:w="763" w:type="dxa"/>
            <w:tcMar>
              <w:top w:w="30" w:type="dxa"/>
              <w:left w:w="45" w:type="dxa"/>
              <w:bottom w:w="30" w:type="dxa"/>
              <w:right w:w="45" w:type="dxa"/>
            </w:tcMar>
            <w:vAlign w:val="bottom"/>
            <w:hideMark/>
          </w:tcPr>
          <w:p w14:paraId="6827535C" w14:textId="6849A6C1" w:rsidR="00F3463D" w:rsidRPr="00C93AFD" w:rsidRDefault="00F3463D" w:rsidP="0043358B">
            <w:pPr>
              <w:jc w:val="both"/>
              <w:rPr>
                <w:rFonts w:ascii="Arial" w:hAnsi="Arial" w:cs="Arial"/>
                <w:b/>
                <w:bCs/>
                <w:sz w:val="18"/>
                <w:szCs w:val="18"/>
              </w:rPr>
            </w:pPr>
            <w:r w:rsidRPr="00C93AFD">
              <w:rPr>
                <w:rFonts w:ascii="Arial" w:hAnsi="Arial" w:cs="Arial"/>
                <w:b/>
                <w:bCs/>
                <w:sz w:val="18"/>
                <w:szCs w:val="18"/>
              </w:rPr>
              <w:t>1,832</w:t>
            </w:r>
          </w:p>
        </w:tc>
      </w:tr>
    </w:tbl>
    <w:p w14:paraId="23D5A03E" w14:textId="3A72FF50" w:rsidR="00D9303D" w:rsidRPr="00D9303D" w:rsidRDefault="00842876" w:rsidP="0043358B">
      <w:pPr>
        <w:pStyle w:val="pramen"/>
      </w:pPr>
      <w:r>
        <w:t>Zdroj: vlastní zpracová</w:t>
      </w:r>
      <w:r w:rsidR="00836196">
        <w:t>ní</w:t>
      </w:r>
    </w:p>
    <w:p w14:paraId="4A8B31CA" w14:textId="2AAE0E88" w:rsidR="00B057FD" w:rsidRDefault="00D81C33" w:rsidP="0043358B">
      <w:pPr>
        <w:pStyle w:val="Bezmezer"/>
        <w:ind w:firstLine="709"/>
        <w:jc w:val="both"/>
      </w:pPr>
      <w:r>
        <w:t xml:space="preserve">Literatura uvádí určitá omezení při výpočtu, která se v případě </w:t>
      </w:r>
      <w:r w:rsidR="00FD01C8">
        <w:t xml:space="preserve">námi zkoumaného podniku týkají ukazatele označeného jako </w:t>
      </w:r>
      <w:r w:rsidR="00F5537E">
        <w:t>x</w:t>
      </w:r>
      <w:r w:rsidR="00F5537E">
        <w:rPr>
          <w:vertAlign w:val="subscript"/>
        </w:rPr>
        <w:t xml:space="preserve">2, </w:t>
      </w:r>
      <w:r w:rsidR="00F5537E">
        <w:t>a to</w:t>
      </w:r>
      <w:r w:rsidR="00A14B28">
        <w:t xml:space="preserve"> tedy EBIT/úroky. V případě tohoto poměrového ukazatele se doporučuje jako maximální hodnotu použít číslo 9, jelikož nákladové úroky podniků </w:t>
      </w:r>
      <w:r w:rsidR="00A14B28">
        <w:lastRenderedPageBreak/>
        <w:t xml:space="preserve">mohou mnohdy dosahovat velmi malých hodnot a </w:t>
      </w:r>
      <w:r w:rsidR="001670E8">
        <w:t xml:space="preserve">došlo by zde k ovlivnění výsledných hodnot indexu. Tuto úpravu jsme </w:t>
      </w:r>
      <w:r w:rsidR="00CE1201">
        <w:t xml:space="preserve">uplatnily ve všech letech s výjimkou roku 2018, kdy hodnota dosahovala 8,632, což je akceptovatelné. </w:t>
      </w:r>
      <w:r w:rsidR="00D25FF8">
        <w:t>V tabulce č. 22 jsou uvedeny oba výpočty, jeden s neupravenou hodnotou a druhý s použitím výše zmíněné</w:t>
      </w:r>
      <w:r w:rsidR="00490954">
        <w:t xml:space="preserve">ho omezení. Lze zde vidět výrazný vliv na ukazatel. </w:t>
      </w:r>
    </w:p>
    <w:p w14:paraId="39DC2C66" w14:textId="3846BF6D" w:rsidR="00000B2B" w:rsidRPr="00166C0F" w:rsidRDefault="00A85A1D" w:rsidP="0043358B">
      <w:pPr>
        <w:pStyle w:val="Bezmezer"/>
        <w:ind w:firstLine="709"/>
        <w:jc w:val="both"/>
      </w:pPr>
      <w:r>
        <w:t>Na výsledky</w:t>
      </w:r>
      <w:r w:rsidR="00166C0F">
        <w:t xml:space="preserve"> indexu má největší vliv ukazatel ROA (x</w:t>
      </w:r>
      <w:r w:rsidR="00166C0F">
        <w:rPr>
          <w:vertAlign w:val="subscript"/>
        </w:rPr>
        <w:t>3</w:t>
      </w:r>
      <w:r w:rsidR="00166C0F">
        <w:t xml:space="preserve">), který je v rovnici zastoupen váhou 3,97. V průběhu zkoumaného období došlo k poklesu </w:t>
      </w:r>
      <w:r w:rsidR="00094131">
        <w:t xml:space="preserve">roku 2018 a 2019, kdy také index dosahoval nejnižších hodnot. </w:t>
      </w:r>
    </w:p>
    <w:p w14:paraId="4D48A316" w14:textId="265964E9" w:rsidR="00490954" w:rsidRDefault="00B97B58" w:rsidP="0043358B">
      <w:pPr>
        <w:pStyle w:val="Bezmezer"/>
        <w:ind w:firstLine="709"/>
        <w:jc w:val="both"/>
      </w:pPr>
      <w:r>
        <w:t>Ku</w:t>
      </w:r>
      <w:r w:rsidR="00C636B9">
        <w:t>bíčková a Jindřichovská (2014, str. 235) uvádí také rozpětí pro interpretaci</w:t>
      </w:r>
      <w:r w:rsidR="00E9195B">
        <w:t>, kterým se budeme dále řídit</w:t>
      </w:r>
      <w:r w:rsidR="00A725E9">
        <w:t xml:space="preserve"> při analýze výsledků IN05 s použitím maximálních hodnot. </w:t>
      </w:r>
      <w:r w:rsidR="00744ED4">
        <w:t>Pokud se podnik pohybuje v intervalu 0,9-1,6 znamená to</w:t>
      </w:r>
      <w:r w:rsidR="00E125B6">
        <w:t xml:space="preserve">, že zde existuje 50% šance bankrotu, ale zároveň 70% šance tvorby hodnoty. Podnik se v tomto intervalu ocitl </w:t>
      </w:r>
      <w:r w:rsidR="00D072BB">
        <w:t>mezi lety 2018 a 2019</w:t>
      </w:r>
      <w:r w:rsidR="008C2CB8">
        <w:t>. N</w:t>
      </w:r>
      <w:r w:rsidR="00FF3815">
        <w:t>a</w:t>
      </w:r>
      <w:r w:rsidR="008C2CB8">
        <w:t xml:space="preserve"> základě předchozích analýz </w:t>
      </w:r>
      <w:r w:rsidR="00F858BC">
        <w:t>jsme</w:t>
      </w:r>
      <w:r w:rsidR="008C2CB8">
        <w:t xml:space="preserve"> odhalil</w:t>
      </w:r>
      <w:r w:rsidR="00F858BC">
        <w:t>y</w:t>
      </w:r>
      <w:r w:rsidR="008C2CB8">
        <w:t>, že rok 2018 nebyl pro podnik úspěšný a vyskytovalo se zde více problému, což potvrdila i tato analýza společně s bonitním modelem uvedeným v předchozí kapitole.</w:t>
      </w:r>
      <w:r w:rsidR="006D2324">
        <w:t xml:space="preserve"> Možnost finančních problému mezi lety 2018 a 2019 naznačila také analýza likvidity podniku. </w:t>
      </w:r>
      <w:r w:rsidR="008C2CB8">
        <w:t xml:space="preserve"> </w:t>
      </w:r>
      <w:r w:rsidR="00FF3815">
        <w:t xml:space="preserve">Roku 2019 se ukazatel začal zvedat a dosáhl hodnoty 1,531, což je blízko hranice tohoto intervalu a </w:t>
      </w:r>
      <w:r w:rsidR="005D6EED">
        <w:t xml:space="preserve">v následující h letech se pohyboval nad hodnotu 1,6 </w:t>
      </w:r>
      <w:r w:rsidR="00DE08DE">
        <w:t xml:space="preserve">znamenající, že podnik s pravděpodobností 92 % nezkrachuje a s 95% pravděpodobností bude tvořit hodnotu. </w:t>
      </w:r>
      <w:r w:rsidR="002E019B">
        <w:t xml:space="preserve">Podnik se nad touto hodnotu pohyboval ve 3 letech ze zkoumaného období, což je pro něj dobré znamení do budoucna. </w:t>
      </w:r>
    </w:p>
    <w:p w14:paraId="4633878F" w14:textId="4BA4CB41" w:rsidR="009C5AD2" w:rsidRDefault="009C5AD2" w:rsidP="0043358B">
      <w:pPr>
        <w:pStyle w:val="Bezmezer"/>
        <w:ind w:firstLine="709"/>
        <w:jc w:val="both"/>
      </w:pPr>
      <w:r>
        <w:t xml:space="preserve">Tuto analýzu bychom </w:t>
      </w:r>
      <w:r w:rsidR="00BD4591">
        <w:t>zhodnotily také v souladu s ukazatelem EVA uvedeným v kapitole 8</w:t>
      </w:r>
      <w:r w:rsidR="009600DF">
        <w:t>, který vyšel záporný ve všech letech zkoumaného období až na rok 2021, z čehož vyplývá, že podnik netvořil až do posledního roku hodnotu</w:t>
      </w:r>
      <w:r w:rsidR="0020271C">
        <w:t>. Tyto výsledky jsou protikladem k výsledkům tohoto bankrotního modelu, který</w:t>
      </w:r>
      <w:r w:rsidR="00AF4399">
        <w:t xml:space="preserve"> se</w:t>
      </w:r>
      <w:r w:rsidR="00E3540A">
        <w:t>,</w:t>
      </w:r>
      <w:r w:rsidR="0020271C">
        <w:t xml:space="preserve"> jak bylo zmíněno výše </w:t>
      </w:r>
      <w:r w:rsidR="00AF4399">
        <w:t xml:space="preserve">zaměřuje také na zkoumání toho, zda podnik tvoří hodnotu pro vlastníky. </w:t>
      </w:r>
      <w:r w:rsidR="009971F3">
        <w:t>Již při výpočtu ukazatele EVA jsme zmiňovaly, že vzhledem k nedostatku podrobnějších informací nemusí být náš výpočet ukazatele EVA naprosto přesný</w:t>
      </w:r>
      <w:r w:rsidR="003004EB">
        <w:t xml:space="preserve">. </w:t>
      </w:r>
      <w:r w:rsidR="007B2084">
        <w:t>Poro</w:t>
      </w:r>
      <w:r w:rsidR="0024195A">
        <w:t xml:space="preserve">vnání těchto dvou ukazatelů znázorňuje tabulka č. 23. </w:t>
      </w:r>
    </w:p>
    <w:p w14:paraId="7F46A22B" w14:textId="63512AE9" w:rsidR="001670E8" w:rsidRDefault="00EC09F1" w:rsidP="00EC09F1">
      <w:pPr>
        <w:pStyle w:val="Titulektabulky"/>
      </w:pPr>
      <w:bookmarkStart w:id="76" w:name="_Toc133180309"/>
      <w:r>
        <w:t>Tabulka č. 23: Porovnání IN05 a EVA</w:t>
      </w:r>
      <w:bookmarkEnd w:id="76"/>
      <w:r>
        <w:t xml:space="preserve"> </w:t>
      </w:r>
    </w:p>
    <w:tbl>
      <w:tblPr>
        <w:tblW w:w="7502" w:type="dxa"/>
        <w:tblCellMar>
          <w:left w:w="0" w:type="dxa"/>
          <w:right w:w="0" w:type="dxa"/>
        </w:tblCellMar>
        <w:tblLook w:val="04A0" w:firstRow="1" w:lastRow="0" w:firstColumn="1" w:lastColumn="0" w:noHBand="0" w:noVBand="1"/>
      </w:tblPr>
      <w:tblGrid>
        <w:gridCol w:w="3184"/>
        <w:gridCol w:w="855"/>
        <w:gridCol w:w="962"/>
        <w:gridCol w:w="962"/>
        <w:gridCol w:w="748"/>
        <w:gridCol w:w="791"/>
      </w:tblGrid>
      <w:tr w:rsidR="00EC09F1" w:rsidRPr="00EC09F1" w14:paraId="1F497840" w14:textId="77777777" w:rsidTr="0043358B">
        <w:trPr>
          <w:trHeight w:val="293"/>
        </w:trPr>
        <w:tc>
          <w:tcPr>
            <w:tcW w:w="0" w:type="auto"/>
            <w:tcBorders>
              <w:top w:val="single" w:sz="6" w:space="0" w:color="000000"/>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2BD26B58" w14:textId="77777777" w:rsidR="00EC09F1" w:rsidRPr="00EC09F1" w:rsidRDefault="00EC09F1" w:rsidP="00EC09F1">
            <w:pPr>
              <w:rPr>
                <w:rFonts w:ascii="Times New Roman" w:hAnsi="Times New Roman"/>
                <w:sz w:val="18"/>
                <w:szCs w:val="18"/>
              </w:rPr>
            </w:pPr>
          </w:p>
        </w:tc>
        <w:tc>
          <w:tcPr>
            <w:tcW w:w="0" w:type="auto"/>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426CE3A3" w14:textId="77777777" w:rsidR="00EC09F1" w:rsidRPr="00EC09F1" w:rsidRDefault="00EC09F1" w:rsidP="00EC09F1">
            <w:pPr>
              <w:jc w:val="right"/>
              <w:rPr>
                <w:rFonts w:ascii="Arial" w:hAnsi="Arial" w:cs="Arial"/>
                <w:b/>
                <w:bCs/>
                <w:sz w:val="18"/>
                <w:szCs w:val="18"/>
              </w:rPr>
            </w:pPr>
            <w:r w:rsidRPr="00EC09F1">
              <w:rPr>
                <w:rFonts w:ascii="Arial" w:hAnsi="Arial" w:cs="Arial"/>
                <w:b/>
                <w:bCs/>
                <w:sz w:val="18"/>
                <w:szCs w:val="18"/>
              </w:rPr>
              <w:t>2017</w:t>
            </w:r>
          </w:p>
        </w:tc>
        <w:tc>
          <w:tcPr>
            <w:tcW w:w="0" w:type="auto"/>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6665C7CB" w14:textId="77777777" w:rsidR="00EC09F1" w:rsidRPr="00EC09F1" w:rsidRDefault="00EC09F1" w:rsidP="00EC09F1">
            <w:pPr>
              <w:jc w:val="right"/>
              <w:rPr>
                <w:rFonts w:ascii="Arial" w:hAnsi="Arial" w:cs="Arial"/>
                <w:b/>
                <w:bCs/>
                <w:sz w:val="18"/>
                <w:szCs w:val="18"/>
              </w:rPr>
            </w:pPr>
            <w:r w:rsidRPr="00EC09F1">
              <w:rPr>
                <w:rFonts w:ascii="Arial" w:hAnsi="Arial" w:cs="Arial"/>
                <w:b/>
                <w:bCs/>
                <w:sz w:val="18"/>
                <w:szCs w:val="18"/>
              </w:rPr>
              <w:t>2018</w:t>
            </w:r>
          </w:p>
        </w:tc>
        <w:tc>
          <w:tcPr>
            <w:tcW w:w="0" w:type="auto"/>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69AE9FF1" w14:textId="77777777" w:rsidR="00EC09F1" w:rsidRPr="00EC09F1" w:rsidRDefault="00EC09F1" w:rsidP="00EC09F1">
            <w:pPr>
              <w:jc w:val="right"/>
              <w:rPr>
                <w:rFonts w:ascii="Arial" w:hAnsi="Arial" w:cs="Arial"/>
                <w:b/>
                <w:bCs/>
                <w:sz w:val="18"/>
                <w:szCs w:val="18"/>
              </w:rPr>
            </w:pPr>
            <w:r w:rsidRPr="00EC09F1">
              <w:rPr>
                <w:rFonts w:ascii="Arial" w:hAnsi="Arial" w:cs="Arial"/>
                <w:b/>
                <w:bCs/>
                <w:sz w:val="18"/>
                <w:szCs w:val="18"/>
              </w:rPr>
              <w:t>2019</w:t>
            </w:r>
          </w:p>
        </w:tc>
        <w:tc>
          <w:tcPr>
            <w:tcW w:w="0" w:type="auto"/>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6B3AE1A6" w14:textId="77777777" w:rsidR="00EC09F1" w:rsidRPr="00EC09F1" w:rsidRDefault="00EC09F1" w:rsidP="00EC09F1">
            <w:pPr>
              <w:jc w:val="right"/>
              <w:rPr>
                <w:rFonts w:ascii="Arial" w:hAnsi="Arial" w:cs="Arial"/>
                <w:b/>
                <w:bCs/>
                <w:sz w:val="18"/>
                <w:szCs w:val="18"/>
              </w:rPr>
            </w:pPr>
            <w:r w:rsidRPr="00EC09F1">
              <w:rPr>
                <w:rFonts w:ascii="Arial" w:hAnsi="Arial" w:cs="Arial"/>
                <w:b/>
                <w:bCs/>
                <w:sz w:val="18"/>
                <w:szCs w:val="18"/>
              </w:rPr>
              <w:t>2020</w:t>
            </w:r>
          </w:p>
        </w:tc>
        <w:tc>
          <w:tcPr>
            <w:tcW w:w="0" w:type="auto"/>
            <w:tcBorders>
              <w:top w:val="single" w:sz="6" w:space="0" w:color="000000"/>
              <w:left w:val="single" w:sz="6" w:space="0" w:color="CCCCCC"/>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4CEF9C3C" w14:textId="77777777" w:rsidR="00EC09F1" w:rsidRPr="00EC09F1" w:rsidRDefault="00EC09F1" w:rsidP="00EC09F1">
            <w:pPr>
              <w:jc w:val="right"/>
              <w:rPr>
                <w:rFonts w:ascii="Arial" w:hAnsi="Arial" w:cs="Arial"/>
                <w:b/>
                <w:bCs/>
                <w:sz w:val="18"/>
                <w:szCs w:val="18"/>
              </w:rPr>
            </w:pPr>
            <w:r w:rsidRPr="00EC09F1">
              <w:rPr>
                <w:rFonts w:ascii="Arial" w:hAnsi="Arial" w:cs="Arial"/>
                <w:b/>
                <w:bCs/>
                <w:sz w:val="18"/>
                <w:szCs w:val="18"/>
              </w:rPr>
              <w:t>2021</w:t>
            </w:r>
          </w:p>
        </w:tc>
      </w:tr>
      <w:tr w:rsidR="00EC09F1" w:rsidRPr="00EC09F1" w14:paraId="75C89A76" w14:textId="77777777" w:rsidTr="0043358B">
        <w:trPr>
          <w:trHeight w:val="293"/>
        </w:trPr>
        <w:tc>
          <w:tcPr>
            <w:tcW w:w="0" w:type="auto"/>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6096E98B" w14:textId="77777777" w:rsidR="00EC09F1" w:rsidRPr="00EC09F1" w:rsidRDefault="00EC09F1" w:rsidP="00EC09F1">
            <w:pPr>
              <w:rPr>
                <w:rFonts w:ascii="Arial" w:hAnsi="Arial" w:cs="Arial"/>
                <w:b/>
                <w:bCs/>
                <w:sz w:val="18"/>
                <w:szCs w:val="18"/>
              </w:rPr>
            </w:pPr>
            <w:r w:rsidRPr="00EC09F1">
              <w:rPr>
                <w:rFonts w:ascii="Arial" w:hAnsi="Arial" w:cs="Arial"/>
                <w:b/>
                <w:bCs/>
                <w:sz w:val="18"/>
                <w:szCs w:val="18"/>
              </w:rPr>
              <w:t>IN05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A5F7A"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1,634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D86F7"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1,254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F7BAF"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1,531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28CD21"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1,688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523BB0"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1,832</w:t>
            </w:r>
          </w:p>
        </w:tc>
      </w:tr>
      <w:tr w:rsidR="00EC09F1" w:rsidRPr="00EC09F1" w14:paraId="00484DBC" w14:textId="77777777" w:rsidTr="0043358B">
        <w:trPr>
          <w:trHeight w:val="293"/>
        </w:trPr>
        <w:tc>
          <w:tcPr>
            <w:tcW w:w="0" w:type="auto"/>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2BDAA4AB" w14:textId="77777777" w:rsidR="00EC09F1" w:rsidRPr="00EC09F1" w:rsidRDefault="00EC09F1" w:rsidP="00EC09F1">
            <w:pPr>
              <w:rPr>
                <w:rFonts w:ascii="Arial" w:hAnsi="Arial" w:cs="Arial"/>
                <w:b/>
                <w:bCs/>
                <w:sz w:val="18"/>
                <w:szCs w:val="18"/>
              </w:rPr>
            </w:pPr>
            <w:r w:rsidRPr="00EC09F1">
              <w:rPr>
                <w:rFonts w:ascii="Arial" w:hAnsi="Arial" w:cs="Arial"/>
                <w:b/>
                <w:bCs/>
                <w:sz w:val="18"/>
                <w:szCs w:val="18"/>
              </w:rPr>
              <w:t>EVA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EBFB13"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-6345,37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C08A1"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-32432,29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3E4BA"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-15877,34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A7E0E"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-341,69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28155" w14:textId="77777777" w:rsidR="00EC09F1" w:rsidRPr="00EC09F1" w:rsidRDefault="00EC09F1" w:rsidP="00EC09F1">
            <w:pPr>
              <w:jc w:val="right"/>
              <w:rPr>
                <w:rFonts w:ascii="Arial" w:hAnsi="Arial" w:cs="Arial"/>
                <w:sz w:val="18"/>
                <w:szCs w:val="18"/>
              </w:rPr>
            </w:pPr>
            <w:r w:rsidRPr="00EC09F1">
              <w:rPr>
                <w:rFonts w:ascii="Arial" w:hAnsi="Arial" w:cs="Arial"/>
                <w:sz w:val="18"/>
                <w:szCs w:val="18"/>
              </w:rPr>
              <w:t>6111,28</w:t>
            </w:r>
          </w:p>
        </w:tc>
      </w:tr>
      <w:tr w:rsidR="00EC09F1" w:rsidRPr="00EC09F1" w14:paraId="306F25BA" w14:textId="77777777" w:rsidTr="0043358B">
        <w:trPr>
          <w:trHeight w:val="293"/>
        </w:trPr>
        <w:tc>
          <w:tcPr>
            <w:tcW w:w="0" w:type="auto"/>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hideMark/>
          </w:tcPr>
          <w:p w14:paraId="70DAD895" w14:textId="77777777" w:rsidR="00EC09F1" w:rsidRPr="00EC09F1" w:rsidRDefault="00EC09F1" w:rsidP="00EC09F1">
            <w:pPr>
              <w:rPr>
                <w:rFonts w:ascii="Arial" w:hAnsi="Arial" w:cs="Arial"/>
                <w:b/>
                <w:bCs/>
                <w:sz w:val="18"/>
                <w:szCs w:val="18"/>
              </w:rPr>
            </w:pPr>
            <w:r w:rsidRPr="00EC09F1">
              <w:rPr>
                <w:rFonts w:ascii="Arial" w:hAnsi="Arial" w:cs="Arial"/>
                <w:b/>
                <w:bCs/>
                <w:sz w:val="18"/>
                <w:szCs w:val="18"/>
              </w:rPr>
              <w:t xml:space="preserve">Pravděpodobnost tvorby hodnoty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3C5EE" w14:textId="77777777" w:rsidR="00EC09F1" w:rsidRPr="00EC09F1" w:rsidRDefault="00EC09F1" w:rsidP="00EC09F1">
            <w:pPr>
              <w:rPr>
                <w:rFonts w:ascii="Arial" w:hAnsi="Arial" w:cs="Arial"/>
                <w:sz w:val="18"/>
                <w:szCs w:val="18"/>
              </w:rPr>
            </w:pPr>
            <w:r w:rsidRPr="00EC09F1">
              <w:rPr>
                <w:rFonts w:ascii="Arial" w:hAnsi="Arial" w:cs="Arial"/>
                <w:sz w:val="18"/>
                <w:szCs w:val="18"/>
              </w:rPr>
              <w:t xml:space="preserve">95 %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BCF409" w14:textId="77777777" w:rsidR="00EC09F1" w:rsidRPr="00EC09F1" w:rsidRDefault="00EC09F1" w:rsidP="00EC09F1">
            <w:pPr>
              <w:rPr>
                <w:rFonts w:ascii="Arial" w:hAnsi="Arial" w:cs="Arial"/>
                <w:sz w:val="18"/>
                <w:szCs w:val="18"/>
              </w:rPr>
            </w:pPr>
            <w:r w:rsidRPr="00EC09F1">
              <w:rPr>
                <w:rFonts w:ascii="Arial" w:hAnsi="Arial" w:cs="Arial"/>
                <w:sz w:val="18"/>
                <w:szCs w:val="18"/>
              </w:rPr>
              <w:t>70 %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AB611" w14:textId="77777777" w:rsidR="00EC09F1" w:rsidRPr="00EC09F1" w:rsidRDefault="00EC09F1" w:rsidP="00EC09F1">
            <w:pPr>
              <w:rPr>
                <w:rFonts w:ascii="Arial" w:hAnsi="Arial" w:cs="Arial"/>
                <w:sz w:val="18"/>
                <w:szCs w:val="18"/>
              </w:rPr>
            </w:pPr>
            <w:r w:rsidRPr="00EC09F1">
              <w:rPr>
                <w:rFonts w:ascii="Arial" w:hAnsi="Arial" w:cs="Arial"/>
                <w:sz w:val="18"/>
                <w:szCs w:val="18"/>
              </w:rPr>
              <w:t>70 %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5777E1" w14:textId="77777777" w:rsidR="00EC09F1" w:rsidRPr="00EC09F1" w:rsidRDefault="00EC09F1" w:rsidP="00EC09F1">
            <w:pPr>
              <w:rPr>
                <w:rFonts w:ascii="Arial" w:hAnsi="Arial" w:cs="Arial"/>
                <w:sz w:val="18"/>
                <w:szCs w:val="18"/>
              </w:rPr>
            </w:pPr>
            <w:r w:rsidRPr="00EC09F1">
              <w:rPr>
                <w:rFonts w:ascii="Arial" w:hAnsi="Arial" w:cs="Arial"/>
                <w:sz w:val="18"/>
                <w:szCs w:val="18"/>
              </w:rPr>
              <w:t xml:space="preserve">95 %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9EB414" w14:textId="77777777" w:rsidR="00EC09F1" w:rsidRPr="00EC09F1" w:rsidRDefault="00EC09F1" w:rsidP="00EC09F1">
            <w:pPr>
              <w:rPr>
                <w:rFonts w:ascii="Arial" w:hAnsi="Arial" w:cs="Arial"/>
                <w:sz w:val="18"/>
                <w:szCs w:val="18"/>
              </w:rPr>
            </w:pPr>
            <w:r w:rsidRPr="00EC09F1">
              <w:rPr>
                <w:rFonts w:ascii="Arial" w:hAnsi="Arial" w:cs="Arial"/>
                <w:sz w:val="18"/>
                <w:szCs w:val="18"/>
              </w:rPr>
              <w:t xml:space="preserve">95 % </w:t>
            </w:r>
          </w:p>
        </w:tc>
      </w:tr>
    </w:tbl>
    <w:p w14:paraId="59AA93FD" w14:textId="77777777" w:rsidR="002D0053" w:rsidRPr="00D9303D" w:rsidRDefault="002D0053" w:rsidP="002D0053">
      <w:pPr>
        <w:pStyle w:val="pramen"/>
      </w:pPr>
      <w:r>
        <w:t>Zdroj: vlastní zpracování</w:t>
      </w:r>
    </w:p>
    <w:p w14:paraId="2187AA18" w14:textId="77777777" w:rsidR="002D0053" w:rsidRDefault="002D0053" w:rsidP="002D0053">
      <w:pPr>
        <w:pStyle w:val="Bezmezer"/>
        <w:ind w:firstLine="709"/>
        <w:jc w:val="both"/>
      </w:pPr>
      <w:r>
        <w:lastRenderedPageBreak/>
        <w:t>Roku 2017 byla záporná hodnota EVA výrazná, ale dle IN05 by měl podnik na 95 % tvořit hodnotu. Zde trochu pochybujeme, jelikož hodnota indexu IN05 je velmi blízko hraniční hodnotě. Roky 2018 a 2019 považujeme za spíše negativní pro podnik a přikláníme se spíše k tomu, že zde podnik hodnotu netvořil</w:t>
      </w:r>
      <w:r w:rsidR="00650DC9">
        <w:t xml:space="preserve"> nebo pouze malou</w:t>
      </w:r>
      <w:r>
        <w:t xml:space="preserve"> (minimálně roku 2018)</w:t>
      </w:r>
      <w:r w:rsidR="00650DC9">
        <w:t xml:space="preserve">. Od roku 2020 se přikláníme k závěru, že zde podnik hodnotu tvořil i s ohledem na zápornou hodnotu EVA roku 2020. Zde </w:t>
      </w:r>
      <w:r w:rsidR="003B7F1C">
        <w:t xml:space="preserve">důvěřujeme spíše výsledkům IN05, který byl vytvořen v českém prostředí pro české podniky na rozdíl od amerického ukazatele EVA. </w:t>
      </w:r>
    </w:p>
    <w:p w14:paraId="7A39048E" w14:textId="06BC07F5" w:rsidR="00480FBA" w:rsidRDefault="003B7F1C" w:rsidP="005125A7">
      <w:pPr>
        <w:pStyle w:val="Bezmezer"/>
        <w:ind w:firstLine="709"/>
        <w:jc w:val="both"/>
      </w:pPr>
      <w:r>
        <w:t xml:space="preserve">Závěrem </w:t>
      </w:r>
      <w:r w:rsidR="0062788E">
        <w:t xml:space="preserve">této analýzy </w:t>
      </w:r>
      <w:r w:rsidR="00E96293">
        <w:t xml:space="preserve">je, že podnik překonal nedostatky z let 2018 a 2019 a nyní se pohybuje směrem </w:t>
      </w:r>
      <w:r w:rsidR="00F5537E">
        <w:t xml:space="preserve">k prosperitě a tvorbě hodnoty, zároveň se také pohybuje dále od vyššího rizika bankrotu, kterému na 50 % čelil ve zmíněných letech. </w:t>
      </w:r>
      <w:r w:rsidR="00E017B6">
        <w:t>Vyšších hodnot IN05</w:t>
      </w:r>
      <w:r w:rsidR="00133473">
        <w:t xml:space="preserve"> dosahuje podnik zejména díky hodnotám ROA, které má na svědomí zejména dobrá hodnota obratu aktiv </w:t>
      </w:r>
      <w:r w:rsidR="008B7384">
        <w:t>vycházející z pyramidového rozklad</w:t>
      </w:r>
      <w:r w:rsidR="003656B1">
        <w:t>u.</w:t>
      </w:r>
    </w:p>
    <w:p w14:paraId="29808CFB" w14:textId="3FF58CB2" w:rsidR="00585517" w:rsidRPr="00FD01C8" w:rsidRDefault="3B737954" w:rsidP="002D0053">
      <w:pPr>
        <w:pStyle w:val="Bezmezer"/>
        <w:ind w:firstLine="709"/>
        <w:jc w:val="both"/>
      </w:pPr>
      <w:r>
        <w:t xml:space="preserve">Mezi </w:t>
      </w:r>
      <w:r w:rsidRPr="3B737954">
        <w:rPr>
          <w:b/>
          <w:bCs/>
        </w:rPr>
        <w:t>silné stránky</w:t>
      </w:r>
      <w:r>
        <w:t xml:space="preserve"> podniku bychom zařadily vysoké ROA zejména díky obratu aktiv. Dále také tvorbu hodnoty a velmi nízké riziko bankrotu ve většině ze zkoumaných let a vývoj h</w:t>
      </w:r>
      <w:r w:rsidR="00A767FF">
        <w:tab/>
      </w:r>
      <w:r>
        <w:t xml:space="preserve">odnot IN05 dobrým směrem. Za </w:t>
      </w:r>
      <w:r w:rsidRPr="3B737954">
        <w:rPr>
          <w:b/>
          <w:bCs/>
        </w:rPr>
        <w:t>slabé stránky</w:t>
      </w:r>
      <w:r>
        <w:t xml:space="preserve"> podniku považujeme roky 2018 a 2019, kdy v podniku byla 50% šance bankrotu, což je v souladu například s analýzou likvidity.  Nízké hodnoty ROA v tomto období, které bylo způsobeno nízkým ROS.  </w:t>
      </w:r>
    </w:p>
    <w:p w14:paraId="3B22C900" w14:textId="6C6F7A03" w:rsidR="3B737954" w:rsidRDefault="3B737954" w:rsidP="3B737954">
      <w:pPr>
        <w:pStyle w:val="Nadpis1"/>
      </w:pPr>
      <w:r>
        <w:lastRenderedPageBreak/>
        <w:t xml:space="preserve"> SWOT analýza</w:t>
      </w:r>
    </w:p>
    <w:p w14:paraId="764F47AE" w14:textId="67D4ADF9" w:rsidR="3B737954" w:rsidRDefault="3B737954" w:rsidP="3B737954">
      <w:pPr>
        <w:pStyle w:val="Odstavec1"/>
      </w:pPr>
      <w:r>
        <w:t xml:space="preserve">Slovní zkratka SWOT zahrnuje první písmena každého slova v analýze, tedy strengths (silné stránky), weaknesses (slabé stránky), opportunities (příležitosti) a threats (hrozby) (Johnson et al., 2015). Při sestavování SWOT analýzy se často stane, že určitý faktor může být zároveň považován za silnou i slabou stránku, nebo za příležitost i hrozbu. Pokud by takový faktor byl hodnocen jako celek, SWOT analýza by ztratila svou vypovídající hodnotu. Proto je důležité rozložit daný faktor na jeho jednotlivé složky a ty následně zhodnotit (Friedl, 2017). Pro potřeby naší práce jsme do SWOT analýzy zahrnuly pouze </w:t>
      </w:r>
      <w:r w:rsidRPr="3B737954">
        <w:rPr>
          <w:b/>
          <w:bCs/>
        </w:rPr>
        <w:t>silné a slabé stránky</w:t>
      </w:r>
      <w:r>
        <w:t xml:space="preserve"> z vnitřního prostředí podniku.</w:t>
      </w:r>
    </w:p>
    <w:p w14:paraId="427E0657" w14:textId="1C432BDB" w:rsidR="3B737954" w:rsidRDefault="3B737954" w:rsidP="3B737954">
      <w:pPr>
        <w:pStyle w:val="Dalodstavce"/>
      </w:pPr>
      <w:r>
        <w:t xml:space="preserve">Tabulka </w:t>
      </w:r>
      <w:r w:rsidR="009867E9">
        <w:t>č. 24</w:t>
      </w:r>
      <w:r>
        <w:t xml:space="preserve"> popisuje všechny identifikované silné a slabé stránky podniku S&amp;K LABEL.</w:t>
      </w:r>
    </w:p>
    <w:p w14:paraId="00A47609" w14:textId="7DCE8CE8" w:rsidR="3B737954" w:rsidRDefault="3B737954" w:rsidP="3B737954">
      <w:pPr>
        <w:pStyle w:val="Titulektabulky"/>
      </w:pPr>
      <w:bookmarkStart w:id="77" w:name="_Toc133180310"/>
      <w:r>
        <w:t>Tabulka č. 24: SWOT analýza</w:t>
      </w:r>
      <w:bookmarkEnd w:id="77"/>
    </w:p>
    <w:p w14:paraId="37FB4582" w14:textId="23C92679" w:rsidR="3B737954" w:rsidRDefault="3B737954" w:rsidP="3B737954">
      <w:pPr>
        <w:pStyle w:val="Dalodstavce"/>
      </w:pPr>
      <w:r>
        <w:rPr>
          <w:noProof/>
        </w:rPr>
        <w:drawing>
          <wp:inline distT="0" distB="0" distL="0" distR="0" wp14:anchorId="23F5B0D5" wp14:editId="221CA506">
            <wp:extent cx="4572000" cy="2009775"/>
            <wp:effectExtent l="0" t="0" r="0" b="0"/>
            <wp:docPr id="1630015375" name="Obrázek 16300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40E183AB" w14:textId="77777777" w:rsidR="3B737954" w:rsidRDefault="3B737954" w:rsidP="3B737954">
      <w:pPr>
        <w:pStyle w:val="pramen"/>
      </w:pPr>
      <w:r>
        <w:t>Zdroj: vlastní zpracování</w:t>
      </w:r>
    </w:p>
    <w:p w14:paraId="33E6C6D0" w14:textId="7C194D2A" w:rsidR="3B737954" w:rsidRDefault="3B737954" w:rsidP="3B737954">
      <w:pPr>
        <w:pStyle w:val="Dalodstavce"/>
        <w:ind w:firstLine="0"/>
      </w:pPr>
      <w:r>
        <w:t xml:space="preserve">Mezi </w:t>
      </w:r>
      <w:r w:rsidRPr="3B737954">
        <w:rPr>
          <w:b/>
          <w:bCs/>
        </w:rPr>
        <w:t>silné stánky</w:t>
      </w:r>
      <w:r>
        <w:t xml:space="preserve"> jsme tedy zařadily: </w:t>
      </w:r>
    </w:p>
    <w:p w14:paraId="7C13082B" w14:textId="6D817022" w:rsidR="3B737954" w:rsidRDefault="3B737954" w:rsidP="3B737954">
      <w:pPr>
        <w:pStyle w:val="Seznamsodrkami"/>
        <w:rPr>
          <w:color w:val="374151"/>
        </w:rPr>
      </w:pPr>
      <w:r w:rsidRPr="3B737954">
        <w:rPr>
          <w:b/>
          <w:bCs/>
        </w:rPr>
        <w:t>Dosažení vyšší likvidity společnosti:</w:t>
      </w:r>
      <w:r w:rsidRPr="3B737954">
        <w:t xml:space="preserve"> Tato silná stránka znamená, že společnost má dostatek finančních prostředků na krátkodobé závazky a může snadno splácet své závazky.</w:t>
      </w:r>
    </w:p>
    <w:p w14:paraId="7F396E10" w14:textId="0CA7717A" w:rsidR="3B737954" w:rsidRDefault="3B737954" w:rsidP="3B737954">
      <w:pPr>
        <w:pStyle w:val="Seznamsodrkami"/>
        <w:rPr>
          <w:color w:val="374151"/>
        </w:rPr>
      </w:pPr>
      <w:r w:rsidRPr="3B737954">
        <w:rPr>
          <w:b/>
          <w:bCs/>
        </w:rPr>
        <w:t>Stejný poměr mezi VK a CZ:</w:t>
      </w:r>
      <w:r w:rsidRPr="3B737954">
        <w:t xml:space="preserve"> Tento faktor ukazuje, že společnost má stabilní poměr mezi vlastním kapitálem a cizím kapitálem, což jí umožňuje snadno získávat financování a řídit svůj růst.</w:t>
      </w:r>
    </w:p>
    <w:p w14:paraId="784FC569" w14:textId="4CEB7AD7" w:rsidR="3B737954" w:rsidRDefault="3B737954" w:rsidP="3B737954">
      <w:pPr>
        <w:pStyle w:val="Seznamsodrkami"/>
        <w:rPr>
          <w:color w:val="374151"/>
        </w:rPr>
      </w:pPr>
      <w:r w:rsidRPr="3B737954">
        <w:rPr>
          <w:b/>
          <w:bCs/>
        </w:rPr>
        <w:lastRenderedPageBreak/>
        <w:t>Konstantní navyšování VH a provozního výsledku hospodaření:</w:t>
      </w:r>
      <w:r w:rsidRPr="3B737954">
        <w:t xml:space="preserve"> Tento faktor znamená, že společnost dosahuje stále lepších výsledků hospodaření a zvyšuje své vlastní kapitálové fondy.</w:t>
      </w:r>
    </w:p>
    <w:p w14:paraId="79187D9F" w14:textId="1CBA4A5E" w:rsidR="3B737954" w:rsidRDefault="3B737954" w:rsidP="3B737954">
      <w:pPr>
        <w:pStyle w:val="Seznamsodrkami"/>
        <w:rPr>
          <w:color w:val="374151"/>
        </w:rPr>
      </w:pPr>
      <w:r w:rsidRPr="3B737954">
        <w:rPr>
          <w:b/>
          <w:bCs/>
        </w:rPr>
        <w:t>Vysoké hodnoty ROE a ROA:</w:t>
      </w:r>
      <w:r w:rsidRPr="3B737954">
        <w:t xml:space="preserve"> Tyto ukazatele (návrat na vlastní kapitál a návrat na celkové aktiva) ukazují, že společnost je schopna efektivně využívat své finanční zdroje k dosažení zisku.</w:t>
      </w:r>
    </w:p>
    <w:p w14:paraId="11A40DF0" w14:textId="73901A0A" w:rsidR="3B737954" w:rsidRDefault="3B737954" w:rsidP="3B737954">
      <w:pPr>
        <w:pStyle w:val="Seznamsodrkami"/>
        <w:rPr>
          <w:color w:val="374151"/>
        </w:rPr>
      </w:pPr>
      <w:r w:rsidRPr="3B737954">
        <w:rPr>
          <w:b/>
          <w:bCs/>
        </w:rPr>
        <w:t>Klesající trend zadluženosti podniku:</w:t>
      </w:r>
      <w:r w:rsidRPr="3B737954">
        <w:t xml:space="preserve"> Tento faktor ukazuje, že společnost postupně snižuje svou zadluženost, což jí umožňuje zlepšit své finanční výsledky a snížit svůj rizikový profil.</w:t>
      </w:r>
    </w:p>
    <w:p w14:paraId="3D0573BD" w14:textId="0B08EF40" w:rsidR="3B737954" w:rsidRDefault="3B737954" w:rsidP="3B737954">
      <w:pPr>
        <w:pStyle w:val="Seznamsodrkami"/>
        <w:rPr>
          <w:color w:val="374151"/>
        </w:rPr>
      </w:pPr>
      <w:r w:rsidRPr="3B737954">
        <w:rPr>
          <w:b/>
          <w:bCs/>
        </w:rPr>
        <w:t xml:space="preserve">Dobré výsledky běžné, pohotovostní i okamžité likvidity: </w:t>
      </w:r>
      <w:r w:rsidRPr="3B737954">
        <w:t>Tento faktor znamená, že společnost má dostatek hotovosti a likvidních aktiv k pokrytí svých krátkodobých závazků.</w:t>
      </w:r>
    </w:p>
    <w:p w14:paraId="0BA77A71" w14:textId="5D7CA1E6" w:rsidR="3B737954" w:rsidRDefault="3B737954" w:rsidP="3B737954">
      <w:pPr>
        <w:pStyle w:val="Seznamsodrkami"/>
        <w:rPr>
          <w:color w:val="374151"/>
        </w:rPr>
      </w:pPr>
      <w:r w:rsidRPr="3B737954">
        <w:rPr>
          <w:b/>
          <w:bCs/>
        </w:rPr>
        <w:t>Dobré výsledky u ukazatelů aktivity:</w:t>
      </w:r>
      <w:r w:rsidRPr="3B737954">
        <w:t xml:space="preserve"> Tento faktor ukazuje, že společnost úspěšně využívá svá aktiva k dosažení zisku.</w:t>
      </w:r>
    </w:p>
    <w:p w14:paraId="0066B016" w14:textId="646A1D2D" w:rsidR="3B737954" w:rsidRDefault="3B737954" w:rsidP="3B737954">
      <w:pPr>
        <w:pStyle w:val="Seznamsodrkami"/>
        <w:rPr>
          <w:color w:val="374151"/>
        </w:rPr>
      </w:pPr>
      <w:r w:rsidRPr="3B737954">
        <w:rPr>
          <w:b/>
          <w:bCs/>
        </w:rPr>
        <w:t>Finanční páka společnosti:</w:t>
      </w:r>
      <w:r w:rsidRPr="3B737954">
        <w:t xml:space="preserve"> Tento faktor ukazuje, že společnost má dostatečný poměr mezi vlastním a cizím kapitálem, což jí umožňuje získat potřebné finanční prostředky k investicím.</w:t>
      </w:r>
    </w:p>
    <w:p w14:paraId="071C03CD" w14:textId="2462ABFD" w:rsidR="3B737954" w:rsidRDefault="3B737954" w:rsidP="3B737954">
      <w:pPr>
        <w:pStyle w:val="Seznamsodrkami"/>
        <w:rPr>
          <w:color w:val="374151"/>
        </w:rPr>
      </w:pPr>
      <w:r w:rsidRPr="3B737954">
        <w:rPr>
          <w:b/>
          <w:bCs/>
        </w:rPr>
        <w:t>Bonita společnosti:</w:t>
      </w:r>
      <w:r w:rsidRPr="3B737954">
        <w:t xml:space="preserve"> Tento faktor ukazuje, že společnost je schopna splácet své závazky včas a má dostatečnou finanční stabilitu.</w:t>
      </w:r>
    </w:p>
    <w:p w14:paraId="74381B72" w14:textId="76DF4A2A" w:rsidR="3B737954" w:rsidRDefault="3B737954" w:rsidP="3B737954">
      <w:pPr>
        <w:pStyle w:val="Seznamsodrkami"/>
      </w:pPr>
      <w:r w:rsidRPr="3B737954">
        <w:rPr>
          <w:b/>
          <w:bCs/>
        </w:rPr>
        <w:t>Pozitivní hodnoty ukazatele EVA:</w:t>
      </w:r>
      <w:r w:rsidRPr="3B737954">
        <w:t xml:space="preserve"> Tento ukazatel ukazuje, že společnost je schopna vytvářet zisk nad náklady kapitálu a přinášet vyšší výnosy.</w:t>
      </w:r>
    </w:p>
    <w:p w14:paraId="6BF2800B" w14:textId="28D0E940" w:rsidR="3B737954" w:rsidRDefault="3B737954" w:rsidP="3B737954">
      <w:pPr>
        <w:pStyle w:val="Dalodstavce"/>
        <w:ind w:firstLine="0"/>
      </w:pPr>
      <w:r>
        <w:t xml:space="preserve">Mezi </w:t>
      </w:r>
      <w:r w:rsidRPr="3B737954">
        <w:rPr>
          <w:b/>
          <w:bCs/>
        </w:rPr>
        <w:t>slabé stánky</w:t>
      </w:r>
      <w:r>
        <w:t xml:space="preserve"> jsme zařadily:</w:t>
      </w:r>
    </w:p>
    <w:p w14:paraId="44FA1BE6" w14:textId="410A0C92" w:rsidR="3B737954" w:rsidRDefault="3B737954" w:rsidP="3B737954">
      <w:pPr>
        <w:pStyle w:val="Seznamsodrkami"/>
        <w:rPr>
          <w:color w:val="374151"/>
        </w:rPr>
      </w:pPr>
      <w:r w:rsidRPr="3B737954">
        <w:rPr>
          <w:b/>
          <w:bCs/>
        </w:rPr>
        <w:t>Nižší zastoupení pohledávek společnosti oproti roku 2017</w:t>
      </w:r>
      <w:r w:rsidRPr="3B737954">
        <w:t>: To může vést ke zhoršení likvidity a ztrátě příjmu, pokud nebudou včas a efektivně vymáhány.</w:t>
      </w:r>
    </w:p>
    <w:p w14:paraId="501A1239" w14:textId="2D37DB6B" w:rsidR="3B737954" w:rsidRDefault="3B737954" w:rsidP="3B737954">
      <w:pPr>
        <w:pStyle w:val="Seznamsodrkami"/>
        <w:rPr>
          <w:color w:val="374151"/>
        </w:rPr>
      </w:pPr>
      <w:r w:rsidRPr="3B737954">
        <w:rPr>
          <w:b/>
          <w:bCs/>
        </w:rPr>
        <w:t>Vždy záporné finanční výsledky podniku:</w:t>
      </w:r>
      <w:r w:rsidRPr="3B737954">
        <w:t xml:space="preserve"> Ty mohou naznačovat problémy v hospodaření a mohou vést k nízké důvěryhodnosti společnosti u stakeholderů.</w:t>
      </w:r>
    </w:p>
    <w:p w14:paraId="675CD998" w14:textId="0E115707" w:rsidR="3B737954" w:rsidRDefault="3B737954" w:rsidP="3B737954">
      <w:pPr>
        <w:pStyle w:val="Seznamsodrkami"/>
        <w:rPr>
          <w:color w:val="374151"/>
        </w:rPr>
      </w:pPr>
      <w:r w:rsidRPr="3B737954">
        <w:rPr>
          <w:b/>
          <w:bCs/>
        </w:rPr>
        <w:t>Nízké hodnoty ROS (Return on Sales):</w:t>
      </w:r>
      <w:r w:rsidRPr="3B737954">
        <w:t xml:space="preserve"> Mohou znamenat, že společnost nevytváří dostatek zisku z každého vygenerovaného příjmu. To může být způsobeno například neefektivním řízením nákladů.</w:t>
      </w:r>
    </w:p>
    <w:p w14:paraId="22379187" w14:textId="48F4A1BD" w:rsidR="3B737954" w:rsidRDefault="3B737954" w:rsidP="3B737954">
      <w:pPr>
        <w:pStyle w:val="Seznamsodrkami"/>
        <w:rPr>
          <w:color w:val="374151"/>
        </w:rPr>
      </w:pPr>
      <w:r w:rsidRPr="3B737954">
        <w:rPr>
          <w:b/>
          <w:bCs/>
        </w:rPr>
        <w:t>Překapitalizace podniku:</w:t>
      </w:r>
      <w:r w:rsidRPr="3B737954">
        <w:t xml:space="preserve"> Může ukazovat na to, že společnost má příliš mnoho kapitálu ve srovnání s potřebami a využitím. To může vést k nízkému výnosu z investic a ke ztrátě příležitostí.</w:t>
      </w:r>
    </w:p>
    <w:p w14:paraId="0FFCB28B" w14:textId="110F56C9" w:rsidR="3B737954" w:rsidRDefault="3B737954" w:rsidP="3B737954">
      <w:pPr>
        <w:pStyle w:val="Seznamsodrkami"/>
        <w:rPr>
          <w:color w:val="374151"/>
        </w:rPr>
      </w:pPr>
      <w:r w:rsidRPr="3B737954">
        <w:rPr>
          <w:b/>
          <w:bCs/>
        </w:rPr>
        <w:t xml:space="preserve">Fluktuace WACC: </w:t>
      </w:r>
      <w:r w:rsidRPr="3B737954">
        <w:t>Může být</w:t>
      </w:r>
      <w:r w:rsidRPr="3B737954">
        <w:rPr>
          <w:b/>
          <w:bCs/>
        </w:rPr>
        <w:t xml:space="preserve"> </w:t>
      </w:r>
      <w:r w:rsidRPr="3B737954">
        <w:t xml:space="preserve">rizikem pro společnost, protože ovlivňuje efektivnost investic. Vzhledem k tomu, že je ovlivňována </w:t>
      </w:r>
      <w:r w:rsidRPr="3B737954">
        <w:lastRenderedPageBreak/>
        <w:t>běžnou likviditou a produkční silou, může být obtížné ji předpovědět a kontrolovat.</w:t>
      </w:r>
    </w:p>
    <w:p w14:paraId="39A502AB" w14:textId="69436393" w:rsidR="3B737954" w:rsidRDefault="3B737954" w:rsidP="3B737954">
      <w:pPr>
        <w:pStyle w:val="Dalodstavce"/>
      </w:pPr>
    </w:p>
    <w:p w14:paraId="11003ACF" w14:textId="5D814ACF" w:rsidR="3B737954" w:rsidRDefault="3B737954" w:rsidP="3B737954">
      <w:pPr>
        <w:pStyle w:val="Dalodstavce"/>
      </w:pPr>
    </w:p>
    <w:p w14:paraId="3BFCC454" w14:textId="3F8A4D3B" w:rsidR="3B737954" w:rsidRDefault="3B737954" w:rsidP="3B737954">
      <w:pPr>
        <w:pStyle w:val="Nadpis1"/>
      </w:pPr>
      <w:r>
        <w:lastRenderedPageBreak/>
        <w:t xml:space="preserve"> Diskuze</w:t>
      </w:r>
    </w:p>
    <w:p w14:paraId="0F37B176" w14:textId="679A5B42" w:rsidR="3B737954" w:rsidRDefault="3B737954" w:rsidP="3B737954">
      <w:pPr>
        <w:pStyle w:val="Odstavec1"/>
      </w:pPr>
      <w:r>
        <w:t>Prvními vstupy do naší analýzy byla vertikální a horizontální analýza rozvahy. Vertikální analýza odhaluje pozitivní změny ve struktuře položek, jako jsou poměry mezi vlastním kapitálem, závazky a hotovostí. Horizontální analýzou jsme zjistily, že poklesl provozní zisk v roce 2018 což odpovídá trendu ve vertikální analýze, kde společnost postupně vyrovnávala poměr vlastního kapitálu a závazků.</w:t>
      </w:r>
    </w:p>
    <w:p w14:paraId="0E7C4AEE" w14:textId="22A7FC2A" w:rsidR="3B737954" w:rsidRDefault="0004018C" w:rsidP="3B737954">
      <w:pPr>
        <w:pStyle w:val="Dalodstavce"/>
      </w:pPr>
      <w:r>
        <w:t xml:space="preserve">Analýza výkazu zisku a ztráty ve společnosti ukázala pokles výkonové spotřeby, a tedy snižování výrobních nákladů. Dále také mírný růst tržeb, což v kombinaci s poklesem nákladů zapříčinilo růst provozního zisku, a také čistého zisku. </w:t>
      </w:r>
    </w:p>
    <w:p w14:paraId="1DC7480E" w14:textId="4D0E4647" w:rsidR="3B737954" w:rsidRDefault="002C5868" w:rsidP="3B737954">
      <w:pPr>
        <w:pStyle w:val="Dalodstavce"/>
        <w:rPr>
          <w:highlight w:val="yellow"/>
        </w:rPr>
      </w:pPr>
      <w:r>
        <w:t>Ukazatelé rentability společnosti vykazují pozitivní trend a dosahují vysokých hodnot s výjimkou ukazatele ROS, který nedosahuje ani v jednom zkoumaném roce odvětvových průměrů. Naopak ukazatel ROE nabývá vcelku vysokých hodnot, což znamená vysokou návratnost vlastního kapitálu společnosti.</w:t>
      </w:r>
      <w:r w:rsidR="3B737954">
        <w:t xml:space="preserve"> </w:t>
      </w:r>
      <w:r>
        <w:t>Rentabilita aktiv roste v podniku také celkem rychle, což naznačuje efektivitu v práci s těmito položkami. Z ukazatelů zadluženosti považujeme za nejvýznamnější z hlediska vývoje zadluženost VK, která byla ze začátku období velmi vysoká a mohla tak podniku působit problémy, ovšem jak vyplývá z analýzy, tak tento ukazatel začal klesat díky dodatečným vkladům společníků</w:t>
      </w:r>
      <w:r w:rsidR="009C3959">
        <w:t>. V práci jsme zpracovávaly více ukazatelů zadluženosti, které všechny vykazují klesající trend, což je pro podnik pozitivní směr. Ovšem ukazatel dlouhodobého krytí stálých aktiv nabývá dlouhodobě hodnot, které naznačují to, že je podnik překapitalizován.</w:t>
      </w:r>
    </w:p>
    <w:p w14:paraId="335B5925" w14:textId="5B554BFE" w:rsidR="3B737954" w:rsidRDefault="3B737954" w:rsidP="00AA7B61">
      <w:pPr>
        <w:pStyle w:val="Dalodstavce"/>
      </w:pPr>
      <w:r>
        <w:t xml:space="preserve">Aktivita společnosti naznačuje, že společnost měla nízkou úroveň celkového obratu aktiv po celou dobu, což naznačuje, že společnost se rozšiřovala bez zvyšování finančních prostředků. Také jsme analyzovaly obrat zásob, který klesl v roce 2018, což způsobilo nárůst celkového obratu aktiv. Tento nárůst celkového obratu byl následován poklesem v roce 2019 z důvodu poklesu obratu zásob. </w:t>
      </w:r>
    </w:p>
    <w:p w14:paraId="0550B329" w14:textId="1715FED9" w:rsidR="3B737954" w:rsidRDefault="3B737954" w:rsidP="00E52D93">
      <w:pPr>
        <w:pStyle w:val="Dalodstavce"/>
      </w:pPr>
      <w:r>
        <w:t>Podnik se v průběhu let snažil zlepšovat svou běžnou, pohotovou a okamžitou likviditu. V roce 2018 měla společnost problém dostát svým krátkodobým závazkům, ale v roce 2019 se jí podařilo likviditu zvýšit a udržovat ji na stabilní úrovni.</w:t>
      </w:r>
    </w:p>
    <w:p w14:paraId="3995F599" w14:textId="5261EFCD" w:rsidR="009C3959" w:rsidRDefault="3B737954" w:rsidP="00AA7B61">
      <w:pPr>
        <w:pStyle w:val="Dalodstavce"/>
        <w:ind w:firstLine="709"/>
      </w:pPr>
      <w:r>
        <w:t xml:space="preserve">Finanční páka společnosti působila ve všech obdobích pozitivně a napomáhala ke zvýšení rentability podniku. V roce 2017 měla společnost </w:t>
      </w:r>
      <w:r>
        <w:lastRenderedPageBreak/>
        <w:t>nejvyšší finanční páku, ale v současné době se společnost spoléhá na cizí zdroje méně než v minulosti a je tedy méně zadlužená. Z hlediska rentability by se společnosti mohlo vyplatit finanční páku opět navyšovat.</w:t>
      </w:r>
    </w:p>
    <w:p w14:paraId="473B04E7" w14:textId="71906274" w:rsidR="3B737954" w:rsidRDefault="009C3959" w:rsidP="00E52D93">
      <w:pPr>
        <w:pStyle w:val="Dalodstavce"/>
        <w:ind w:firstLine="360"/>
      </w:pPr>
      <w:r>
        <w:t xml:space="preserve">Jako souhrnný pyramidový rozklad jsme využily Du Pontův rozklad ROE, který ukázal, že na tento ukazatel má největší vliv finanční páka dosahující vysokých hodnot a dále ukazatel ROA zvyšuje zejména obrat aktiv. Ukazatel ROS v tomto případě je v podniku nízký a nejvíce zde působí obrat aktiv, což naznačuje, že podnik působí ve vysoce koncentrovaném prostředí a kompenzuje nižší obrat tržeb množstvím produkce. </w:t>
      </w:r>
    </w:p>
    <w:p w14:paraId="735B7F5B" w14:textId="6ECFC152" w:rsidR="3B737954" w:rsidRDefault="3B737954" w:rsidP="00AA7B61">
      <w:pPr>
        <w:pStyle w:val="Dalodstavce"/>
        <w:ind w:firstLine="360"/>
      </w:pPr>
      <w:r>
        <w:t>Hodnota nákladů na kapitál (WACC) má v průběhu let výrazné fluktuace a největší vliv na tuto fluktuaci měly přirážky za riziko finanční nestability a riziko velikosti podniku. Pokles hodnoty WACC v roce 2020 je dán především těmito dvěma složkami. Dále se zdá, že zlepšením běžné likvidity a produkční síly by společnost mohla dosáhnout snížení hodnoty nákladů na kapitál.</w:t>
      </w:r>
    </w:p>
    <w:p w14:paraId="44E24547" w14:textId="140B40AE" w:rsidR="3B737954" w:rsidRDefault="3B737954" w:rsidP="00AA7B61">
      <w:pPr>
        <w:pStyle w:val="Dalodstavce"/>
        <w:ind w:firstLine="360"/>
      </w:pPr>
      <w:r>
        <w:t xml:space="preserve">Na závěr Bonitní model ukazuje, že výsledky společnosti S&amp;K LABEL jsou v současnosti velmi dobré. Dále také potvrzuje naše zjištění projevující se ve všech stupních finanční analýzy, že rok 2018 byl pro společnost nejslabší. Roky 2020 a 2021 jsou hodnoceny velmi pozitivně, což naznačuje, že společnost udržuje svou bonitu. Nicméně kvóta vlastního kapitálu v roce 2018 ukazuje na velkou kapitálovou sílu společnosti, což může být pozitivním faktorem pro investory. </w:t>
      </w:r>
    </w:p>
    <w:p w14:paraId="3F7C35FA" w14:textId="23E7BE63" w:rsidR="00AA7B61" w:rsidRPr="00AA7B61" w:rsidRDefault="00AA7B61" w:rsidP="00AA7B61">
      <w:pPr>
        <w:pStyle w:val="Dalodstavce"/>
        <w:ind w:firstLine="360"/>
      </w:pPr>
      <w:r>
        <w:t>K souhrnnému hodnocení jsme využily index IN05, který určuje pravděpodobnost bankrotu a tvorby hodnotu podniku. Podnik dle tohoto indexu čelil bankrotu na 50 % roku 2018 a 2019, v ostatních sledovaných letech zde byla 92% šance, že podnik nezkrachuje a 95% pravděpodobnost, že tvoří hodnotu. Tento ukazatel jsme také porovnaly s ukazatelem EVA, kde nám vyšlo, že podnik tvořil hodnotu pouze poslední rok zkoumaného období. Zde k tomu přihlížíme s obezřetností, jelikož ukazatel EVA nebyl sestrojen přímo pro české podniky a je zde potřeba udělat určité modifikace vstupních informací, ke kterým jsme neměly přístup. Proto v závěrečném hodnocení, že od roku 2020 podnik hodnotu tvořil, jelikož výsledky EVA jsou tento rok blíže 0 a také dle výsledků IN05.</w:t>
      </w:r>
    </w:p>
    <w:p w14:paraId="6A663C6E" w14:textId="6C51B454" w:rsidR="3B737954" w:rsidRDefault="3B737954" w:rsidP="00AA7B61">
      <w:pPr>
        <w:pStyle w:val="Dalodstavce"/>
        <w:ind w:firstLine="360"/>
      </w:pPr>
      <w:r>
        <w:t>Celkově tedy výsledky finanční analýzy naznačují, že společnost S&amp;K LABEL je stabilní a má perspektivu pro budoucí růst.</w:t>
      </w:r>
    </w:p>
    <w:p w14:paraId="3D07DDF6" w14:textId="7F6D6104" w:rsidR="3B737954" w:rsidRDefault="3B737954" w:rsidP="3B737954">
      <w:pPr>
        <w:pStyle w:val="Dalodstavce"/>
        <w:ind w:firstLine="0"/>
      </w:pPr>
    </w:p>
    <w:p w14:paraId="63C5E4C2" w14:textId="0B0B1689" w:rsidR="3B737954" w:rsidRDefault="3B737954" w:rsidP="3B737954">
      <w:pPr>
        <w:pStyle w:val="Nadpis1"/>
      </w:pPr>
      <w:r>
        <w:lastRenderedPageBreak/>
        <w:t xml:space="preserve"> Doporučení</w:t>
      </w:r>
    </w:p>
    <w:p w14:paraId="5D1539B3" w14:textId="77777777" w:rsidR="009F74D1" w:rsidRDefault="002B01DC" w:rsidP="002B01DC">
      <w:pPr>
        <w:pStyle w:val="Odstavec1"/>
      </w:pPr>
      <w:r>
        <w:t xml:space="preserve">Při analýze podniku jsme identifikovali několik slabých stránek, kterých je oproti silným výrazně méně. Formulaci našich doporučení bychom zaměřily zejména na překapitalizaci podniku a fluktuaci WACC.  </w:t>
      </w:r>
    </w:p>
    <w:p w14:paraId="28B9B35C" w14:textId="67BF8BC4" w:rsidR="002B01DC" w:rsidRDefault="002B01DC" w:rsidP="009F74D1">
      <w:pPr>
        <w:pStyle w:val="Odstavec1"/>
        <w:ind w:firstLine="360"/>
      </w:pPr>
      <w:r>
        <w:t xml:space="preserve">Překapitalizace podniku </w:t>
      </w:r>
      <w:r w:rsidR="009F74D1">
        <w:t xml:space="preserve">znamená, že podnik kryje dlouhodobými závazky i oběžná aktiva, což může znamenat nižší hospodárnost. Z vertikální analýzy rozvahy vychází, že v posledních obdobích, kdy </w:t>
      </w:r>
      <w:r w:rsidR="00450395">
        <w:t>ukazatel</w:t>
      </w:r>
      <w:r w:rsidR="009F74D1">
        <w:t xml:space="preserve"> dlouhodobého krytí stálých aktiv přesahoval 100 % byl největší podíl na sumě aktiv tvořen vlastním kapitálem, z čehož největší část zaujímala položka VH z </w:t>
      </w:r>
      <w:r w:rsidR="00450395">
        <w:t>minulých</w:t>
      </w:r>
      <w:r w:rsidR="009F74D1">
        <w:t xml:space="preserve"> let a VH běžného období. Zde by pro podnik mohlo být vhodnější využít nerozdělené zisky pro investice do finančního majetku, kde vykazuje záporné výsledky nebo </w:t>
      </w:r>
      <w:r w:rsidR="00450395">
        <w:t xml:space="preserve">investovat do nákupu dlouhodobého majetku pro zefektivnění výroby. Je také možné, že podnik plánuje větší investici v budoucnu a šetří si takto peníze, ale bylo by vhodnější peníze uložit i jiným způsobem jako je například uložení v bance s vyšším zúročením vkladu či investice do finančních instrumentů. Přesná volba by se odvíjela od časového horizontu investice. </w:t>
      </w:r>
    </w:p>
    <w:p w14:paraId="063983D2" w14:textId="02AD681E" w:rsidR="00450395" w:rsidRPr="00450395" w:rsidRDefault="00450395" w:rsidP="00450395">
      <w:pPr>
        <w:pStyle w:val="Dalodstavce"/>
      </w:pPr>
      <w:r>
        <w:t xml:space="preserve">Proti fluktuacím WACC by podnik mohl bojovat zlepšením hodnot běžné likvidity a produkční síly. </w:t>
      </w:r>
    </w:p>
    <w:p w14:paraId="317E8990" w14:textId="77777777" w:rsidR="00450395" w:rsidRPr="00450395" w:rsidRDefault="00450395" w:rsidP="00450395">
      <w:pPr>
        <w:pStyle w:val="Dalodstavce"/>
      </w:pPr>
    </w:p>
    <w:p w14:paraId="31B1875C" w14:textId="299C10BC" w:rsidR="3B737954" w:rsidRDefault="3B737954" w:rsidP="3B737954">
      <w:pPr>
        <w:pStyle w:val="Nadpis1"/>
      </w:pPr>
      <w:r>
        <w:lastRenderedPageBreak/>
        <w:t xml:space="preserve"> Závěr</w:t>
      </w:r>
    </w:p>
    <w:p w14:paraId="09E5BC9D" w14:textId="1C3DDC78" w:rsidR="00355611" w:rsidRDefault="00355611" w:rsidP="3B737954">
      <w:pPr>
        <w:pStyle w:val="Odstavec1"/>
      </w:pPr>
      <w:r>
        <w:t>Z</w:t>
      </w:r>
      <w:r w:rsidR="3B737954">
        <w:t xml:space="preserve"> finanční analýzy podniku S&amp;K LABEL analýzy vyplývá, že společnost S&amp;K LABEL prošla v průběhu let několika změnami v oblasti financování a likvidity, avšak momentálně se zdá být stabilní a má perspektivu pro budoucí růst. Věnovali jsme se hodnotě nákladů na kapitál a finanční páce společnosti, což jsou důležité faktory pro stakeholdery společnosti. </w:t>
      </w:r>
    </w:p>
    <w:p w14:paraId="3B25E923" w14:textId="6A2433D7" w:rsidR="3B737954" w:rsidRDefault="3B737954" w:rsidP="00355611">
      <w:pPr>
        <w:pStyle w:val="Odstavec1"/>
        <w:ind w:firstLine="709"/>
      </w:pPr>
      <w:r>
        <w:t>Dále jsme analyzovali aktivitu společnosti a ukázalo se, že měla nízkou úroveň celkového obratu aktiv, ale snažila se zlepšovat svou běžnou, pohotovou a okamžitou likviditu.</w:t>
      </w:r>
      <w:r w:rsidR="00355611">
        <w:t xml:space="preserve"> Ukazatele rentability společnosti jsou na dobré úrovni s výjimkou rentability tržeb, která byla identifikována jako slabá stránka, kterou se podnik snaží kompenzovat vyšším obratem aktiv.</w:t>
      </w:r>
    </w:p>
    <w:p w14:paraId="32560119" w14:textId="4CD8C2E6" w:rsidR="3B737954" w:rsidRDefault="3B737954" w:rsidP="00355611">
      <w:pPr>
        <w:pStyle w:val="Odstavec1"/>
        <w:ind w:firstLine="709"/>
      </w:pPr>
      <w:r>
        <w:t>Hlavním výstupem analýzy je, že rok 2018 byl pro společnost ve všech oblastech nejslabší, ale v posledních letech se podařilo situaci zlepšit. Bonitní model potvrzuje pozitivní výsledky společnosti v posledních letech a zároveň ukazuje na, což může být pro společnost pozitivní faktor.</w:t>
      </w:r>
      <w:r w:rsidR="00355611">
        <w:t xml:space="preserve"> Bankrotní model je v souladu s bonitním a naznačuje, že největší problémy podnik zažil roku 2018 jak již bylo zmíněno a od té doby směřuje k prosperitě. </w:t>
      </w:r>
      <w:r>
        <w:t>Celkově lze tedy říci, že společnost S&amp;K LABEL má perspektivu pro budoucí růst.</w:t>
      </w:r>
    </w:p>
    <w:p w14:paraId="11D4B82A" w14:textId="50DCE397" w:rsidR="3B737954" w:rsidRDefault="3B737954" w:rsidP="3B737954">
      <w:pPr>
        <w:pStyle w:val="Dalodstavce"/>
        <w:sectPr w:rsidR="3B737954" w:rsidSect="009D3C27">
          <w:headerReference w:type="even" r:id="rId52"/>
          <w:headerReference w:type="default" r:id="rId53"/>
          <w:type w:val="oddPage"/>
          <w:pgSz w:w="11906" w:h="16838" w:code="9"/>
          <w:pgMar w:top="2380" w:right="2020" w:bottom="2380" w:left="2020" w:header="1900" w:footer="1280" w:gutter="500"/>
          <w:cols w:space="708"/>
          <w:docGrid w:linePitch="360"/>
        </w:sectPr>
      </w:pPr>
    </w:p>
    <w:p w14:paraId="400F4454" w14:textId="77777777" w:rsidR="00710C27" w:rsidRDefault="00D80A2A" w:rsidP="008A7F29">
      <w:pPr>
        <w:pStyle w:val="Nadpis10"/>
      </w:pPr>
      <w:bookmarkStart w:id="78" w:name="_Toc257117031"/>
      <w:bookmarkStart w:id="79" w:name="_Toc381564283"/>
      <w:bookmarkStart w:id="80" w:name="_Toc132567270"/>
      <w:r w:rsidRPr="00746487">
        <w:lastRenderedPageBreak/>
        <w:t>Použité zdroje</w:t>
      </w:r>
      <w:bookmarkEnd w:id="78"/>
      <w:bookmarkEnd w:id="79"/>
      <w:bookmarkEnd w:id="80"/>
    </w:p>
    <w:p w14:paraId="03FE12E4"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KISLINGEROVÁ, Eva, et. al. Nové trendy ve vývoji konkurenceschopnosti podniků České republiky: v globální světové ekonomice. 1. vyd. Praha: C. H. Beck, 2014. ISBN 978-80-7400–537-4.</w:t>
      </w:r>
    </w:p>
    <w:p w14:paraId="45276109"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KISLINGEROVÁ, Eva, et al. Manažerské finance. 2. Praha: C. H. Beck, 2007. 745 s. ISBN 978-80-7179-903-0</w:t>
      </w:r>
    </w:p>
    <w:p w14:paraId="12C2768E"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KUBÍČKOVÁ, Dana a Irena JINDŘICHOVSKÁ. Finanční analýza a hodnocení výkonnosti firmy. 1. vyd. Praha: C. H. Beck, 2015. ISBN 978-80-7400-538-1.</w:t>
      </w:r>
    </w:p>
    <w:p w14:paraId="494AE8B9"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MRKVIČKA, Josef a Pavel KOLÁŘ. Finanční analýza. 2. přepracované vyd. Praha: ASPI, 2006. ISBN 80-7357-219-2</w:t>
      </w:r>
    </w:p>
    <w:p w14:paraId="59CED174"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NAŘÍZENÍ KOMISE (EU) č. 651/2014 ze dne 17. června 2014, kterým se v souladu s články 107 a 108 Smlouvy prohlašují určité kategorie podpory za slučitelné s vnitřním trhem. In: Úřední věstník. Dostupné také z:</w:t>
      </w:r>
      <w:hyperlink r:id="rId54">
        <w:r w:rsidRPr="00DF5873">
          <w:rPr>
            <w:rFonts w:asciiTheme="minorHAnsi" w:hAnsiTheme="minorHAnsi"/>
            <w:color w:val="000000" w:themeColor="text1"/>
          </w:rPr>
          <w:t xml:space="preserve"> </w:t>
        </w:r>
      </w:hyperlink>
      <w:hyperlink r:id="rId55">
        <w:r w:rsidRPr="00DF5873">
          <w:rPr>
            <w:rFonts w:asciiTheme="minorHAnsi" w:hAnsiTheme="minorHAnsi"/>
            <w:color w:val="000000" w:themeColor="text1"/>
          </w:rPr>
          <w:t>https://eur-lex.europa.eu/legal-content/CS/TXT/?uri=CELEX%3A32014R0651</w:t>
        </w:r>
      </w:hyperlink>
    </w:p>
    <w:p w14:paraId="6E463D95"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 xml:space="preserve">Registr ekonomických subjektů. </w:t>
      </w:r>
      <w:r w:rsidRPr="00DF5873">
        <w:rPr>
          <w:rFonts w:asciiTheme="minorHAnsi" w:hAnsiTheme="minorHAnsi"/>
          <w:i/>
          <w:color w:val="000000" w:themeColor="text1"/>
        </w:rPr>
        <w:t>Český statistický úřad</w:t>
      </w:r>
      <w:r w:rsidRPr="00DF5873">
        <w:rPr>
          <w:rFonts w:asciiTheme="minorHAnsi" w:hAnsiTheme="minorHAnsi"/>
          <w:color w:val="000000" w:themeColor="text1"/>
        </w:rPr>
        <w:t xml:space="preserve"> [online]. 2013 [cit. 2023-02-25]. Dostupné z: https://apl.czso.cz/irsw/dotaz.jsp</w:t>
      </w:r>
    </w:p>
    <w:p w14:paraId="17B5734B" w14:textId="77777777" w:rsidR="00072F67" w:rsidRPr="00DF5873" w:rsidRDefault="00072F67" w:rsidP="00B02F6E">
      <w:pPr>
        <w:numPr>
          <w:ilvl w:val="0"/>
          <w:numId w:val="25"/>
        </w:numPr>
        <w:spacing w:line="276" w:lineRule="auto"/>
        <w:jc w:val="both"/>
        <w:rPr>
          <w:rFonts w:asciiTheme="minorHAnsi" w:hAnsiTheme="minorHAnsi"/>
          <w:color w:val="000000" w:themeColor="text1"/>
        </w:rPr>
      </w:pPr>
      <w:r w:rsidRPr="00DF5873">
        <w:rPr>
          <w:rFonts w:asciiTheme="minorHAnsi" w:hAnsiTheme="minorHAnsi"/>
          <w:color w:val="000000" w:themeColor="text1"/>
        </w:rPr>
        <w:t xml:space="preserve">S&amp;K LABEL [online]. S&amp;K LABEL spol. s r.o. 2023 [cit. 2023-02–23]. Dostupné z: </w:t>
      </w:r>
      <w:hyperlink r:id="rId56">
        <w:r w:rsidRPr="00DF5873">
          <w:rPr>
            <w:rFonts w:asciiTheme="minorHAnsi" w:hAnsiTheme="minorHAnsi"/>
            <w:color w:val="000000" w:themeColor="text1"/>
            <w:u w:val="single"/>
          </w:rPr>
          <w:t>https://www.sklabel.cz/cs</w:t>
        </w:r>
      </w:hyperlink>
    </w:p>
    <w:p w14:paraId="2714C8F5" w14:textId="6FBE1E76" w:rsidR="00072F67" w:rsidRDefault="00072F67" w:rsidP="00B02F6E">
      <w:pPr>
        <w:pStyle w:val="Odstavecseseznamem"/>
        <w:numPr>
          <w:ilvl w:val="0"/>
          <w:numId w:val="25"/>
        </w:numPr>
        <w:rPr>
          <w:rFonts w:asciiTheme="minorHAnsi" w:hAnsiTheme="minorHAnsi"/>
          <w:color w:val="000000" w:themeColor="text1"/>
        </w:rPr>
      </w:pPr>
      <w:r w:rsidRPr="00DF5873">
        <w:rPr>
          <w:rFonts w:asciiTheme="minorHAnsi" w:hAnsiTheme="minorHAnsi"/>
          <w:i/>
          <w:iCs/>
          <w:color w:val="000000" w:themeColor="text1"/>
        </w:rPr>
        <w:t>Veřejný rejstřík a Sbírka listin</w:t>
      </w:r>
      <w:r w:rsidRPr="00DF5873">
        <w:rPr>
          <w:rFonts w:asciiTheme="minorHAnsi" w:hAnsiTheme="minorHAnsi"/>
          <w:color w:val="000000" w:themeColor="text1"/>
        </w:rPr>
        <w:t xml:space="preserve"> [online]. Ministerstvo spravedlnosti České republiky [cit. 2023-02-23]. Dostupné z: </w:t>
      </w:r>
      <w:hyperlink r:id="rId57" w:history="1">
        <w:r w:rsidR="005C49FD" w:rsidRPr="00C966FA">
          <w:rPr>
            <w:rStyle w:val="Hypertextovodkaz"/>
            <w:rFonts w:asciiTheme="minorHAnsi" w:hAnsiTheme="minorHAnsi"/>
          </w:rPr>
          <w:t>https://or.justice.cz/ias/ui/rejstrik</w:t>
        </w:r>
      </w:hyperlink>
    </w:p>
    <w:p w14:paraId="5D1940AD" w14:textId="77777777" w:rsidR="005C49FD" w:rsidRPr="00CA5612" w:rsidRDefault="005C49FD" w:rsidP="00B02F6E">
      <w:pPr>
        <w:pStyle w:val="Odstavecseseznamem"/>
        <w:numPr>
          <w:ilvl w:val="0"/>
          <w:numId w:val="25"/>
        </w:numPr>
        <w:rPr>
          <w:noProof/>
        </w:rPr>
      </w:pPr>
      <w:r w:rsidRPr="00CA5612">
        <w:rPr>
          <w:noProof/>
        </w:rPr>
        <w:t xml:space="preserve">SEDLÁČEK, Jaroslav. </w:t>
      </w:r>
      <w:r w:rsidRPr="002E0FA1">
        <w:rPr>
          <w:i/>
          <w:iCs/>
          <w:noProof/>
        </w:rPr>
        <w:t>Finanční analýza podniku</w:t>
      </w:r>
      <w:r w:rsidRPr="00CA5612">
        <w:rPr>
          <w:noProof/>
        </w:rPr>
        <w:t>.</w:t>
      </w:r>
      <w:r>
        <w:rPr>
          <w:noProof/>
        </w:rPr>
        <w:t xml:space="preserve"> 1. vyd.</w:t>
      </w:r>
      <w:r w:rsidRPr="00CA5612">
        <w:rPr>
          <w:noProof/>
        </w:rPr>
        <w:t xml:space="preserve"> Brno: Computer Press, 2007. ISBN 978-80-251-1830-6.</w:t>
      </w:r>
    </w:p>
    <w:p w14:paraId="2CD323AF" w14:textId="77777777" w:rsidR="005C49FD" w:rsidRPr="00B13F16" w:rsidRDefault="005C49FD" w:rsidP="00B02F6E">
      <w:pPr>
        <w:pStyle w:val="Odstavecseseznamem"/>
        <w:numPr>
          <w:ilvl w:val="0"/>
          <w:numId w:val="25"/>
        </w:numPr>
        <w:rPr>
          <w:rFonts w:asciiTheme="minorHAnsi" w:hAnsiTheme="minorHAnsi"/>
          <w:noProof/>
        </w:rPr>
      </w:pPr>
      <w:r w:rsidRPr="00B13F16">
        <w:rPr>
          <w:rFonts w:asciiTheme="minorHAnsi" w:hAnsiTheme="minorHAnsi"/>
          <w:noProof/>
        </w:rPr>
        <w:t xml:space="preserve">KUBÍČKOVÁ, Dana a Irena JINDŘICHOVSKÁ. </w:t>
      </w:r>
      <w:r w:rsidRPr="00B13F16">
        <w:rPr>
          <w:rFonts w:asciiTheme="minorHAnsi" w:hAnsiTheme="minorHAnsi"/>
          <w:i/>
          <w:iCs/>
          <w:noProof/>
        </w:rPr>
        <w:t>Finanční analýza a hodnocení výkonnosti firmy</w:t>
      </w:r>
      <w:r w:rsidRPr="00B13F16">
        <w:rPr>
          <w:rFonts w:asciiTheme="minorHAnsi" w:hAnsiTheme="minorHAnsi"/>
          <w:noProof/>
        </w:rPr>
        <w:t>. 1. vyd. Praha: C. H. Beck, 2015. ISBN 978-80-7400-538-1.</w:t>
      </w:r>
    </w:p>
    <w:p w14:paraId="62AF0990" w14:textId="77777777" w:rsidR="00974709" w:rsidRPr="00B13F16" w:rsidRDefault="00974709" w:rsidP="00B02F6E">
      <w:pPr>
        <w:pStyle w:val="Odstavecseseznamem"/>
        <w:numPr>
          <w:ilvl w:val="0"/>
          <w:numId w:val="25"/>
        </w:numPr>
        <w:rPr>
          <w:rFonts w:asciiTheme="minorHAnsi" w:hAnsiTheme="minorHAnsi"/>
        </w:rPr>
      </w:pPr>
      <w:r w:rsidRPr="00B13F16">
        <w:rPr>
          <w:rFonts w:asciiTheme="minorHAnsi" w:hAnsiTheme="minorHAnsi"/>
        </w:rPr>
        <w:t xml:space="preserve">KISLINGEROVÁ, Eva a Jiří HNILICA. </w:t>
      </w:r>
      <w:r w:rsidRPr="00B13F16">
        <w:rPr>
          <w:rFonts w:asciiTheme="minorHAnsi" w:hAnsiTheme="minorHAnsi"/>
          <w:i/>
          <w:iCs/>
        </w:rPr>
        <w:t>Citace.com Email this Export Record Save to List Finanční analýza : krok za krokem</w:t>
      </w:r>
      <w:r w:rsidRPr="00B13F16">
        <w:rPr>
          <w:rFonts w:asciiTheme="minorHAnsi" w:hAnsiTheme="minorHAnsi"/>
        </w:rPr>
        <w:t>. Praha: C H Beck, 2005. ISBN 80-7179-321-3.</w:t>
      </w:r>
    </w:p>
    <w:p w14:paraId="59EBB2BF" w14:textId="77777777" w:rsidR="00C509BB" w:rsidRPr="00B13F16" w:rsidRDefault="00C509BB" w:rsidP="00B02F6E">
      <w:pPr>
        <w:pStyle w:val="Odstavecseseznamem"/>
        <w:numPr>
          <w:ilvl w:val="0"/>
          <w:numId w:val="25"/>
        </w:numPr>
        <w:rPr>
          <w:rFonts w:asciiTheme="minorHAnsi" w:hAnsiTheme="minorHAnsi"/>
        </w:rPr>
      </w:pPr>
      <w:r w:rsidRPr="00B13F16">
        <w:rPr>
          <w:rFonts w:asciiTheme="minorHAnsi" w:hAnsiTheme="minorHAnsi"/>
        </w:rPr>
        <w:t xml:space="preserve">KALOUDA, František. </w:t>
      </w:r>
      <w:r w:rsidRPr="00B13F16">
        <w:rPr>
          <w:rFonts w:asciiTheme="minorHAnsi" w:hAnsiTheme="minorHAnsi"/>
          <w:i/>
          <w:iCs/>
        </w:rPr>
        <w:t>Finanční analýza a řízení podniku</w:t>
      </w:r>
      <w:r w:rsidRPr="00B13F16">
        <w:rPr>
          <w:rFonts w:asciiTheme="minorHAnsi" w:hAnsiTheme="minorHAnsi"/>
        </w:rPr>
        <w:t>. 3. rozšířené vydání. Plzeň: Vydavatelství a nakladatelství Aleš Čeněk, 2017. ISBN 978-80-7380-646-0.</w:t>
      </w:r>
    </w:p>
    <w:p w14:paraId="6FB36AE5" w14:textId="77777777" w:rsidR="00844455" w:rsidRPr="00844455" w:rsidRDefault="6891B4C7" w:rsidP="6891B4C7">
      <w:pPr>
        <w:pStyle w:val="Odstavecseseznamem"/>
        <w:numPr>
          <w:ilvl w:val="0"/>
          <w:numId w:val="25"/>
        </w:numPr>
        <w:rPr>
          <w:rFonts w:asciiTheme="minorHAnsi" w:hAnsiTheme="minorHAnsi"/>
        </w:rPr>
      </w:pPr>
      <w:r w:rsidRPr="6891B4C7">
        <w:rPr>
          <w:rFonts w:asciiTheme="minorHAnsi" w:hAnsiTheme="minorHAnsi"/>
        </w:rPr>
        <w:t xml:space="preserve">Analytické materiály. </w:t>
      </w:r>
      <w:r w:rsidRPr="6891B4C7">
        <w:rPr>
          <w:rFonts w:asciiTheme="minorHAnsi" w:hAnsiTheme="minorHAnsi"/>
          <w:i/>
          <w:iCs/>
        </w:rPr>
        <w:t>Ministerstvo průmyslu a obchodu</w:t>
      </w:r>
      <w:r w:rsidRPr="6891B4C7">
        <w:rPr>
          <w:rFonts w:asciiTheme="minorHAnsi" w:hAnsiTheme="minorHAnsi"/>
        </w:rPr>
        <w:t xml:space="preserve"> [online]. 2023 [cit. 2023-03-17]. Dostupné z: </w:t>
      </w:r>
      <w:hyperlink r:id="rId58">
        <w:r w:rsidRPr="6891B4C7">
          <w:rPr>
            <w:rStyle w:val="Hypertextovodkaz"/>
            <w:rFonts w:asciiTheme="minorHAnsi" w:hAnsiTheme="minorHAnsi"/>
          </w:rPr>
          <w:t>https://www.mpo.cz/cz/rozcestnik/analyticke-materialy-a-statistiky/analyticke-materialy/</w:t>
        </w:r>
      </w:hyperlink>
    </w:p>
    <w:p w14:paraId="2CA40457" w14:textId="210981AA" w:rsidR="6891B4C7" w:rsidRDefault="58187F3D" w:rsidP="58187F3D">
      <w:pPr>
        <w:pStyle w:val="Odstavecseseznamem"/>
        <w:numPr>
          <w:ilvl w:val="0"/>
          <w:numId w:val="25"/>
        </w:numPr>
        <w:rPr>
          <w:rFonts w:asciiTheme="minorHAnsi" w:hAnsiTheme="minorHAnsi"/>
        </w:rPr>
      </w:pPr>
      <w:r w:rsidRPr="58187F3D">
        <w:rPr>
          <w:rFonts w:asciiTheme="minorHAnsi" w:hAnsiTheme="minorHAnsi"/>
        </w:rPr>
        <w:t>Finanční analýza podnikové sféry: se zaměřením na konkurenceschopnost sledovaných odvětví za rok 2013. V: Ministerstvo průmyslu a obchodu: Sekce průmyslu, Odbor akademických analýz [online]. červen 2014 [cit. 2015-04-07]. Dostupné z: download.mpo.cz/get/50629/57473/613085/priloha002.pdf</w:t>
      </w:r>
    </w:p>
    <w:p w14:paraId="6B45CFEE" w14:textId="6B6C271F" w:rsidR="58187F3D" w:rsidRDefault="3B737954" w:rsidP="3B737954">
      <w:pPr>
        <w:pStyle w:val="Odstavecseseznamem"/>
        <w:numPr>
          <w:ilvl w:val="0"/>
          <w:numId w:val="25"/>
        </w:numPr>
        <w:rPr>
          <w:rFonts w:asciiTheme="minorHAnsi" w:hAnsiTheme="minorHAnsi"/>
        </w:rPr>
      </w:pPr>
      <w:r w:rsidRPr="3B737954">
        <w:rPr>
          <w:rFonts w:asciiTheme="minorHAnsi" w:hAnsiTheme="minorHAnsi"/>
        </w:rPr>
        <w:t>KRALICEK, Peter. Základy finančního hospodaření. Přeložil Josef Spal. Praha : Linde Praha, 1993. 110 s. ISBN 80-85647-11-7.</w:t>
      </w:r>
    </w:p>
    <w:p w14:paraId="31F631A0" w14:textId="1202B057" w:rsidR="3B737954" w:rsidRDefault="3B737954" w:rsidP="3B737954">
      <w:pPr>
        <w:pStyle w:val="Odstavecseseznamem"/>
        <w:numPr>
          <w:ilvl w:val="0"/>
          <w:numId w:val="25"/>
        </w:numPr>
        <w:rPr>
          <w:rFonts w:asciiTheme="minorHAnsi" w:hAnsiTheme="minorHAnsi"/>
        </w:rPr>
      </w:pPr>
      <w:r w:rsidRPr="3B737954">
        <w:rPr>
          <w:rFonts w:asciiTheme="minorHAnsi" w:hAnsiTheme="minorHAnsi"/>
        </w:rPr>
        <w:t>JOHNSON, G., et al. Fundamentals of Strategy. 3. vyd. Edinburgh: Pearson Education Limited, 2015. ISBN 978-1-292-01721-1.</w:t>
      </w:r>
    </w:p>
    <w:p w14:paraId="7FA5A795" w14:textId="76A8D3AA" w:rsidR="3B737954" w:rsidRDefault="3B737954" w:rsidP="3B737954">
      <w:pPr>
        <w:pStyle w:val="Odstavecseseznamem"/>
        <w:numPr>
          <w:ilvl w:val="0"/>
          <w:numId w:val="25"/>
        </w:numPr>
        <w:rPr>
          <w:rFonts w:asciiTheme="minorHAnsi" w:hAnsiTheme="minorHAnsi"/>
        </w:rPr>
      </w:pPr>
      <w:r w:rsidRPr="3B737954">
        <w:rPr>
          <w:rFonts w:asciiTheme="minorHAnsi" w:hAnsiTheme="minorHAnsi"/>
        </w:rPr>
        <w:t>FRIEDL, B. General Management. 2. vyd. Mnichov: UVK Lucius GmbH, 2017. ISBN 978-3- 8252-4879-6.</w:t>
      </w:r>
    </w:p>
    <w:p w14:paraId="0E6E0D49" w14:textId="77777777" w:rsidR="005E4C2C" w:rsidRDefault="005E4C2C" w:rsidP="005E4C2C">
      <w:pPr>
        <w:pStyle w:val="ZPLiteratura"/>
        <w:numPr>
          <w:ilvl w:val="0"/>
          <w:numId w:val="0"/>
        </w:numPr>
        <w:ind w:left="720" w:hanging="360"/>
      </w:pPr>
    </w:p>
    <w:p w14:paraId="053A1EFA" w14:textId="7D9313DD" w:rsidR="00072F67" w:rsidRPr="00746487" w:rsidRDefault="00072F67" w:rsidP="00072F67">
      <w:pPr>
        <w:pStyle w:val="ZPLiteratura"/>
        <w:numPr>
          <w:ilvl w:val="0"/>
          <w:numId w:val="0"/>
        </w:numPr>
        <w:sectPr w:rsidR="00072F67" w:rsidRPr="00746487" w:rsidSect="009D3C27">
          <w:headerReference w:type="even" r:id="rId59"/>
          <w:headerReference w:type="default" r:id="rId60"/>
          <w:type w:val="oddPage"/>
          <w:pgSz w:w="11906" w:h="16838" w:code="9"/>
          <w:pgMar w:top="2380" w:right="2020" w:bottom="2380" w:left="2020" w:header="1900" w:footer="1280" w:gutter="500"/>
          <w:cols w:space="708"/>
          <w:docGrid w:linePitch="360"/>
        </w:sectPr>
      </w:pPr>
    </w:p>
    <w:p w14:paraId="21C32222" w14:textId="1D1B81CD" w:rsidR="009F057F" w:rsidRDefault="002B4AD6" w:rsidP="00940DA7">
      <w:pPr>
        <w:pStyle w:val="Ploha1"/>
      </w:pPr>
      <w:bookmarkStart w:id="81" w:name="_Toc73693983"/>
      <w:bookmarkStart w:id="82" w:name="_Toc73694019"/>
      <w:bookmarkStart w:id="83" w:name="_Toc89961851"/>
      <w:bookmarkStart w:id="84" w:name="_Toc118968640"/>
      <w:bookmarkStart w:id="85" w:name="_Toc132567271"/>
      <w:r>
        <w:lastRenderedPageBreak/>
        <w:t>V</w:t>
      </w:r>
      <w:bookmarkEnd w:id="81"/>
      <w:bookmarkEnd w:id="82"/>
      <w:bookmarkEnd w:id="83"/>
      <w:bookmarkEnd w:id="84"/>
      <w:r>
        <w:t>ertikální analýza VZZ</w:t>
      </w:r>
      <w:bookmarkEnd w:id="85"/>
    </w:p>
    <w:p w14:paraId="56012680" w14:textId="77777777" w:rsidR="00BD14B8" w:rsidRDefault="00BD14B8" w:rsidP="00BD14B8">
      <w:pPr>
        <w:pStyle w:val="Odstavec1"/>
        <w:rPr>
          <w:lang w:val="en-GB"/>
        </w:rPr>
      </w:pPr>
    </w:p>
    <w:p w14:paraId="6930CDCB" w14:textId="77777777" w:rsidR="00556FD7" w:rsidRDefault="00E563D6" w:rsidP="00362604">
      <w:pPr>
        <w:pStyle w:val="Dalodstavce"/>
        <w:rPr>
          <w:lang w:val="en-029"/>
        </w:rPr>
      </w:pPr>
      <w:r w:rsidRPr="0019484B">
        <w:rPr>
          <w:rFonts w:asciiTheme="minorHAnsi" w:hAnsiTheme="minorHAnsi"/>
          <w:noProof/>
        </w:rPr>
        <w:drawing>
          <wp:inline distT="0" distB="0" distL="0" distR="0" wp14:anchorId="6DEC7DB4" wp14:editId="0E7DDE0F">
            <wp:extent cx="4677410" cy="4803472"/>
            <wp:effectExtent l="0" t="0" r="8890" b="0"/>
            <wp:docPr id="3" name="Obrázek 3" descr="Obsah obrázku stůl&#10;&#10;Popis byl vytvořen automaticky"/>
            <wp:cNvGraphicFramePr/>
            <a:graphic xmlns:a="http://schemas.openxmlformats.org/drawingml/2006/main">
              <a:graphicData uri="http://schemas.openxmlformats.org/drawingml/2006/picture">
                <pic:pic xmlns:pic="http://schemas.openxmlformats.org/drawingml/2006/picture">
                  <pic:nvPicPr>
                    <pic:cNvPr id="3" name="image6.png" descr="Obsah obrázku stůl&#10;&#10;Popis byl vytvořen automaticky"/>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4677410" cy="4803472"/>
                    </a:xfrm>
                    <a:prstGeom prst="rect">
                      <a:avLst/>
                    </a:prstGeom>
                    <a:ln/>
                  </pic:spPr>
                </pic:pic>
              </a:graphicData>
            </a:graphic>
          </wp:inline>
        </w:drawing>
      </w:r>
    </w:p>
    <w:p w14:paraId="45456D08" w14:textId="77777777" w:rsidR="00922536" w:rsidRPr="0019484B" w:rsidRDefault="00922536" w:rsidP="00922536">
      <w:pPr>
        <w:pStyle w:val="pramen"/>
      </w:pPr>
      <w:r w:rsidRPr="0019484B">
        <w:t xml:space="preserve">Zdroj: Vlastní zpracování dle Veřejného rejstříku </w:t>
      </w:r>
    </w:p>
    <w:p w14:paraId="052EE687" w14:textId="7CAB83AC" w:rsidR="00922536" w:rsidRDefault="00922536">
      <w:pPr>
        <w:rPr>
          <w:lang w:val="cs"/>
        </w:rPr>
      </w:pPr>
      <w:r>
        <w:rPr>
          <w:lang w:val="cs"/>
        </w:rPr>
        <w:br w:type="page"/>
      </w:r>
    </w:p>
    <w:p w14:paraId="3A2EEF70" w14:textId="61E0E2F7" w:rsidR="00922536" w:rsidRPr="00922536" w:rsidRDefault="00922536" w:rsidP="008E5C2F">
      <w:pPr>
        <w:pStyle w:val="Nadpis1"/>
        <w:numPr>
          <w:ilvl w:val="0"/>
          <w:numId w:val="0"/>
        </w:numPr>
        <w:rPr>
          <w:rStyle w:val="Zstupntext"/>
          <w:color w:val="0000DC"/>
        </w:rPr>
      </w:pPr>
      <w:bookmarkStart w:id="86" w:name="_Toc132567272"/>
      <w:r w:rsidRPr="00922536">
        <w:rPr>
          <w:rStyle w:val="Zstupntext"/>
          <w:color w:val="0000DC"/>
        </w:rPr>
        <w:lastRenderedPageBreak/>
        <w:t>Příloha B</w:t>
      </w:r>
      <w:r w:rsidR="008E5C2F">
        <w:rPr>
          <w:rStyle w:val="Zstupntext"/>
          <w:color w:val="0000DC"/>
        </w:rPr>
        <w:t xml:space="preserve"> </w:t>
      </w:r>
      <w:r>
        <w:rPr>
          <w:rStyle w:val="Zstupntext"/>
          <w:color w:val="0000DC"/>
        </w:rPr>
        <w:t xml:space="preserve"> </w:t>
      </w:r>
      <w:r w:rsidR="002B4AD6">
        <w:rPr>
          <w:rStyle w:val="Zstupntext"/>
          <w:color w:val="0000DC"/>
        </w:rPr>
        <w:t>Horizontální analýza VZZ</w:t>
      </w:r>
      <w:bookmarkEnd w:id="86"/>
    </w:p>
    <w:p w14:paraId="3F4E2F84" w14:textId="77777777" w:rsidR="00922536" w:rsidRDefault="00EF22F3" w:rsidP="00922536">
      <w:pPr>
        <w:rPr>
          <w:lang w:val="cs"/>
        </w:rPr>
      </w:pPr>
      <w:r w:rsidRPr="0019484B">
        <w:rPr>
          <w:rFonts w:asciiTheme="minorHAnsi" w:hAnsiTheme="minorHAnsi"/>
          <w:noProof/>
        </w:rPr>
        <w:drawing>
          <wp:inline distT="114300" distB="114300" distL="114300" distR="114300" wp14:anchorId="7F835C8E" wp14:editId="246491DE">
            <wp:extent cx="4677410" cy="4789005"/>
            <wp:effectExtent l="0" t="0" r="8890" b="0"/>
            <wp:docPr id="8" name="Obrázek 8" descr="Obsah obrázku stůl&#10;&#10;Popis byl vytvořen automaticky"/>
            <wp:cNvGraphicFramePr/>
            <a:graphic xmlns:a="http://schemas.openxmlformats.org/drawingml/2006/main">
              <a:graphicData uri="http://schemas.openxmlformats.org/drawingml/2006/picture">
                <pic:pic xmlns:pic="http://schemas.openxmlformats.org/drawingml/2006/picture">
                  <pic:nvPicPr>
                    <pic:cNvPr id="8" name="image2.png" descr="Obsah obrázku stůl&#10;&#10;Popis byl vytvořen automaticky"/>
                    <pic:cNvPicPr preferRelativeResize="0"/>
                  </pic:nvPicPr>
                  <pic:blipFill>
                    <a:blip r:embed="rId62"/>
                    <a:srcRect/>
                    <a:stretch>
                      <a:fillRect/>
                    </a:stretch>
                  </pic:blipFill>
                  <pic:spPr>
                    <a:xfrm>
                      <a:off x="0" y="0"/>
                      <a:ext cx="4677410" cy="4789005"/>
                    </a:xfrm>
                    <a:prstGeom prst="rect">
                      <a:avLst/>
                    </a:prstGeom>
                    <a:ln/>
                  </pic:spPr>
                </pic:pic>
              </a:graphicData>
            </a:graphic>
          </wp:inline>
        </w:drawing>
      </w:r>
    </w:p>
    <w:p w14:paraId="252B6A91" w14:textId="7B5F8F32" w:rsidR="007C0619" w:rsidRDefault="008E5C2F" w:rsidP="008E5C2F">
      <w:pPr>
        <w:pStyle w:val="pramen"/>
        <w:rPr>
          <w:b/>
          <w:bCs/>
        </w:rPr>
      </w:pPr>
      <w:r w:rsidRPr="0019484B">
        <w:t xml:space="preserve">Zdroj: Vlastní zpracování dle Veřejného rejstříku </w:t>
      </w:r>
    </w:p>
    <w:sectPr w:rsidR="007C0619" w:rsidSect="009D3C27">
      <w:headerReference w:type="even" r:id="rId63"/>
      <w:headerReference w:type="default" r:id="rId64"/>
      <w:pgSz w:w="11906" w:h="16838" w:code="9"/>
      <w:pgMar w:top="2380" w:right="2020" w:bottom="2380" w:left="2020" w:header="1900" w:footer="1280" w:gutter="5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804B9" w14:textId="77777777" w:rsidR="002A5D3A" w:rsidRDefault="002A5D3A">
      <w:r>
        <w:separator/>
      </w:r>
    </w:p>
    <w:p w14:paraId="4EFA05D9" w14:textId="77777777" w:rsidR="002A5D3A" w:rsidRDefault="002A5D3A"/>
    <w:p w14:paraId="68BF2B19" w14:textId="77777777" w:rsidR="002A5D3A" w:rsidRDefault="002A5D3A"/>
    <w:p w14:paraId="08E5530C" w14:textId="77777777" w:rsidR="002A5D3A" w:rsidRDefault="002A5D3A"/>
    <w:p w14:paraId="60AFBB97" w14:textId="77777777" w:rsidR="002A5D3A" w:rsidRDefault="002A5D3A"/>
    <w:p w14:paraId="50BC6D97" w14:textId="77777777" w:rsidR="002A5D3A" w:rsidRDefault="002A5D3A"/>
  </w:endnote>
  <w:endnote w:type="continuationSeparator" w:id="0">
    <w:p w14:paraId="0FE775F3" w14:textId="77777777" w:rsidR="002A5D3A" w:rsidRDefault="002A5D3A">
      <w:r>
        <w:continuationSeparator/>
      </w:r>
    </w:p>
    <w:p w14:paraId="3DA4A69F" w14:textId="77777777" w:rsidR="002A5D3A" w:rsidRDefault="002A5D3A"/>
    <w:p w14:paraId="7098F634" w14:textId="77777777" w:rsidR="002A5D3A" w:rsidRDefault="002A5D3A"/>
    <w:p w14:paraId="372A1DEE" w14:textId="77777777" w:rsidR="002A5D3A" w:rsidRDefault="002A5D3A"/>
    <w:p w14:paraId="65CB02CF" w14:textId="77777777" w:rsidR="002A5D3A" w:rsidRDefault="002A5D3A"/>
    <w:p w14:paraId="3837A6C0" w14:textId="77777777" w:rsidR="002A5D3A" w:rsidRDefault="002A5D3A"/>
  </w:endnote>
  <w:endnote w:type="continuationNotice" w:id="1">
    <w:p w14:paraId="3A43C9B8" w14:textId="77777777" w:rsidR="002A5D3A" w:rsidRDefault="002A5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9B0D" w14:textId="77777777" w:rsidR="00E41640" w:rsidRDefault="00E41640" w:rsidP="0095124B">
    <w:pPr>
      <w:pStyle w:val="ZPZaptsud"/>
    </w:pPr>
    <w:r>
      <w:fldChar w:fldCharType="begin"/>
    </w:r>
    <w:r>
      <w:instrText xml:space="preserve"> PAGE  \* Arabic  \* MERGEFORMAT </w:instrText>
    </w:r>
    <w:r>
      <w:fldChar w:fldCharType="separate"/>
    </w:r>
    <w:r w:rsidR="002155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A7F6" w14:textId="77777777" w:rsidR="002155EC" w:rsidRDefault="002155EC" w:rsidP="0095124B">
    <w:pPr>
      <w:pStyle w:val="ZPZaptsud"/>
    </w:pPr>
    <w:r>
      <w:fldChar w:fldCharType="begin"/>
    </w:r>
    <w:r>
      <w:instrText xml:space="preserve"> PAGE  \* Arabic  \* MERGEFORMAT </w:instrText>
    </w:r>
    <w:r>
      <w:fldChar w:fldCharType="separate"/>
    </w:r>
    <w:r w:rsidR="00A05FCE">
      <w:rPr>
        <w:noProof/>
      </w:rPr>
      <w:t>14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03E5" w14:textId="77777777" w:rsidR="002155EC" w:rsidRDefault="002155EC" w:rsidP="0095124B">
    <w:pPr>
      <w:pStyle w:val="ZPZapatlich"/>
    </w:pPr>
    <w:r>
      <w:fldChar w:fldCharType="begin"/>
    </w:r>
    <w:r>
      <w:instrText>PAGE   \* MERGEFORMAT</w:instrText>
    </w:r>
    <w:r>
      <w:fldChar w:fldCharType="separate"/>
    </w:r>
    <w:r w:rsidR="00A05FCE">
      <w:rPr>
        <w:noProof/>
      </w:rPr>
      <w:t>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F913" w14:textId="77777777" w:rsidR="0089154B" w:rsidRDefault="00E41640" w:rsidP="0095124B">
    <w:pPr>
      <w:pStyle w:val="ZPZapatlich"/>
    </w:pPr>
    <w:r>
      <w:fldChar w:fldCharType="begin"/>
    </w:r>
    <w:r>
      <w:instrText xml:space="preserve"> PAGE  \* Arabic  \* MERGEFORMAT </w:instrText>
    </w:r>
    <w:r>
      <w:fldChar w:fldCharType="separate"/>
    </w:r>
    <w:r w:rsidR="00A05FCE">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6C252" w14:textId="77777777" w:rsidR="002A5D3A" w:rsidRDefault="002A5D3A">
      <w:r>
        <w:separator/>
      </w:r>
    </w:p>
  </w:footnote>
  <w:footnote w:type="continuationSeparator" w:id="0">
    <w:p w14:paraId="51F4D3CA" w14:textId="77777777" w:rsidR="002A5D3A" w:rsidRDefault="002A5D3A">
      <w:r>
        <w:continuationSeparator/>
      </w:r>
    </w:p>
  </w:footnote>
  <w:footnote w:type="continuationNotice" w:id="1">
    <w:p w14:paraId="6593F34D" w14:textId="77777777" w:rsidR="002A5D3A" w:rsidRDefault="002A5D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54D6" w14:textId="0E428FAA" w:rsidR="00013C69" w:rsidRDefault="00000000" w:rsidP="00013C69">
    <w:pPr>
      <w:pStyle w:val="ZPZhlavvlevo"/>
    </w:pPr>
    <w:sdt>
      <w:sdtPr>
        <w:alias w:val="Název"/>
        <w:tag w:val=""/>
        <w:id w:val="-1020700601"/>
        <w:placeholder>
          <w:docPart w:val="FE1FBC5E14924EB1BB807E098CF0D233"/>
        </w:placeholder>
        <w:dataBinding w:prefixMappings="xmlns:ns0='http://purl.org/dc/elements/1.1/' xmlns:ns1='http://schemas.openxmlformats.org/package/2006/metadata/core-properties' " w:xpath="/ns1:coreProperties[1]/ns0:title[1]" w:storeItemID="{6C3C8BC8-F283-45AE-878A-BAB7291924A1}"/>
        <w:text/>
      </w:sdtPr>
      <w:sdtContent>
        <w:r w:rsidR="00A4769B">
          <w:t>Finanční analýza podniku S&amp;K Label</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D5D2" w14:textId="539B709A" w:rsidR="00362604" w:rsidRPr="009951BF" w:rsidRDefault="00362604" w:rsidP="00C612F9">
    <w:pPr>
      <w:pStyle w:val="ZPZhlavvpravo"/>
    </w:pPr>
    <w:r>
      <w:rPr>
        <w:noProof/>
      </w:rPr>
      <w:fldChar w:fldCharType="begin"/>
    </w:r>
    <w:r>
      <w:rPr>
        <w:noProof/>
      </w:rPr>
      <w:instrText xml:space="preserve"> STYLEREF  "Nadpis 1*"  \* MERGEFORMAT </w:instrText>
    </w:r>
    <w:r>
      <w:rPr>
        <w:noProof/>
      </w:rPr>
      <w:fldChar w:fldCharType="separate"/>
    </w:r>
    <w:r w:rsidR="00853640" w:rsidRPr="00853640">
      <w:rPr>
        <w:b/>
        <w:bCs/>
        <w:noProof/>
      </w:rPr>
      <w:t>Použité</w:t>
    </w:r>
    <w:r w:rsidR="00853640">
      <w:rPr>
        <w:noProof/>
      </w:rPr>
      <w:t xml:space="preserve"> zdroje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6CAA" w14:textId="1F0BD7D9" w:rsidR="00CE1A04" w:rsidRPr="00533A95" w:rsidRDefault="00000000" w:rsidP="00685DD9">
    <w:pPr>
      <w:pStyle w:val="ZPZhlavvpravo"/>
    </w:pPr>
    <w:sdt>
      <w:sdtPr>
        <w:alias w:val="Název"/>
        <w:tag w:val=""/>
        <w:id w:val="1468394446"/>
        <w:placeholder>
          <w:docPart w:val="3A57A790A42943A6ADCCB5AADE3DDA11"/>
        </w:placeholder>
        <w:dataBinding w:prefixMappings="xmlns:ns0='http://purl.org/dc/elements/1.1/' xmlns:ns1='http://schemas.openxmlformats.org/package/2006/metadata/core-properties' " w:xpath="/ns1:coreProperties[1]/ns0:title[1]" w:storeItemID="{6C3C8BC8-F283-45AE-878A-BAB7291924A1}"/>
        <w:text/>
      </w:sdtPr>
      <w:sdtContent>
        <w:r w:rsidR="00A4769B">
          <w:t>Finanční analýza podniku S&amp;K Label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79D8" w14:textId="77777777" w:rsidR="00A639A6" w:rsidRPr="009951BF" w:rsidRDefault="00A639A6" w:rsidP="00C612F9">
    <w:pPr>
      <w:pStyle w:val="ZPZhlavvlevo"/>
    </w:pPr>
    <w:r>
      <w:t>Obsah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FE35" w14:textId="77777777" w:rsidR="00A639A6" w:rsidRPr="009951BF" w:rsidRDefault="00A639A6" w:rsidP="00C612F9">
    <w:pPr>
      <w:pStyle w:val="ZPZhlavvpravo"/>
    </w:pPr>
    <w:r>
      <w:t>Obsah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9E6A" w14:textId="593D08AA" w:rsidR="00D063DA" w:rsidRPr="00B90C89" w:rsidRDefault="00181CDB" w:rsidP="00D063DA">
    <w:pPr>
      <w:pStyle w:val="ZPZhlavvlevo"/>
      <w:tabs>
        <w:tab w:val="left" w:pos="4740"/>
      </w:tabs>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853640">
      <w:rPr>
        <w:noProof/>
      </w:rPr>
      <w:t>Doporučení</w:t>
    </w:r>
    <w:r w:rsidRPr="00B90C8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9290" w14:textId="3FD93265" w:rsidR="00387B07" w:rsidRPr="00B90C89" w:rsidRDefault="00181CDB" w:rsidP="00C612F9">
    <w:pPr>
      <w:pStyle w:val="ZPZhlavvpravo"/>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853640">
      <w:rPr>
        <w:noProof/>
      </w:rPr>
      <w:t>Závěr</w:t>
    </w:r>
    <w:r w:rsidRPr="00B90C89">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1520" w14:textId="29DAC479" w:rsidR="00B04FEC" w:rsidRPr="009951BF" w:rsidRDefault="00B04FEC" w:rsidP="00D063DA">
    <w:pPr>
      <w:pStyle w:val="ZPZhlavvlevo"/>
      <w:tabs>
        <w:tab w:val="left" w:pos="4740"/>
      </w:tabs>
    </w:pPr>
    <w:r>
      <w:rPr>
        <w:noProof/>
      </w:rPr>
      <w:fldChar w:fldCharType="begin"/>
    </w:r>
    <w:r>
      <w:rPr>
        <w:noProof/>
      </w:rPr>
      <w:instrText xml:space="preserve"> STYLEREF  "Nadpis 1*"  \* MERGEFORMAT </w:instrText>
    </w:r>
    <w:r>
      <w:rPr>
        <w:noProof/>
      </w:rPr>
      <w:fldChar w:fldCharType="separate"/>
    </w:r>
    <w:r w:rsidR="00853640">
      <w:rPr>
        <w:noProof/>
      </w:rPr>
      <w:t>Použité zdroje</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49C7" w14:textId="2B34F452" w:rsidR="00747FF7" w:rsidRPr="009951BF" w:rsidRDefault="00747FF7" w:rsidP="00C612F9">
    <w:pPr>
      <w:pStyle w:val="ZPZhlavvpravo"/>
    </w:pPr>
    <w:r>
      <w:rPr>
        <w:noProof/>
      </w:rPr>
      <w:fldChar w:fldCharType="begin"/>
    </w:r>
    <w:r>
      <w:rPr>
        <w:noProof/>
      </w:rPr>
      <w:instrText xml:space="preserve"> STYLEREF  "Nadpis 1*"  \* MERGEFORMAT </w:instrText>
    </w:r>
    <w:r>
      <w:rPr>
        <w:noProof/>
      </w:rPr>
      <w:fldChar w:fldCharType="separate"/>
    </w:r>
    <w:r w:rsidR="00853640">
      <w:rPr>
        <w:noProof/>
      </w:rPr>
      <w:t>Použité zdroje</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9CED" w14:textId="5309AB12" w:rsidR="00FE1A2F" w:rsidRPr="00083FB7" w:rsidRDefault="00FE1A2F" w:rsidP="00380E1B">
    <w:pPr>
      <w:pStyle w:val="ZPZhlavvlevo"/>
      <w:rPr>
        <w:noProof/>
      </w:rPr>
    </w:pPr>
    <w:r>
      <w:rPr>
        <w:noProof/>
      </w:rPr>
      <w:fldChar w:fldCharType="begin"/>
    </w:r>
    <w:r>
      <w:rPr>
        <w:noProof/>
      </w:rPr>
      <w:instrText xml:space="preserve"> STYLEREF  "Nadpis 1*"  \* MERGEFORMAT </w:instrText>
    </w:r>
    <w:r>
      <w:rPr>
        <w:noProof/>
      </w:rPr>
      <w:fldChar w:fldCharType="separate"/>
    </w:r>
    <w:r w:rsidR="00853640">
      <w:rPr>
        <w:noProof/>
      </w:rPr>
      <w:t>Použité zdroje</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5"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6" w15:restartNumberingAfterBreak="0">
    <w:nsid w:val="06616E0E"/>
    <w:multiLevelType w:val="multilevel"/>
    <w:tmpl w:val="AEBA885E"/>
    <w:styleLink w:val="slovnkapitol"/>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0C37B8"/>
    <w:multiLevelType w:val="multilevel"/>
    <w:tmpl w:val="CE424708"/>
    <w:styleLink w:val="Ptirovovsmenseznam"/>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8" w15:restartNumberingAfterBreak="0">
    <w:nsid w:val="0A640222"/>
    <w:multiLevelType w:val="hybridMultilevel"/>
    <w:tmpl w:val="898AFA36"/>
    <w:lvl w:ilvl="0" w:tplc="7416D7D6">
      <w:start w:val="1"/>
      <w:numFmt w:val="bullet"/>
      <w:lvlText w:val=""/>
      <w:lvlJc w:val="left"/>
      <w:pPr>
        <w:ind w:left="720" w:hanging="360"/>
      </w:pPr>
      <w:rPr>
        <w:rFonts w:ascii="Symbol" w:hAnsi="Symbol" w:hint="default"/>
      </w:rPr>
    </w:lvl>
    <w:lvl w:ilvl="1" w:tplc="D3AAB00C">
      <w:start w:val="1"/>
      <w:numFmt w:val="bullet"/>
      <w:lvlText w:val="o"/>
      <w:lvlJc w:val="left"/>
      <w:pPr>
        <w:ind w:left="1440" w:hanging="360"/>
      </w:pPr>
      <w:rPr>
        <w:rFonts w:ascii="Courier New" w:hAnsi="Courier New" w:hint="default"/>
      </w:rPr>
    </w:lvl>
    <w:lvl w:ilvl="2" w:tplc="6FCA0E3C">
      <w:start w:val="1"/>
      <w:numFmt w:val="bullet"/>
      <w:lvlText w:val=""/>
      <w:lvlJc w:val="left"/>
      <w:pPr>
        <w:ind w:left="2160" w:hanging="360"/>
      </w:pPr>
      <w:rPr>
        <w:rFonts w:ascii="Wingdings" w:hAnsi="Wingdings" w:hint="default"/>
      </w:rPr>
    </w:lvl>
    <w:lvl w:ilvl="3" w:tplc="6794FAD8">
      <w:start w:val="1"/>
      <w:numFmt w:val="bullet"/>
      <w:lvlText w:val=""/>
      <w:lvlJc w:val="left"/>
      <w:pPr>
        <w:ind w:left="2880" w:hanging="360"/>
      </w:pPr>
      <w:rPr>
        <w:rFonts w:ascii="Symbol" w:hAnsi="Symbol" w:hint="default"/>
      </w:rPr>
    </w:lvl>
    <w:lvl w:ilvl="4" w:tplc="FB929D14">
      <w:start w:val="1"/>
      <w:numFmt w:val="bullet"/>
      <w:lvlText w:val="o"/>
      <w:lvlJc w:val="left"/>
      <w:pPr>
        <w:ind w:left="3600" w:hanging="360"/>
      </w:pPr>
      <w:rPr>
        <w:rFonts w:ascii="Courier New" w:hAnsi="Courier New" w:hint="default"/>
      </w:rPr>
    </w:lvl>
    <w:lvl w:ilvl="5" w:tplc="B91CE826">
      <w:start w:val="1"/>
      <w:numFmt w:val="bullet"/>
      <w:lvlText w:val=""/>
      <w:lvlJc w:val="left"/>
      <w:pPr>
        <w:ind w:left="4320" w:hanging="360"/>
      </w:pPr>
      <w:rPr>
        <w:rFonts w:ascii="Wingdings" w:hAnsi="Wingdings" w:hint="default"/>
      </w:rPr>
    </w:lvl>
    <w:lvl w:ilvl="6" w:tplc="94DC6738">
      <w:start w:val="1"/>
      <w:numFmt w:val="bullet"/>
      <w:lvlText w:val=""/>
      <w:lvlJc w:val="left"/>
      <w:pPr>
        <w:ind w:left="5040" w:hanging="360"/>
      </w:pPr>
      <w:rPr>
        <w:rFonts w:ascii="Symbol" w:hAnsi="Symbol" w:hint="default"/>
      </w:rPr>
    </w:lvl>
    <w:lvl w:ilvl="7" w:tplc="4BA8F8A2">
      <w:start w:val="1"/>
      <w:numFmt w:val="bullet"/>
      <w:lvlText w:val="o"/>
      <w:lvlJc w:val="left"/>
      <w:pPr>
        <w:ind w:left="5760" w:hanging="360"/>
      </w:pPr>
      <w:rPr>
        <w:rFonts w:ascii="Courier New" w:hAnsi="Courier New" w:hint="default"/>
      </w:rPr>
    </w:lvl>
    <w:lvl w:ilvl="8" w:tplc="09B8225A">
      <w:start w:val="1"/>
      <w:numFmt w:val="bullet"/>
      <w:lvlText w:val=""/>
      <w:lvlJc w:val="left"/>
      <w:pPr>
        <w:ind w:left="6480" w:hanging="360"/>
      </w:pPr>
      <w:rPr>
        <w:rFonts w:ascii="Wingdings" w:hAnsi="Wingdings" w:hint="default"/>
      </w:rPr>
    </w:lvl>
  </w:abstractNum>
  <w:abstractNum w:abstractNumId="9"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D9851E5"/>
    <w:multiLevelType w:val="hybridMultilevel"/>
    <w:tmpl w:val="E7C88A3A"/>
    <w:lvl w:ilvl="0" w:tplc="4F140DB4">
      <w:start w:val="1"/>
      <w:numFmt w:val="decimal"/>
      <w:lvlText w:val="%1."/>
      <w:lvlJc w:val="left"/>
      <w:pPr>
        <w:ind w:left="720" w:hanging="360"/>
      </w:pPr>
    </w:lvl>
    <w:lvl w:ilvl="1" w:tplc="13FACBC4">
      <w:start w:val="1"/>
      <w:numFmt w:val="lowerLetter"/>
      <w:lvlText w:val="%2."/>
      <w:lvlJc w:val="left"/>
      <w:pPr>
        <w:ind w:left="1440" w:hanging="360"/>
      </w:pPr>
    </w:lvl>
    <w:lvl w:ilvl="2" w:tplc="B1A23B04">
      <w:start w:val="1"/>
      <w:numFmt w:val="lowerRoman"/>
      <w:lvlText w:val="%3."/>
      <w:lvlJc w:val="right"/>
      <w:pPr>
        <w:ind w:left="2160" w:hanging="180"/>
      </w:pPr>
    </w:lvl>
    <w:lvl w:ilvl="3" w:tplc="7E2E16B2">
      <w:start w:val="1"/>
      <w:numFmt w:val="decimal"/>
      <w:lvlText w:val="%4."/>
      <w:lvlJc w:val="left"/>
      <w:pPr>
        <w:ind w:left="2880" w:hanging="360"/>
      </w:pPr>
    </w:lvl>
    <w:lvl w:ilvl="4" w:tplc="EBE076E2">
      <w:start w:val="1"/>
      <w:numFmt w:val="lowerLetter"/>
      <w:lvlText w:val="%5."/>
      <w:lvlJc w:val="left"/>
      <w:pPr>
        <w:ind w:left="3600" w:hanging="360"/>
      </w:pPr>
    </w:lvl>
    <w:lvl w:ilvl="5" w:tplc="6092356C">
      <w:start w:val="1"/>
      <w:numFmt w:val="lowerRoman"/>
      <w:lvlText w:val="%6."/>
      <w:lvlJc w:val="right"/>
      <w:pPr>
        <w:ind w:left="4320" w:hanging="180"/>
      </w:pPr>
    </w:lvl>
    <w:lvl w:ilvl="6" w:tplc="D2849D26">
      <w:start w:val="1"/>
      <w:numFmt w:val="decimal"/>
      <w:lvlText w:val="%7."/>
      <w:lvlJc w:val="left"/>
      <w:pPr>
        <w:ind w:left="5040" w:hanging="360"/>
      </w:pPr>
    </w:lvl>
    <w:lvl w:ilvl="7" w:tplc="5FC43B0E">
      <w:start w:val="1"/>
      <w:numFmt w:val="lowerLetter"/>
      <w:lvlText w:val="%8."/>
      <w:lvlJc w:val="left"/>
      <w:pPr>
        <w:ind w:left="5760" w:hanging="360"/>
      </w:pPr>
    </w:lvl>
    <w:lvl w:ilvl="8" w:tplc="07A6BCE0">
      <w:start w:val="1"/>
      <w:numFmt w:val="lowerRoman"/>
      <w:lvlText w:val="%9."/>
      <w:lvlJc w:val="right"/>
      <w:pPr>
        <w:ind w:left="6480" w:hanging="180"/>
      </w:pPr>
    </w:lvl>
  </w:abstractNum>
  <w:abstractNum w:abstractNumId="11"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3825B0"/>
    <w:multiLevelType w:val="hybridMultilevel"/>
    <w:tmpl w:val="4AEA73C8"/>
    <w:lvl w:ilvl="0" w:tplc="24C4EBD2">
      <w:start w:val="1"/>
      <w:numFmt w:val="decimal"/>
      <w:lvlText w:val="%1."/>
      <w:lvlJc w:val="left"/>
      <w:pPr>
        <w:ind w:left="720" w:hanging="360"/>
      </w:pPr>
    </w:lvl>
    <w:lvl w:ilvl="1" w:tplc="7152F5A8">
      <w:start w:val="1"/>
      <w:numFmt w:val="lowerLetter"/>
      <w:lvlText w:val="%2."/>
      <w:lvlJc w:val="left"/>
      <w:pPr>
        <w:ind w:left="1440" w:hanging="360"/>
      </w:pPr>
    </w:lvl>
    <w:lvl w:ilvl="2" w:tplc="C7E0873A">
      <w:start w:val="1"/>
      <w:numFmt w:val="lowerRoman"/>
      <w:lvlText w:val="%3."/>
      <w:lvlJc w:val="right"/>
      <w:pPr>
        <w:ind w:left="2160" w:hanging="180"/>
      </w:pPr>
    </w:lvl>
    <w:lvl w:ilvl="3" w:tplc="1E9CBD26">
      <w:start w:val="1"/>
      <w:numFmt w:val="decimal"/>
      <w:lvlText w:val="%4."/>
      <w:lvlJc w:val="left"/>
      <w:pPr>
        <w:ind w:left="2880" w:hanging="360"/>
      </w:pPr>
    </w:lvl>
    <w:lvl w:ilvl="4" w:tplc="D0723A08">
      <w:start w:val="1"/>
      <w:numFmt w:val="lowerLetter"/>
      <w:lvlText w:val="%5."/>
      <w:lvlJc w:val="left"/>
      <w:pPr>
        <w:ind w:left="3600" w:hanging="360"/>
      </w:pPr>
    </w:lvl>
    <w:lvl w:ilvl="5" w:tplc="BB94A4DE">
      <w:start w:val="1"/>
      <w:numFmt w:val="lowerRoman"/>
      <w:lvlText w:val="%6."/>
      <w:lvlJc w:val="right"/>
      <w:pPr>
        <w:ind w:left="4320" w:hanging="180"/>
      </w:pPr>
    </w:lvl>
    <w:lvl w:ilvl="6" w:tplc="5EAE970A">
      <w:start w:val="1"/>
      <w:numFmt w:val="decimal"/>
      <w:lvlText w:val="%7."/>
      <w:lvlJc w:val="left"/>
      <w:pPr>
        <w:ind w:left="5040" w:hanging="360"/>
      </w:pPr>
    </w:lvl>
    <w:lvl w:ilvl="7" w:tplc="FEE43C6A">
      <w:start w:val="1"/>
      <w:numFmt w:val="lowerLetter"/>
      <w:lvlText w:val="%8."/>
      <w:lvlJc w:val="left"/>
      <w:pPr>
        <w:ind w:left="5760" w:hanging="360"/>
      </w:pPr>
    </w:lvl>
    <w:lvl w:ilvl="8" w:tplc="25241CD6">
      <w:start w:val="1"/>
      <w:numFmt w:val="lowerRoman"/>
      <w:lvlText w:val="%9."/>
      <w:lvlJc w:val="right"/>
      <w:pPr>
        <w:ind w:left="6480" w:hanging="180"/>
      </w:pPr>
    </w:lvl>
  </w:abstractNum>
  <w:abstractNum w:abstractNumId="13" w15:restartNumberingAfterBreak="0">
    <w:nsid w:val="3EA16F3B"/>
    <w:multiLevelType w:val="multilevel"/>
    <w:tmpl w:val="748A675E"/>
    <w:numStyleLink w:val="slovnploh"/>
  </w:abstractNum>
  <w:abstractNum w:abstractNumId="14" w15:restartNumberingAfterBreak="0">
    <w:nsid w:val="3FCE1627"/>
    <w:multiLevelType w:val="multilevel"/>
    <w:tmpl w:val="1D0E2AE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400A11CE"/>
    <w:multiLevelType w:val="multilevel"/>
    <w:tmpl w:val="748A675E"/>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A364E4"/>
    <w:multiLevelType w:val="multilevel"/>
    <w:tmpl w:val="3034A504"/>
    <w:styleLink w:val="Decimlnslovn"/>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7" w15:restartNumberingAfterBreak="0">
    <w:nsid w:val="4ACD6B9A"/>
    <w:multiLevelType w:val="hybridMultilevel"/>
    <w:tmpl w:val="8A0ECDD6"/>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8"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BFC904"/>
    <w:multiLevelType w:val="hybridMultilevel"/>
    <w:tmpl w:val="5074E532"/>
    <w:lvl w:ilvl="0" w:tplc="2CA628C6">
      <w:start w:val="1"/>
      <w:numFmt w:val="bullet"/>
      <w:lvlText w:val=""/>
      <w:lvlJc w:val="left"/>
      <w:pPr>
        <w:ind w:left="720" w:hanging="360"/>
      </w:pPr>
      <w:rPr>
        <w:rFonts w:ascii="Symbol" w:hAnsi="Symbol" w:hint="default"/>
      </w:rPr>
    </w:lvl>
    <w:lvl w:ilvl="1" w:tplc="A8A2B91C">
      <w:start w:val="1"/>
      <w:numFmt w:val="bullet"/>
      <w:lvlText w:val="o"/>
      <w:lvlJc w:val="left"/>
      <w:pPr>
        <w:ind w:left="1440" w:hanging="360"/>
      </w:pPr>
      <w:rPr>
        <w:rFonts w:ascii="Courier New" w:hAnsi="Courier New" w:hint="default"/>
      </w:rPr>
    </w:lvl>
    <w:lvl w:ilvl="2" w:tplc="1CEE45D2">
      <w:start w:val="1"/>
      <w:numFmt w:val="bullet"/>
      <w:lvlText w:val=""/>
      <w:lvlJc w:val="left"/>
      <w:pPr>
        <w:ind w:left="2160" w:hanging="360"/>
      </w:pPr>
      <w:rPr>
        <w:rFonts w:ascii="Wingdings" w:hAnsi="Wingdings" w:hint="default"/>
      </w:rPr>
    </w:lvl>
    <w:lvl w:ilvl="3" w:tplc="07385968">
      <w:start w:val="1"/>
      <w:numFmt w:val="bullet"/>
      <w:lvlText w:val=""/>
      <w:lvlJc w:val="left"/>
      <w:pPr>
        <w:ind w:left="2880" w:hanging="360"/>
      </w:pPr>
      <w:rPr>
        <w:rFonts w:ascii="Symbol" w:hAnsi="Symbol" w:hint="default"/>
      </w:rPr>
    </w:lvl>
    <w:lvl w:ilvl="4" w:tplc="5BCC1F88">
      <w:start w:val="1"/>
      <w:numFmt w:val="bullet"/>
      <w:lvlText w:val="o"/>
      <w:lvlJc w:val="left"/>
      <w:pPr>
        <w:ind w:left="3600" w:hanging="360"/>
      </w:pPr>
      <w:rPr>
        <w:rFonts w:ascii="Courier New" w:hAnsi="Courier New" w:hint="default"/>
      </w:rPr>
    </w:lvl>
    <w:lvl w:ilvl="5" w:tplc="E47E79C2">
      <w:start w:val="1"/>
      <w:numFmt w:val="bullet"/>
      <w:lvlText w:val=""/>
      <w:lvlJc w:val="left"/>
      <w:pPr>
        <w:ind w:left="4320" w:hanging="360"/>
      </w:pPr>
      <w:rPr>
        <w:rFonts w:ascii="Wingdings" w:hAnsi="Wingdings" w:hint="default"/>
      </w:rPr>
    </w:lvl>
    <w:lvl w:ilvl="6" w:tplc="9B7A3CA6">
      <w:start w:val="1"/>
      <w:numFmt w:val="bullet"/>
      <w:lvlText w:val=""/>
      <w:lvlJc w:val="left"/>
      <w:pPr>
        <w:ind w:left="5040" w:hanging="360"/>
      </w:pPr>
      <w:rPr>
        <w:rFonts w:ascii="Symbol" w:hAnsi="Symbol" w:hint="default"/>
      </w:rPr>
    </w:lvl>
    <w:lvl w:ilvl="7" w:tplc="1234AB00">
      <w:start w:val="1"/>
      <w:numFmt w:val="bullet"/>
      <w:lvlText w:val="o"/>
      <w:lvlJc w:val="left"/>
      <w:pPr>
        <w:ind w:left="5760" w:hanging="360"/>
      </w:pPr>
      <w:rPr>
        <w:rFonts w:ascii="Courier New" w:hAnsi="Courier New" w:hint="default"/>
      </w:rPr>
    </w:lvl>
    <w:lvl w:ilvl="8" w:tplc="B5400EA0">
      <w:start w:val="1"/>
      <w:numFmt w:val="bullet"/>
      <w:lvlText w:val=""/>
      <w:lvlJc w:val="left"/>
      <w:pPr>
        <w:ind w:left="6480" w:hanging="360"/>
      </w:pPr>
      <w:rPr>
        <w:rFonts w:ascii="Wingdings" w:hAnsi="Wingdings" w:hint="default"/>
      </w:rPr>
    </w:lvl>
  </w:abstractNum>
  <w:abstractNum w:abstractNumId="20"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BA2222F"/>
    <w:multiLevelType w:val="multilevel"/>
    <w:tmpl w:val="7AAC9208"/>
    <w:lvl w:ilvl="0">
      <w:start w:val="2"/>
      <w:numFmt w:val="decimal"/>
      <w:pStyle w:val="Nadpis1"/>
      <w:lvlText w:val="%1"/>
      <w:lvlJc w:val="left"/>
      <w:pPr>
        <w:ind w:left="360" w:hanging="360"/>
      </w:pPr>
      <w:rPr>
        <w:rFonts w:hint="default"/>
      </w:rPr>
    </w:lvl>
    <w:lvl w:ilvl="1">
      <w:start w:val="1"/>
      <w:numFmt w:val="decimal"/>
      <w:pStyle w:val="Nadpis2"/>
      <w:lvlText w:val="%1.%2"/>
      <w:lvlJc w:val="left"/>
      <w:pPr>
        <w:ind w:left="7950" w:hanging="720"/>
      </w:p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E4A77A8"/>
    <w:multiLevelType w:val="hybridMultilevel"/>
    <w:tmpl w:val="64B00AEA"/>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23" w15:restartNumberingAfterBreak="0">
    <w:nsid w:val="64AD1D4C"/>
    <w:multiLevelType w:val="multilevel"/>
    <w:tmpl w:val="188893A0"/>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24" w15:restartNumberingAfterBreak="0">
    <w:nsid w:val="717E39FE"/>
    <w:multiLevelType w:val="multilevel"/>
    <w:tmpl w:val="AA561DA2"/>
    <w:lvl w:ilvl="0">
      <w:start w:val="1"/>
      <w:numFmt w:val="decimal"/>
      <w:pStyle w:val="N1"/>
      <w:lvlText w:val="%1."/>
      <w:lvlJc w:val="left"/>
      <w:pPr>
        <w:ind w:left="360" w:hanging="360"/>
      </w:pPr>
      <w:rPr>
        <w:rFonts w:hint="default"/>
      </w:rPr>
    </w:lvl>
    <w:lvl w:ilvl="1">
      <w:start w:val="1"/>
      <w:numFmt w:val="decimal"/>
      <w:pStyle w:val="N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26" w15:restartNumberingAfterBreak="0">
    <w:nsid w:val="75AB6741"/>
    <w:multiLevelType w:val="multilevel"/>
    <w:tmpl w:val="AEBA885E"/>
    <w:numStyleLink w:val="slovnkapitol"/>
  </w:abstractNum>
  <w:num w:numId="1" w16cid:durableId="899940429">
    <w:abstractNumId w:val="8"/>
  </w:num>
  <w:num w:numId="2" w16cid:durableId="1233350741">
    <w:abstractNumId w:val="19"/>
  </w:num>
  <w:num w:numId="3" w16cid:durableId="1276135779">
    <w:abstractNumId w:val="10"/>
  </w:num>
  <w:num w:numId="4" w16cid:durableId="1826238183">
    <w:abstractNumId w:val="12"/>
  </w:num>
  <w:num w:numId="5" w16cid:durableId="1790933223">
    <w:abstractNumId w:val="9"/>
  </w:num>
  <w:num w:numId="6" w16cid:durableId="1993095345">
    <w:abstractNumId w:val="25"/>
  </w:num>
  <w:num w:numId="7" w16cid:durableId="1177887053">
    <w:abstractNumId w:val="18"/>
  </w:num>
  <w:num w:numId="8" w16cid:durableId="424150871">
    <w:abstractNumId w:val="11"/>
  </w:num>
  <w:num w:numId="9" w16cid:durableId="334189114">
    <w:abstractNumId w:val="6"/>
  </w:num>
  <w:num w:numId="10" w16cid:durableId="1158227168">
    <w:abstractNumId w:val="15"/>
  </w:num>
  <w:num w:numId="11" w16cid:durableId="1154419804">
    <w:abstractNumId w:val="4"/>
  </w:num>
  <w:num w:numId="12" w16cid:durableId="1824735421">
    <w:abstractNumId w:val="3"/>
  </w:num>
  <w:num w:numId="13" w16cid:durableId="792747227">
    <w:abstractNumId w:val="2"/>
  </w:num>
  <w:num w:numId="14" w16cid:durableId="387732673">
    <w:abstractNumId w:val="1"/>
  </w:num>
  <w:num w:numId="15" w16cid:durableId="389574784">
    <w:abstractNumId w:val="0"/>
  </w:num>
  <w:num w:numId="16" w16cid:durableId="933364877">
    <w:abstractNumId w:val="5"/>
  </w:num>
  <w:num w:numId="17" w16cid:durableId="596595704">
    <w:abstractNumId w:val="23"/>
  </w:num>
  <w:num w:numId="18" w16cid:durableId="883714363">
    <w:abstractNumId w:val="26"/>
    <w:lvlOverride w:ilvl="0">
      <w:lvl w:ilvl="0">
        <w:start w:val="1"/>
        <w:numFmt w:val="decimal"/>
        <w:lvlText w:val="%1"/>
        <w:lvlJc w:val="left"/>
        <w:pPr>
          <w:ind w:left="360" w:hanging="360"/>
        </w:pPr>
        <w:rPr>
          <w:rFonts w:asciiTheme="majorHAnsi" w:hAnsiTheme="majorHAnsi" w:cstheme="majorHAnsi"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569073498">
    <w:abstractNumId w:val="20"/>
  </w:num>
  <w:num w:numId="20" w16cid:durableId="1381319478">
    <w:abstractNumId w:val="13"/>
  </w:num>
  <w:num w:numId="21" w16cid:durableId="1678967086">
    <w:abstractNumId w:val="7"/>
  </w:num>
  <w:num w:numId="22" w16cid:durableId="1708603073">
    <w:abstractNumId w:val="16"/>
  </w:num>
  <w:num w:numId="23" w16cid:durableId="1771077434">
    <w:abstractNumId w:val="21"/>
  </w:num>
  <w:num w:numId="24" w16cid:durableId="2001807740">
    <w:abstractNumId w:val="24"/>
  </w:num>
  <w:num w:numId="25" w16cid:durableId="1580166327">
    <w:abstractNumId w:val="14"/>
  </w:num>
  <w:num w:numId="26" w16cid:durableId="1703359096">
    <w:abstractNumId w:val="22"/>
  </w:num>
  <w:num w:numId="27" w16cid:durableId="360204424">
    <w:abstractNumId w:val="17"/>
  </w:num>
  <w:num w:numId="28" w16cid:durableId="1054548725">
    <w:abstractNumId w:val="21"/>
  </w:num>
  <w:num w:numId="29" w16cid:durableId="808087026">
    <w:abstractNumId w:val="21"/>
  </w:num>
  <w:num w:numId="30" w16cid:durableId="1387489167">
    <w:abstractNumId w:val="21"/>
  </w:num>
  <w:num w:numId="31" w16cid:durableId="1905792481">
    <w:abstractNumId w:val="21"/>
  </w:num>
  <w:num w:numId="32" w16cid:durableId="1764378852">
    <w:abstractNumId w:val="21"/>
  </w:num>
  <w:num w:numId="33" w16cid:durableId="1985117263">
    <w:abstractNumId w:val="21"/>
  </w:num>
  <w:num w:numId="34" w16cid:durableId="1934048615">
    <w:abstractNumId w:val="21"/>
  </w:num>
  <w:num w:numId="35" w16cid:durableId="1205681769">
    <w:abstractNumId w:val="21"/>
  </w:num>
  <w:num w:numId="36" w16cid:durableId="659506646">
    <w:abstractNumId w:val="21"/>
  </w:num>
  <w:num w:numId="37" w16cid:durableId="1933004104">
    <w:abstractNumId w:val="21"/>
  </w:num>
  <w:num w:numId="38" w16cid:durableId="1571187055">
    <w:abstractNumId w:val="21"/>
  </w:num>
  <w:num w:numId="39" w16cid:durableId="853541159">
    <w:abstractNumId w:val="21"/>
  </w:num>
  <w:num w:numId="40" w16cid:durableId="948703601">
    <w:abstractNumId w:val="21"/>
  </w:num>
  <w:num w:numId="41" w16cid:durableId="452603069">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3NDE3tjA0MzcytTBU0lEKTi0uzszPAykwNKgFAGmH+O8tAAAA"/>
  </w:docVars>
  <w:rsids>
    <w:rsidRoot w:val="00485E98"/>
    <w:rsid w:val="00000136"/>
    <w:rsid w:val="00000B2B"/>
    <w:rsid w:val="000046C4"/>
    <w:rsid w:val="00006358"/>
    <w:rsid w:val="00006912"/>
    <w:rsid w:val="00006A66"/>
    <w:rsid w:val="0001265C"/>
    <w:rsid w:val="00013B8A"/>
    <w:rsid w:val="00013C69"/>
    <w:rsid w:val="0001496C"/>
    <w:rsid w:val="00016013"/>
    <w:rsid w:val="000166CD"/>
    <w:rsid w:val="00016DE6"/>
    <w:rsid w:val="00021B69"/>
    <w:rsid w:val="00021CED"/>
    <w:rsid w:val="00027983"/>
    <w:rsid w:val="0003139D"/>
    <w:rsid w:val="0003276D"/>
    <w:rsid w:val="00032EBD"/>
    <w:rsid w:val="00033887"/>
    <w:rsid w:val="00033CD7"/>
    <w:rsid w:val="00033D24"/>
    <w:rsid w:val="00034A20"/>
    <w:rsid w:val="0004018C"/>
    <w:rsid w:val="0004183D"/>
    <w:rsid w:val="000425FC"/>
    <w:rsid w:val="00042887"/>
    <w:rsid w:val="000446A5"/>
    <w:rsid w:val="00045288"/>
    <w:rsid w:val="00045D5B"/>
    <w:rsid w:val="000541EB"/>
    <w:rsid w:val="00055310"/>
    <w:rsid w:val="0005583E"/>
    <w:rsid w:val="00055945"/>
    <w:rsid w:val="00056287"/>
    <w:rsid w:val="00057E3B"/>
    <w:rsid w:val="00060704"/>
    <w:rsid w:val="00061EC6"/>
    <w:rsid w:val="00062E26"/>
    <w:rsid w:val="00065823"/>
    <w:rsid w:val="0006632C"/>
    <w:rsid w:val="00067C23"/>
    <w:rsid w:val="00072F67"/>
    <w:rsid w:val="0007427B"/>
    <w:rsid w:val="00083FB7"/>
    <w:rsid w:val="00085F1A"/>
    <w:rsid w:val="00090AA0"/>
    <w:rsid w:val="00091FDC"/>
    <w:rsid w:val="00093050"/>
    <w:rsid w:val="0009407E"/>
    <w:rsid w:val="00094131"/>
    <w:rsid w:val="000947C3"/>
    <w:rsid w:val="00095544"/>
    <w:rsid w:val="00095EBD"/>
    <w:rsid w:val="000A0556"/>
    <w:rsid w:val="000A256A"/>
    <w:rsid w:val="000A25DE"/>
    <w:rsid w:val="000B06E2"/>
    <w:rsid w:val="000B073E"/>
    <w:rsid w:val="000B1384"/>
    <w:rsid w:val="000B205F"/>
    <w:rsid w:val="000B2830"/>
    <w:rsid w:val="000B2873"/>
    <w:rsid w:val="000B2E62"/>
    <w:rsid w:val="000B2FE1"/>
    <w:rsid w:val="000B35CE"/>
    <w:rsid w:val="000B3CD4"/>
    <w:rsid w:val="000B4222"/>
    <w:rsid w:val="000B5697"/>
    <w:rsid w:val="000B5A44"/>
    <w:rsid w:val="000B6B6A"/>
    <w:rsid w:val="000B7594"/>
    <w:rsid w:val="000C062B"/>
    <w:rsid w:val="000C1EEA"/>
    <w:rsid w:val="000C2A54"/>
    <w:rsid w:val="000C34B8"/>
    <w:rsid w:val="000C6F81"/>
    <w:rsid w:val="000D1C7B"/>
    <w:rsid w:val="000D20C7"/>
    <w:rsid w:val="000D253B"/>
    <w:rsid w:val="000D52D5"/>
    <w:rsid w:val="000D6BE1"/>
    <w:rsid w:val="000D7A70"/>
    <w:rsid w:val="000E0DD5"/>
    <w:rsid w:val="000E17C7"/>
    <w:rsid w:val="000E1807"/>
    <w:rsid w:val="000E2574"/>
    <w:rsid w:val="000E30AF"/>
    <w:rsid w:val="000E3253"/>
    <w:rsid w:val="000E51C4"/>
    <w:rsid w:val="000E680F"/>
    <w:rsid w:val="000E751F"/>
    <w:rsid w:val="000E7589"/>
    <w:rsid w:val="000F183A"/>
    <w:rsid w:val="000F1C94"/>
    <w:rsid w:val="000F482F"/>
    <w:rsid w:val="000F6CF5"/>
    <w:rsid w:val="00100381"/>
    <w:rsid w:val="001035B3"/>
    <w:rsid w:val="0010543C"/>
    <w:rsid w:val="0010598A"/>
    <w:rsid w:val="001061C1"/>
    <w:rsid w:val="00106540"/>
    <w:rsid w:val="0010714E"/>
    <w:rsid w:val="00107A6D"/>
    <w:rsid w:val="00107AE7"/>
    <w:rsid w:val="00107E23"/>
    <w:rsid w:val="00110240"/>
    <w:rsid w:val="0011094F"/>
    <w:rsid w:val="00111DFA"/>
    <w:rsid w:val="00112A93"/>
    <w:rsid w:val="00112F15"/>
    <w:rsid w:val="0011305D"/>
    <w:rsid w:val="00113E82"/>
    <w:rsid w:val="00115804"/>
    <w:rsid w:val="001165B2"/>
    <w:rsid w:val="00116E40"/>
    <w:rsid w:val="00120459"/>
    <w:rsid w:val="00121296"/>
    <w:rsid w:val="00122F2B"/>
    <w:rsid w:val="00123134"/>
    <w:rsid w:val="001231B9"/>
    <w:rsid w:val="001259DA"/>
    <w:rsid w:val="00127018"/>
    <w:rsid w:val="00130416"/>
    <w:rsid w:val="00130C24"/>
    <w:rsid w:val="00130CDD"/>
    <w:rsid w:val="00131E61"/>
    <w:rsid w:val="00133473"/>
    <w:rsid w:val="001334BD"/>
    <w:rsid w:val="00137A7E"/>
    <w:rsid w:val="00141984"/>
    <w:rsid w:val="00144B88"/>
    <w:rsid w:val="00144D48"/>
    <w:rsid w:val="00147BC7"/>
    <w:rsid w:val="00150827"/>
    <w:rsid w:val="0015319A"/>
    <w:rsid w:val="001541B2"/>
    <w:rsid w:val="00154884"/>
    <w:rsid w:val="00157BBE"/>
    <w:rsid w:val="00161E5E"/>
    <w:rsid w:val="00162CE3"/>
    <w:rsid w:val="0016330D"/>
    <w:rsid w:val="001637A0"/>
    <w:rsid w:val="001647B6"/>
    <w:rsid w:val="00165AB0"/>
    <w:rsid w:val="00166437"/>
    <w:rsid w:val="00166709"/>
    <w:rsid w:val="00166C0F"/>
    <w:rsid w:val="001670E8"/>
    <w:rsid w:val="00167632"/>
    <w:rsid w:val="00170E55"/>
    <w:rsid w:val="001754A7"/>
    <w:rsid w:val="0017653E"/>
    <w:rsid w:val="00176D79"/>
    <w:rsid w:val="00177036"/>
    <w:rsid w:val="00177293"/>
    <w:rsid w:val="001775ED"/>
    <w:rsid w:val="00181534"/>
    <w:rsid w:val="001815E4"/>
    <w:rsid w:val="00181CDB"/>
    <w:rsid w:val="00184F20"/>
    <w:rsid w:val="00186DF6"/>
    <w:rsid w:val="00191452"/>
    <w:rsid w:val="00191875"/>
    <w:rsid w:val="00191A87"/>
    <w:rsid w:val="00191BB3"/>
    <w:rsid w:val="00193D5F"/>
    <w:rsid w:val="00194596"/>
    <w:rsid w:val="001947AE"/>
    <w:rsid w:val="00196CE0"/>
    <w:rsid w:val="001A0806"/>
    <w:rsid w:val="001A0864"/>
    <w:rsid w:val="001A0CE6"/>
    <w:rsid w:val="001A19EF"/>
    <w:rsid w:val="001A2784"/>
    <w:rsid w:val="001A5AA3"/>
    <w:rsid w:val="001A7A5B"/>
    <w:rsid w:val="001B0FAF"/>
    <w:rsid w:val="001B1E6C"/>
    <w:rsid w:val="001B23AF"/>
    <w:rsid w:val="001B3536"/>
    <w:rsid w:val="001B37DB"/>
    <w:rsid w:val="001B43CD"/>
    <w:rsid w:val="001B461E"/>
    <w:rsid w:val="001B7C33"/>
    <w:rsid w:val="001C1DE8"/>
    <w:rsid w:val="001C2BE3"/>
    <w:rsid w:val="001C3922"/>
    <w:rsid w:val="001C53D2"/>
    <w:rsid w:val="001C7095"/>
    <w:rsid w:val="001D0120"/>
    <w:rsid w:val="001D182B"/>
    <w:rsid w:val="001D2C3B"/>
    <w:rsid w:val="001D463D"/>
    <w:rsid w:val="001D7E60"/>
    <w:rsid w:val="001E07A1"/>
    <w:rsid w:val="001E0CD2"/>
    <w:rsid w:val="001E1714"/>
    <w:rsid w:val="001E176F"/>
    <w:rsid w:val="001E370D"/>
    <w:rsid w:val="001E3AC8"/>
    <w:rsid w:val="001E44E4"/>
    <w:rsid w:val="001E65A8"/>
    <w:rsid w:val="001F099A"/>
    <w:rsid w:val="001F14BE"/>
    <w:rsid w:val="001F1501"/>
    <w:rsid w:val="001F3FB3"/>
    <w:rsid w:val="001F41A8"/>
    <w:rsid w:val="001F4C13"/>
    <w:rsid w:val="001F5586"/>
    <w:rsid w:val="001F6DB2"/>
    <w:rsid w:val="00200EFC"/>
    <w:rsid w:val="00201946"/>
    <w:rsid w:val="0020271C"/>
    <w:rsid w:val="00202CDF"/>
    <w:rsid w:val="00203419"/>
    <w:rsid w:val="002041D3"/>
    <w:rsid w:val="00206160"/>
    <w:rsid w:val="00206652"/>
    <w:rsid w:val="0020697F"/>
    <w:rsid w:val="002074EA"/>
    <w:rsid w:val="00210BCE"/>
    <w:rsid w:val="00210C1C"/>
    <w:rsid w:val="002125CA"/>
    <w:rsid w:val="002155EC"/>
    <w:rsid w:val="00216FC4"/>
    <w:rsid w:val="002209AF"/>
    <w:rsid w:val="002215A4"/>
    <w:rsid w:val="00221FDA"/>
    <w:rsid w:val="00224A6A"/>
    <w:rsid w:val="0022788C"/>
    <w:rsid w:val="0023175A"/>
    <w:rsid w:val="0023579F"/>
    <w:rsid w:val="00235F32"/>
    <w:rsid w:val="00236A4F"/>
    <w:rsid w:val="0024181C"/>
    <w:rsid w:val="0024195A"/>
    <w:rsid w:val="00244547"/>
    <w:rsid w:val="0024673F"/>
    <w:rsid w:val="002537C5"/>
    <w:rsid w:val="0025403F"/>
    <w:rsid w:val="00260772"/>
    <w:rsid w:val="00260BE0"/>
    <w:rsid w:val="00261245"/>
    <w:rsid w:val="00262ED4"/>
    <w:rsid w:val="00265B8B"/>
    <w:rsid w:val="00270F7F"/>
    <w:rsid w:val="00273605"/>
    <w:rsid w:val="00274587"/>
    <w:rsid w:val="00274F8F"/>
    <w:rsid w:val="002752AB"/>
    <w:rsid w:val="00276546"/>
    <w:rsid w:val="002767C1"/>
    <w:rsid w:val="002774D9"/>
    <w:rsid w:val="00280732"/>
    <w:rsid w:val="00280F8B"/>
    <w:rsid w:val="0028267F"/>
    <w:rsid w:val="00282A56"/>
    <w:rsid w:val="0028333C"/>
    <w:rsid w:val="002837D3"/>
    <w:rsid w:val="00283847"/>
    <w:rsid w:val="0028594B"/>
    <w:rsid w:val="00287D5D"/>
    <w:rsid w:val="00290291"/>
    <w:rsid w:val="0029114E"/>
    <w:rsid w:val="00293146"/>
    <w:rsid w:val="00297DF9"/>
    <w:rsid w:val="002A1B59"/>
    <w:rsid w:val="002A200E"/>
    <w:rsid w:val="002A2330"/>
    <w:rsid w:val="002A5A44"/>
    <w:rsid w:val="002A5D3A"/>
    <w:rsid w:val="002B01DC"/>
    <w:rsid w:val="002B31E7"/>
    <w:rsid w:val="002B4AD6"/>
    <w:rsid w:val="002C0686"/>
    <w:rsid w:val="002C168E"/>
    <w:rsid w:val="002C1AA6"/>
    <w:rsid w:val="002C2444"/>
    <w:rsid w:val="002C45F0"/>
    <w:rsid w:val="002C5868"/>
    <w:rsid w:val="002C66A7"/>
    <w:rsid w:val="002C6A3C"/>
    <w:rsid w:val="002C6AE0"/>
    <w:rsid w:val="002C7968"/>
    <w:rsid w:val="002D0053"/>
    <w:rsid w:val="002D133A"/>
    <w:rsid w:val="002D1885"/>
    <w:rsid w:val="002D3E40"/>
    <w:rsid w:val="002D5F86"/>
    <w:rsid w:val="002D7200"/>
    <w:rsid w:val="002D78BA"/>
    <w:rsid w:val="002D7929"/>
    <w:rsid w:val="002E019B"/>
    <w:rsid w:val="002E2753"/>
    <w:rsid w:val="002E4095"/>
    <w:rsid w:val="002E640F"/>
    <w:rsid w:val="002E6D5A"/>
    <w:rsid w:val="002F109A"/>
    <w:rsid w:val="002F11EC"/>
    <w:rsid w:val="002F1CAB"/>
    <w:rsid w:val="002F2DAD"/>
    <w:rsid w:val="002F4B93"/>
    <w:rsid w:val="002F69B5"/>
    <w:rsid w:val="003004EB"/>
    <w:rsid w:val="0030088B"/>
    <w:rsid w:val="00300D63"/>
    <w:rsid w:val="00301793"/>
    <w:rsid w:val="00302287"/>
    <w:rsid w:val="0030249F"/>
    <w:rsid w:val="00302669"/>
    <w:rsid w:val="003026FA"/>
    <w:rsid w:val="00302D98"/>
    <w:rsid w:val="003033E5"/>
    <w:rsid w:val="0030413B"/>
    <w:rsid w:val="003046DE"/>
    <w:rsid w:val="00304E54"/>
    <w:rsid w:val="0030518D"/>
    <w:rsid w:val="0030575A"/>
    <w:rsid w:val="00310428"/>
    <w:rsid w:val="00310990"/>
    <w:rsid w:val="003109F5"/>
    <w:rsid w:val="00311E99"/>
    <w:rsid w:val="0031250C"/>
    <w:rsid w:val="00312767"/>
    <w:rsid w:val="00312B94"/>
    <w:rsid w:val="00313FE5"/>
    <w:rsid w:val="00314029"/>
    <w:rsid w:val="003162DE"/>
    <w:rsid w:val="00322CB2"/>
    <w:rsid w:val="00323B7F"/>
    <w:rsid w:val="003241F4"/>
    <w:rsid w:val="0032599D"/>
    <w:rsid w:val="00325AA1"/>
    <w:rsid w:val="00326D26"/>
    <w:rsid w:val="0032701E"/>
    <w:rsid w:val="00330F77"/>
    <w:rsid w:val="00332D36"/>
    <w:rsid w:val="00334E08"/>
    <w:rsid w:val="00336CE9"/>
    <w:rsid w:val="00340921"/>
    <w:rsid w:val="00342068"/>
    <w:rsid w:val="003425F8"/>
    <w:rsid w:val="003451DC"/>
    <w:rsid w:val="00345341"/>
    <w:rsid w:val="0034553C"/>
    <w:rsid w:val="00345C9D"/>
    <w:rsid w:val="00346382"/>
    <w:rsid w:val="0035231C"/>
    <w:rsid w:val="00354ECD"/>
    <w:rsid w:val="00355611"/>
    <w:rsid w:val="00361F1A"/>
    <w:rsid w:val="00362604"/>
    <w:rsid w:val="00363D8E"/>
    <w:rsid w:val="0036423D"/>
    <w:rsid w:val="00364EA5"/>
    <w:rsid w:val="003656B1"/>
    <w:rsid w:val="0036613B"/>
    <w:rsid w:val="0036732B"/>
    <w:rsid w:val="0037037F"/>
    <w:rsid w:val="003718CF"/>
    <w:rsid w:val="00372A51"/>
    <w:rsid w:val="003733CC"/>
    <w:rsid w:val="003735CB"/>
    <w:rsid w:val="00373624"/>
    <w:rsid w:val="00375119"/>
    <w:rsid w:val="00380E1B"/>
    <w:rsid w:val="00384F48"/>
    <w:rsid w:val="00385F54"/>
    <w:rsid w:val="00386FD6"/>
    <w:rsid w:val="00387B07"/>
    <w:rsid w:val="00387CB9"/>
    <w:rsid w:val="0039149C"/>
    <w:rsid w:val="00392706"/>
    <w:rsid w:val="00392B6A"/>
    <w:rsid w:val="00393AF8"/>
    <w:rsid w:val="00394B1E"/>
    <w:rsid w:val="003A2DE8"/>
    <w:rsid w:val="003A4108"/>
    <w:rsid w:val="003A4539"/>
    <w:rsid w:val="003A54DD"/>
    <w:rsid w:val="003A5B77"/>
    <w:rsid w:val="003A767A"/>
    <w:rsid w:val="003A7992"/>
    <w:rsid w:val="003B0A9A"/>
    <w:rsid w:val="003B12CF"/>
    <w:rsid w:val="003B2655"/>
    <w:rsid w:val="003B2FD8"/>
    <w:rsid w:val="003B34F3"/>
    <w:rsid w:val="003B40D5"/>
    <w:rsid w:val="003B498F"/>
    <w:rsid w:val="003B4F50"/>
    <w:rsid w:val="003B6227"/>
    <w:rsid w:val="003B681A"/>
    <w:rsid w:val="003B7C9B"/>
    <w:rsid w:val="003B7F1C"/>
    <w:rsid w:val="003C13B9"/>
    <w:rsid w:val="003C3B34"/>
    <w:rsid w:val="003C3FD7"/>
    <w:rsid w:val="003C52CA"/>
    <w:rsid w:val="003C55A2"/>
    <w:rsid w:val="003C63DD"/>
    <w:rsid w:val="003C6B01"/>
    <w:rsid w:val="003C6D63"/>
    <w:rsid w:val="003C72DF"/>
    <w:rsid w:val="003D0E21"/>
    <w:rsid w:val="003D12A0"/>
    <w:rsid w:val="003D2A7C"/>
    <w:rsid w:val="003D2A99"/>
    <w:rsid w:val="003D2D22"/>
    <w:rsid w:val="003D3882"/>
    <w:rsid w:val="003D4729"/>
    <w:rsid w:val="003D7716"/>
    <w:rsid w:val="003E3A5B"/>
    <w:rsid w:val="003E5411"/>
    <w:rsid w:val="003E6F4C"/>
    <w:rsid w:val="003E7A3D"/>
    <w:rsid w:val="003E7C04"/>
    <w:rsid w:val="003E7E42"/>
    <w:rsid w:val="003F0388"/>
    <w:rsid w:val="003F5354"/>
    <w:rsid w:val="003F6398"/>
    <w:rsid w:val="003F666A"/>
    <w:rsid w:val="0040023E"/>
    <w:rsid w:val="004003DA"/>
    <w:rsid w:val="00401756"/>
    <w:rsid w:val="00402B80"/>
    <w:rsid w:val="00403B1A"/>
    <w:rsid w:val="004046BD"/>
    <w:rsid w:val="00406BD1"/>
    <w:rsid w:val="00412789"/>
    <w:rsid w:val="00413503"/>
    <w:rsid w:val="0041503D"/>
    <w:rsid w:val="00415108"/>
    <w:rsid w:val="00415B11"/>
    <w:rsid w:val="00415EC5"/>
    <w:rsid w:val="00416B87"/>
    <w:rsid w:val="00417009"/>
    <w:rsid w:val="004170A8"/>
    <w:rsid w:val="00417CCE"/>
    <w:rsid w:val="004235C2"/>
    <w:rsid w:val="00427DF1"/>
    <w:rsid w:val="0043116D"/>
    <w:rsid w:val="00432739"/>
    <w:rsid w:val="00432803"/>
    <w:rsid w:val="0043358B"/>
    <w:rsid w:val="00434473"/>
    <w:rsid w:val="00434981"/>
    <w:rsid w:val="004432E2"/>
    <w:rsid w:val="004433C7"/>
    <w:rsid w:val="00450395"/>
    <w:rsid w:val="0045066B"/>
    <w:rsid w:val="00454387"/>
    <w:rsid w:val="00454EEA"/>
    <w:rsid w:val="00455139"/>
    <w:rsid w:val="00455C27"/>
    <w:rsid w:val="0045673C"/>
    <w:rsid w:val="00456D17"/>
    <w:rsid w:val="00457906"/>
    <w:rsid w:val="00457A41"/>
    <w:rsid w:val="00457A74"/>
    <w:rsid w:val="004622BA"/>
    <w:rsid w:val="00462D54"/>
    <w:rsid w:val="004631F9"/>
    <w:rsid w:val="00463E7A"/>
    <w:rsid w:val="00464CF0"/>
    <w:rsid w:val="00465207"/>
    <w:rsid w:val="004668F5"/>
    <w:rsid w:val="004674B1"/>
    <w:rsid w:val="0047106E"/>
    <w:rsid w:val="0047272D"/>
    <w:rsid w:val="0047325D"/>
    <w:rsid w:val="004743C2"/>
    <w:rsid w:val="0047475B"/>
    <w:rsid w:val="004748C4"/>
    <w:rsid w:val="0047570D"/>
    <w:rsid w:val="00475905"/>
    <w:rsid w:val="00476A06"/>
    <w:rsid w:val="00476EB7"/>
    <w:rsid w:val="00480FBA"/>
    <w:rsid w:val="004823CB"/>
    <w:rsid w:val="00482CE5"/>
    <w:rsid w:val="00482E80"/>
    <w:rsid w:val="0048509E"/>
    <w:rsid w:val="00485E98"/>
    <w:rsid w:val="0048704E"/>
    <w:rsid w:val="00490954"/>
    <w:rsid w:val="00492088"/>
    <w:rsid w:val="004922F1"/>
    <w:rsid w:val="00492B34"/>
    <w:rsid w:val="004932BC"/>
    <w:rsid w:val="0049372C"/>
    <w:rsid w:val="00493755"/>
    <w:rsid w:val="00493B3A"/>
    <w:rsid w:val="00495F35"/>
    <w:rsid w:val="00497972"/>
    <w:rsid w:val="004A14C7"/>
    <w:rsid w:val="004A15F7"/>
    <w:rsid w:val="004A2453"/>
    <w:rsid w:val="004A2B20"/>
    <w:rsid w:val="004A4934"/>
    <w:rsid w:val="004A4E21"/>
    <w:rsid w:val="004A56A2"/>
    <w:rsid w:val="004A6406"/>
    <w:rsid w:val="004A7B07"/>
    <w:rsid w:val="004B0F4F"/>
    <w:rsid w:val="004B37B6"/>
    <w:rsid w:val="004B41A4"/>
    <w:rsid w:val="004B6122"/>
    <w:rsid w:val="004C3A23"/>
    <w:rsid w:val="004C4987"/>
    <w:rsid w:val="004C751D"/>
    <w:rsid w:val="004D0E66"/>
    <w:rsid w:val="004D2467"/>
    <w:rsid w:val="004D5DD2"/>
    <w:rsid w:val="004D6EAE"/>
    <w:rsid w:val="004D72F4"/>
    <w:rsid w:val="004E0F2F"/>
    <w:rsid w:val="004E2F00"/>
    <w:rsid w:val="004E33E3"/>
    <w:rsid w:val="004E3ED9"/>
    <w:rsid w:val="004E4750"/>
    <w:rsid w:val="004E4B9D"/>
    <w:rsid w:val="004E6590"/>
    <w:rsid w:val="004E67DB"/>
    <w:rsid w:val="004E740F"/>
    <w:rsid w:val="004F1C84"/>
    <w:rsid w:val="004F1D63"/>
    <w:rsid w:val="00500638"/>
    <w:rsid w:val="00502231"/>
    <w:rsid w:val="00502809"/>
    <w:rsid w:val="00504943"/>
    <w:rsid w:val="00506DC5"/>
    <w:rsid w:val="00510104"/>
    <w:rsid w:val="00511543"/>
    <w:rsid w:val="00512363"/>
    <w:rsid w:val="005125A7"/>
    <w:rsid w:val="00514024"/>
    <w:rsid w:val="00515F92"/>
    <w:rsid w:val="00516360"/>
    <w:rsid w:val="0051767E"/>
    <w:rsid w:val="00521AA8"/>
    <w:rsid w:val="00522BE0"/>
    <w:rsid w:val="00523F5C"/>
    <w:rsid w:val="00524361"/>
    <w:rsid w:val="005253A0"/>
    <w:rsid w:val="00525BBF"/>
    <w:rsid w:val="00525CD8"/>
    <w:rsid w:val="00527401"/>
    <w:rsid w:val="0052762D"/>
    <w:rsid w:val="005306FD"/>
    <w:rsid w:val="0053372B"/>
    <w:rsid w:val="00533A95"/>
    <w:rsid w:val="005362AF"/>
    <w:rsid w:val="005376AE"/>
    <w:rsid w:val="00537BCE"/>
    <w:rsid w:val="00540081"/>
    <w:rsid w:val="00541E2B"/>
    <w:rsid w:val="0054310E"/>
    <w:rsid w:val="0054338A"/>
    <w:rsid w:val="00543751"/>
    <w:rsid w:val="005446D8"/>
    <w:rsid w:val="00544969"/>
    <w:rsid w:val="005450BF"/>
    <w:rsid w:val="00550073"/>
    <w:rsid w:val="0055018F"/>
    <w:rsid w:val="00553087"/>
    <w:rsid w:val="005543DF"/>
    <w:rsid w:val="0055633C"/>
    <w:rsid w:val="005566DB"/>
    <w:rsid w:val="0055672C"/>
    <w:rsid w:val="00556FD7"/>
    <w:rsid w:val="005573A5"/>
    <w:rsid w:val="00564575"/>
    <w:rsid w:val="005655D5"/>
    <w:rsid w:val="00565850"/>
    <w:rsid w:val="00567A3A"/>
    <w:rsid w:val="00567BE1"/>
    <w:rsid w:val="00567CEB"/>
    <w:rsid w:val="00570B9B"/>
    <w:rsid w:val="00573752"/>
    <w:rsid w:val="00574E1A"/>
    <w:rsid w:val="00575E7E"/>
    <w:rsid w:val="00576992"/>
    <w:rsid w:val="00576A89"/>
    <w:rsid w:val="00576E43"/>
    <w:rsid w:val="0057725C"/>
    <w:rsid w:val="005806A4"/>
    <w:rsid w:val="0058175D"/>
    <w:rsid w:val="00581933"/>
    <w:rsid w:val="00581F80"/>
    <w:rsid w:val="00583C4A"/>
    <w:rsid w:val="005843DF"/>
    <w:rsid w:val="00585517"/>
    <w:rsid w:val="005904F8"/>
    <w:rsid w:val="00593A2D"/>
    <w:rsid w:val="00593EB3"/>
    <w:rsid w:val="005970B7"/>
    <w:rsid w:val="005A15E5"/>
    <w:rsid w:val="005A20B0"/>
    <w:rsid w:val="005A27DA"/>
    <w:rsid w:val="005A40A7"/>
    <w:rsid w:val="005A717C"/>
    <w:rsid w:val="005B11FE"/>
    <w:rsid w:val="005B2DB8"/>
    <w:rsid w:val="005B3E50"/>
    <w:rsid w:val="005B452E"/>
    <w:rsid w:val="005C1ED4"/>
    <w:rsid w:val="005C3259"/>
    <w:rsid w:val="005C49FD"/>
    <w:rsid w:val="005C665F"/>
    <w:rsid w:val="005C6F6E"/>
    <w:rsid w:val="005C7D06"/>
    <w:rsid w:val="005D16B0"/>
    <w:rsid w:val="005D299A"/>
    <w:rsid w:val="005D346A"/>
    <w:rsid w:val="005D3F47"/>
    <w:rsid w:val="005D41D4"/>
    <w:rsid w:val="005D4F1A"/>
    <w:rsid w:val="005D5356"/>
    <w:rsid w:val="005D625E"/>
    <w:rsid w:val="005D6619"/>
    <w:rsid w:val="005D6EED"/>
    <w:rsid w:val="005D7100"/>
    <w:rsid w:val="005E29A0"/>
    <w:rsid w:val="005E30ED"/>
    <w:rsid w:val="005E4C2C"/>
    <w:rsid w:val="005E555D"/>
    <w:rsid w:val="005F135F"/>
    <w:rsid w:val="005F224B"/>
    <w:rsid w:val="005F58DF"/>
    <w:rsid w:val="005F5ED2"/>
    <w:rsid w:val="005F66CA"/>
    <w:rsid w:val="005F7BA3"/>
    <w:rsid w:val="00600188"/>
    <w:rsid w:val="00600520"/>
    <w:rsid w:val="0060097B"/>
    <w:rsid w:val="006032BC"/>
    <w:rsid w:val="00603FE4"/>
    <w:rsid w:val="0060642D"/>
    <w:rsid w:val="00606781"/>
    <w:rsid w:val="006072DC"/>
    <w:rsid w:val="00607AE2"/>
    <w:rsid w:val="00610A34"/>
    <w:rsid w:val="00611A02"/>
    <w:rsid w:val="00612ED3"/>
    <w:rsid w:val="0061507C"/>
    <w:rsid w:val="00616D8A"/>
    <w:rsid w:val="00620653"/>
    <w:rsid w:val="006219B5"/>
    <w:rsid w:val="0062322B"/>
    <w:rsid w:val="00624BA1"/>
    <w:rsid w:val="006250FA"/>
    <w:rsid w:val="00625396"/>
    <w:rsid w:val="0062604D"/>
    <w:rsid w:val="006276B9"/>
    <w:rsid w:val="0062788E"/>
    <w:rsid w:val="00631EEE"/>
    <w:rsid w:val="0063246B"/>
    <w:rsid w:val="00633434"/>
    <w:rsid w:val="006335B3"/>
    <w:rsid w:val="00636AAE"/>
    <w:rsid w:val="006400F5"/>
    <w:rsid w:val="00640A52"/>
    <w:rsid w:val="006421A9"/>
    <w:rsid w:val="00643F28"/>
    <w:rsid w:val="00644EA8"/>
    <w:rsid w:val="0064592B"/>
    <w:rsid w:val="00647C19"/>
    <w:rsid w:val="00650DC9"/>
    <w:rsid w:val="0065191E"/>
    <w:rsid w:val="00654702"/>
    <w:rsid w:val="00655A3C"/>
    <w:rsid w:val="00656B43"/>
    <w:rsid w:val="00656C84"/>
    <w:rsid w:val="00657A0F"/>
    <w:rsid w:val="006608C9"/>
    <w:rsid w:val="006613D4"/>
    <w:rsid w:val="00661992"/>
    <w:rsid w:val="00663599"/>
    <w:rsid w:val="00666616"/>
    <w:rsid w:val="006668A0"/>
    <w:rsid w:val="006675DE"/>
    <w:rsid w:val="006713E2"/>
    <w:rsid w:val="006731D6"/>
    <w:rsid w:val="006748F7"/>
    <w:rsid w:val="006753EC"/>
    <w:rsid w:val="006767CE"/>
    <w:rsid w:val="00676B9F"/>
    <w:rsid w:val="00677782"/>
    <w:rsid w:val="006777C4"/>
    <w:rsid w:val="006803AE"/>
    <w:rsid w:val="00682B4D"/>
    <w:rsid w:val="00683A56"/>
    <w:rsid w:val="00685852"/>
    <w:rsid w:val="00685DD9"/>
    <w:rsid w:val="00686598"/>
    <w:rsid w:val="006921C6"/>
    <w:rsid w:val="00692D32"/>
    <w:rsid w:val="00692D68"/>
    <w:rsid w:val="0069336E"/>
    <w:rsid w:val="00693FCD"/>
    <w:rsid w:val="0069572B"/>
    <w:rsid w:val="006959C8"/>
    <w:rsid w:val="006964D9"/>
    <w:rsid w:val="006A0353"/>
    <w:rsid w:val="006A1389"/>
    <w:rsid w:val="006A2A1F"/>
    <w:rsid w:val="006A3E16"/>
    <w:rsid w:val="006A6A13"/>
    <w:rsid w:val="006A6AAC"/>
    <w:rsid w:val="006A6C98"/>
    <w:rsid w:val="006A7D16"/>
    <w:rsid w:val="006B0A96"/>
    <w:rsid w:val="006B15F8"/>
    <w:rsid w:val="006B4A0B"/>
    <w:rsid w:val="006B56DB"/>
    <w:rsid w:val="006B78A7"/>
    <w:rsid w:val="006B78CF"/>
    <w:rsid w:val="006B7FF0"/>
    <w:rsid w:val="006C0CC8"/>
    <w:rsid w:val="006C10E8"/>
    <w:rsid w:val="006C2D7E"/>
    <w:rsid w:val="006C62AC"/>
    <w:rsid w:val="006D2324"/>
    <w:rsid w:val="006D4F47"/>
    <w:rsid w:val="006D6E24"/>
    <w:rsid w:val="006D76ED"/>
    <w:rsid w:val="006E01A8"/>
    <w:rsid w:val="006E0DD0"/>
    <w:rsid w:val="006E1910"/>
    <w:rsid w:val="006E2F26"/>
    <w:rsid w:val="006E36ED"/>
    <w:rsid w:val="006E3D06"/>
    <w:rsid w:val="006E4E35"/>
    <w:rsid w:val="006E53BD"/>
    <w:rsid w:val="006E770E"/>
    <w:rsid w:val="006E7BD6"/>
    <w:rsid w:val="006E7C8B"/>
    <w:rsid w:val="006F140B"/>
    <w:rsid w:val="006F16A7"/>
    <w:rsid w:val="006F2973"/>
    <w:rsid w:val="006F378B"/>
    <w:rsid w:val="006F5171"/>
    <w:rsid w:val="006F6265"/>
    <w:rsid w:val="006F7134"/>
    <w:rsid w:val="007012B0"/>
    <w:rsid w:val="00702E7D"/>
    <w:rsid w:val="007032F3"/>
    <w:rsid w:val="00703E57"/>
    <w:rsid w:val="00704143"/>
    <w:rsid w:val="00705DB6"/>
    <w:rsid w:val="007064D7"/>
    <w:rsid w:val="007066FD"/>
    <w:rsid w:val="00710C27"/>
    <w:rsid w:val="007128B1"/>
    <w:rsid w:val="00713C76"/>
    <w:rsid w:val="007142B1"/>
    <w:rsid w:val="00720955"/>
    <w:rsid w:val="007229E6"/>
    <w:rsid w:val="00726757"/>
    <w:rsid w:val="00726A43"/>
    <w:rsid w:val="00727972"/>
    <w:rsid w:val="00737B87"/>
    <w:rsid w:val="007418BE"/>
    <w:rsid w:val="00741D88"/>
    <w:rsid w:val="0074241C"/>
    <w:rsid w:val="00742BF1"/>
    <w:rsid w:val="00742C2C"/>
    <w:rsid w:val="00743F57"/>
    <w:rsid w:val="007442AC"/>
    <w:rsid w:val="00744ED4"/>
    <w:rsid w:val="00746392"/>
    <w:rsid w:val="00746487"/>
    <w:rsid w:val="007468F6"/>
    <w:rsid w:val="00747FF7"/>
    <w:rsid w:val="0075091C"/>
    <w:rsid w:val="00750D7A"/>
    <w:rsid w:val="00750DE0"/>
    <w:rsid w:val="007520B4"/>
    <w:rsid w:val="007526E6"/>
    <w:rsid w:val="007555DA"/>
    <w:rsid w:val="00756790"/>
    <w:rsid w:val="00757E30"/>
    <w:rsid w:val="00761D2F"/>
    <w:rsid w:val="00761D6B"/>
    <w:rsid w:val="00761FEC"/>
    <w:rsid w:val="00762881"/>
    <w:rsid w:val="00763D61"/>
    <w:rsid w:val="0076407F"/>
    <w:rsid w:val="007677DD"/>
    <w:rsid w:val="00767FEB"/>
    <w:rsid w:val="00770F7B"/>
    <w:rsid w:val="007723D7"/>
    <w:rsid w:val="0077393E"/>
    <w:rsid w:val="0077567B"/>
    <w:rsid w:val="007766E7"/>
    <w:rsid w:val="007817A2"/>
    <w:rsid w:val="00781B50"/>
    <w:rsid w:val="00782521"/>
    <w:rsid w:val="00785FE4"/>
    <w:rsid w:val="007863E4"/>
    <w:rsid w:val="0079360C"/>
    <w:rsid w:val="00793F90"/>
    <w:rsid w:val="0079417C"/>
    <w:rsid w:val="007945F3"/>
    <w:rsid w:val="00794E9F"/>
    <w:rsid w:val="00796B68"/>
    <w:rsid w:val="007A00EC"/>
    <w:rsid w:val="007A16B9"/>
    <w:rsid w:val="007A1F2E"/>
    <w:rsid w:val="007A26A7"/>
    <w:rsid w:val="007A31FF"/>
    <w:rsid w:val="007A4AF8"/>
    <w:rsid w:val="007A5BA1"/>
    <w:rsid w:val="007A5EE3"/>
    <w:rsid w:val="007A6350"/>
    <w:rsid w:val="007A6F1B"/>
    <w:rsid w:val="007A70C1"/>
    <w:rsid w:val="007B0EEF"/>
    <w:rsid w:val="007B2084"/>
    <w:rsid w:val="007B4235"/>
    <w:rsid w:val="007B63D5"/>
    <w:rsid w:val="007C050F"/>
    <w:rsid w:val="007C0619"/>
    <w:rsid w:val="007C0D94"/>
    <w:rsid w:val="007C294D"/>
    <w:rsid w:val="007C3BF9"/>
    <w:rsid w:val="007D15C2"/>
    <w:rsid w:val="007D312D"/>
    <w:rsid w:val="007D341B"/>
    <w:rsid w:val="007D50D0"/>
    <w:rsid w:val="007E16E4"/>
    <w:rsid w:val="007E1ADE"/>
    <w:rsid w:val="007E3C3E"/>
    <w:rsid w:val="007E5512"/>
    <w:rsid w:val="007E565A"/>
    <w:rsid w:val="007E6199"/>
    <w:rsid w:val="007E667D"/>
    <w:rsid w:val="007E7F97"/>
    <w:rsid w:val="007F00C7"/>
    <w:rsid w:val="007F013D"/>
    <w:rsid w:val="007F048A"/>
    <w:rsid w:val="007F0A70"/>
    <w:rsid w:val="007F0FCC"/>
    <w:rsid w:val="007F12C7"/>
    <w:rsid w:val="007F31AD"/>
    <w:rsid w:val="007F6867"/>
    <w:rsid w:val="007F6B01"/>
    <w:rsid w:val="007F7A82"/>
    <w:rsid w:val="00802CD0"/>
    <w:rsid w:val="00804A9C"/>
    <w:rsid w:val="00804D62"/>
    <w:rsid w:val="00807D5C"/>
    <w:rsid w:val="00807DB4"/>
    <w:rsid w:val="00810B39"/>
    <w:rsid w:val="00810B61"/>
    <w:rsid w:val="00812EBD"/>
    <w:rsid w:val="00813987"/>
    <w:rsid w:val="00816D41"/>
    <w:rsid w:val="008178C6"/>
    <w:rsid w:val="00820CF8"/>
    <w:rsid w:val="0082162F"/>
    <w:rsid w:val="00824749"/>
    <w:rsid w:val="0082540A"/>
    <w:rsid w:val="00825A03"/>
    <w:rsid w:val="00825B26"/>
    <w:rsid w:val="008278C5"/>
    <w:rsid w:val="00830CE4"/>
    <w:rsid w:val="0083198F"/>
    <w:rsid w:val="00832CB3"/>
    <w:rsid w:val="00833621"/>
    <w:rsid w:val="00833F67"/>
    <w:rsid w:val="00836196"/>
    <w:rsid w:val="008370F2"/>
    <w:rsid w:val="00837662"/>
    <w:rsid w:val="00842876"/>
    <w:rsid w:val="00843594"/>
    <w:rsid w:val="00844455"/>
    <w:rsid w:val="0084461E"/>
    <w:rsid w:val="00844801"/>
    <w:rsid w:val="008448B3"/>
    <w:rsid w:val="00845927"/>
    <w:rsid w:val="00845BB8"/>
    <w:rsid w:val="008470D4"/>
    <w:rsid w:val="00850ECF"/>
    <w:rsid w:val="00852F37"/>
    <w:rsid w:val="00853640"/>
    <w:rsid w:val="008537C0"/>
    <w:rsid w:val="00853C55"/>
    <w:rsid w:val="008540FF"/>
    <w:rsid w:val="00854D01"/>
    <w:rsid w:val="00854E09"/>
    <w:rsid w:val="0085725D"/>
    <w:rsid w:val="008575D6"/>
    <w:rsid w:val="00857707"/>
    <w:rsid w:val="0085799A"/>
    <w:rsid w:val="00857D84"/>
    <w:rsid w:val="00860635"/>
    <w:rsid w:val="0086068B"/>
    <w:rsid w:val="0086086B"/>
    <w:rsid w:val="00867B3A"/>
    <w:rsid w:val="00870FB4"/>
    <w:rsid w:val="008714D6"/>
    <w:rsid w:val="00871910"/>
    <w:rsid w:val="008813AE"/>
    <w:rsid w:val="008814CE"/>
    <w:rsid w:val="0088188B"/>
    <w:rsid w:val="008824F2"/>
    <w:rsid w:val="00882E07"/>
    <w:rsid w:val="00885B92"/>
    <w:rsid w:val="00887877"/>
    <w:rsid w:val="0089154B"/>
    <w:rsid w:val="0089226F"/>
    <w:rsid w:val="00893C1B"/>
    <w:rsid w:val="00895BA8"/>
    <w:rsid w:val="00895D0C"/>
    <w:rsid w:val="008A0030"/>
    <w:rsid w:val="008A0081"/>
    <w:rsid w:val="008A32E3"/>
    <w:rsid w:val="008A3FFD"/>
    <w:rsid w:val="008A41F0"/>
    <w:rsid w:val="008A7AED"/>
    <w:rsid w:val="008A7F29"/>
    <w:rsid w:val="008B08EA"/>
    <w:rsid w:val="008B1399"/>
    <w:rsid w:val="008B1BE6"/>
    <w:rsid w:val="008B2583"/>
    <w:rsid w:val="008B3AED"/>
    <w:rsid w:val="008B3D89"/>
    <w:rsid w:val="008B5E98"/>
    <w:rsid w:val="008B6C02"/>
    <w:rsid w:val="008B6D8C"/>
    <w:rsid w:val="008B7384"/>
    <w:rsid w:val="008B78FE"/>
    <w:rsid w:val="008C0E28"/>
    <w:rsid w:val="008C140F"/>
    <w:rsid w:val="008C227D"/>
    <w:rsid w:val="008C2CB8"/>
    <w:rsid w:val="008C2F0D"/>
    <w:rsid w:val="008C4519"/>
    <w:rsid w:val="008C4EF0"/>
    <w:rsid w:val="008C50F4"/>
    <w:rsid w:val="008C5137"/>
    <w:rsid w:val="008C5E34"/>
    <w:rsid w:val="008C7949"/>
    <w:rsid w:val="008C7A93"/>
    <w:rsid w:val="008D09C9"/>
    <w:rsid w:val="008D1ABC"/>
    <w:rsid w:val="008D28AA"/>
    <w:rsid w:val="008D3C76"/>
    <w:rsid w:val="008D5E0A"/>
    <w:rsid w:val="008D69A1"/>
    <w:rsid w:val="008E20F0"/>
    <w:rsid w:val="008E22AE"/>
    <w:rsid w:val="008E36E9"/>
    <w:rsid w:val="008E4942"/>
    <w:rsid w:val="008E5C2F"/>
    <w:rsid w:val="008E67FF"/>
    <w:rsid w:val="008F0E87"/>
    <w:rsid w:val="008F1AA2"/>
    <w:rsid w:val="008F2652"/>
    <w:rsid w:val="008F290B"/>
    <w:rsid w:val="008F3091"/>
    <w:rsid w:val="008F38EC"/>
    <w:rsid w:val="008F3981"/>
    <w:rsid w:val="008F40BF"/>
    <w:rsid w:val="008F54EF"/>
    <w:rsid w:val="00901026"/>
    <w:rsid w:val="00906BB7"/>
    <w:rsid w:val="009121CD"/>
    <w:rsid w:val="009124E2"/>
    <w:rsid w:val="00913FA8"/>
    <w:rsid w:val="00915187"/>
    <w:rsid w:val="0091617E"/>
    <w:rsid w:val="0091711B"/>
    <w:rsid w:val="00917250"/>
    <w:rsid w:val="00917B96"/>
    <w:rsid w:val="0092000F"/>
    <w:rsid w:val="00920AB6"/>
    <w:rsid w:val="00920C93"/>
    <w:rsid w:val="00922536"/>
    <w:rsid w:val="00923C08"/>
    <w:rsid w:val="009263A5"/>
    <w:rsid w:val="0092775D"/>
    <w:rsid w:val="00930176"/>
    <w:rsid w:val="009301CF"/>
    <w:rsid w:val="00930858"/>
    <w:rsid w:val="00930CDA"/>
    <w:rsid w:val="00931066"/>
    <w:rsid w:val="00933110"/>
    <w:rsid w:val="00933180"/>
    <w:rsid w:val="00936835"/>
    <w:rsid w:val="009377AE"/>
    <w:rsid w:val="00940DA7"/>
    <w:rsid w:val="00940EE8"/>
    <w:rsid w:val="009430DB"/>
    <w:rsid w:val="009439CD"/>
    <w:rsid w:val="00943E95"/>
    <w:rsid w:val="0094434F"/>
    <w:rsid w:val="00944A50"/>
    <w:rsid w:val="00945452"/>
    <w:rsid w:val="0095002C"/>
    <w:rsid w:val="0095124B"/>
    <w:rsid w:val="00951A7E"/>
    <w:rsid w:val="00952697"/>
    <w:rsid w:val="00953CD9"/>
    <w:rsid w:val="00953D15"/>
    <w:rsid w:val="009555C8"/>
    <w:rsid w:val="00955E07"/>
    <w:rsid w:val="00956852"/>
    <w:rsid w:val="00957F17"/>
    <w:rsid w:val="009600DF"/>
    <w:rsid w:val="00960575"/>
    <w:rsid w:val="00962B93"/>
    <w:rsid w:val="00965062"/>
    <w:rsid w:val="009722EE"/>
    <w:rsid w:val="00974709"/>
    <w:rsid w:val="00974A40"/>
    <w:rsid w:val="00977E6D"/>
    <w:rsid w:val="00982664"/>
    <w:rsid w:val="00984ADE"/>
    <w:rsid w:val="00984E81"/>
    <w:rsid w:val="00984F82"/>
    <w:rsid w:val="0098522A"/>
    <w:rsid w:val="009867E9"/>
    <w:rsid w:val="009903DA"/>
    <w:rsid w:val="009927E9"/>
    <w:rsid w:val="00992E95"/>
    <w:rsid w:val="0099393C"/>
    <w:rsid w:val="00993E5C"/>
    <w:rsid w:val="009951BF"/>
    <w:rsid w:val="0099672D"/>
    <w:rsid w:val="009971F3"/>
    <w:rsid w:val="009A1895"/>
    <w:rsid w:val="009A4019"/>
    <w:rsid w:val="009A4169"/>
    <w:rsid w:val="009A7274"/>
    <w:rsid w:val="009A7A9C"/>
    <w:rsid w:val="009B0541"/>
    <w:rsid w:val="009B11C8"/>
    <w:rsid w:val="009B21B9"/>
    <w:rsid w:val="009B23FC"/>
    <w:rsid w:val="009B2498"/>
    <w:rsid w:val="009B2E5E"/>
    <w:rsid w:val="009B5ADC"/>
    <w:rsid w:val="009B6370"/>
    <w:rsid w:val="009B6D89"/>
    <w:rsid w:val="009B75CC"/>
    <w:rsid w:val="009C0CBA"/>
    <w:rsid w:val="009C10BC"/>
    <w:rsid w:val="009C3959"/>
    <w:rsid w:val="009C3F17"/>
    <w:rsid w:val="009C4DA7"/>
    <w:rsid w:val="009C5AD2"/>
    <w:rsid w:val="009C6A70"/>
    <w:rsid w:val="009C6F40"/>
    <w:rsid w:val="009C7165"/>
    <w:rsid w:val="009C7E30"/>
    <w:rsid w:val="009D0CD1"/>
    <w:rsid w:val="009D1A62"/>
    <w:rsid w:val="009D2125"/>
    <w:rsid w:val="009D3C27"/>
    <w:rsid w:val="009D587D"/>
    <w:rsid w:val="009D6A4A"/>
    <w:rsid w:val="009D77D7"/>
    <w:rsid w:val="009E2412"/>
    <w:rsid w:val="009E3D20"/>
    <w:rsid w:val="009E46D8"/>
    <w:rsid w:val="009E515C"/>
    <w:rsid w:val="009F057F"/>
    <w:rsid w:val="009F0813"/>
    <w:rsid w:val="009F2EBA"/>
    <w:rsid w:val="009F2EFC"/>
    <w:rsid w:val="009F5D2C"/>
    <w:rsid w:val="009F63CC"/>
    <w:rsid w:val="009F6E4F"/>
    <w:rsid w:val="009F74D1"/>
    <w:rsid w:val="00A00883"/>
    <w:rsid w:val="00A00BBC"/>
    <w:rsid w:val="00A01FE0"/>
    <w:rsid w:val="00A0317B"/>
    <w:rsid w:val="00A0484F"/>
    <w:rsid w:val="00A05FCE"/>
    <w:rsid w:val="00A07538"/>
    <w:rsid w:val="00A1195F"/>
    <w:rsid w:val="00A12970"/>
    <w:rsid w:val="00A13ECE"/>
    <w:rsid w:val="00A13F1F"/>
    <w:rsid w:val="00A14B28"/>
    <w:rsid w:val="00A1536C"/>
    <w:rsid w:val="00A15C02"/>
    <w:rsid w:val="00A20B41"/>
    <w:rsid w:val="00A21B3C"/>
    <w:rsid w:val="00A221A7"/>
    <w:rsid w:val="00A22A22"/>
    <w:rsid w:val="00A23761"/>
    <w:rsid w:val="00A23FB4"/>
    <w:rsid w:val="00A2558D"/>
    <w:rsid w:val="00A25D48"/>
    <w:rsid w:val="00A3028A"/>
    <w:rsid w:val="00A32DB9"/>
    <w:rsid w:val="00A32EA0"/>
    <w:rsid w:val="00A33865"/>
    <w:rsid w:val="00A4206B"/>
    <w:rsid w:val="00A42133"/>
    <w:rsid w:val="00A423E5"/>
    <w:rsid w:val="00A42DAC"/>
    <w:rsid w:val="00A430EB"/>
    <w:rsid w:val="00A441AB"/>
    <w:rsid w:val="00A46B95"/>
    <w:rsid w:val="00A47636"/>
    <w:rsid w:val="00A4769B"/>
    <w:rsid w:val="00A5072F"/>
    <w:rsid w:val="00A51CD5"/>
    <w:rsid w:val="00A53E9E"/>
    <w:rsid w:val="00A54CA2"/>
    <w:rsid w:val="00A54F60"/>
    <w:rsid w:val="00A551C5"/>
    <w:rsid w:val="00A56C35"/>
    <w:rsid w:val="00A57427"/>
    <w:rsid w:val="00A607A2"/>
    <w:rsid w:val="00A626BF"/>
    <w:rsid w:val="00A639A6"/>
    <w:rsid w:val="00A639E0"/>
    <w:rsid w:val="00A659D3"/>
    <w:rsid w:val="00A65BB4"/>
    <w:rsid w:val="00A701B1"/>
    <w:rsid w:val="00A7035D"/>
    <w:rsid w:val="00A7060D"/>
    <w:rsid w:val="00A7078B"/>
    <w:rsid w:val="00A71242"/>
    <w:rsid w:val="00A71E1A"/>
    <w:rsid w:val="00A722F5"/>
    <w:rsid w:val="00A725E9"/>
    <w:rsid w:val="00A73847"/>
    <w:rsid w:val="00A767FF"/>
    <w:rsid w:val="00A76E02"/>
    <w:rsid w:val="00A81B90"/>
    <w:rsid w:val="00A83F91"/>
    <w:rsid w:val="00A858AD"/>
    <w:rsid w:val="00A85A1D"/>
    <w:rsid w:val="00A86718"/>
    <w:rsid w:val="00A8698A"/>
    <w:rsid w:val="00A869D1"/>
    <w:rsid w:val="00A9459E"/>
    <w:rsid w:val="00A94A34"/>
    <w:rsid w:val="00A953F4"/>
    <w:rsid w:val="00A9666B"/>
    <w:rsid w:val="00A96697"/>
    <w:rsid w:val="00A972FF"/>
    <w:rsid w:val="00AA0E6C"/>
    <w:rsid w:val="00AA115A"/>
    <w:rsid w:val="00AA3BE5"/>
    <w:rsid w:val="00AA3F58"/>
    <w:rsid w:val="00AA4D4E"/>
    <w:rsid w:val="00AA4D82"/>
    <w:rsid w:val="00AA5293"/>
    <w:rsid w:val="00AA52A9"/>
    <w:rsid w:val="00AA594A"/>
    <w:rsid w:val="00AA7B61"/>
    <w:rsid w:val="00AB0BEE"/>
    <w:rsid w:val="00AB272F"/>
    <w:rsid w:val="00AB2D45"/>
    <w:rsid w:val="00AB40E0"/>
    <w:rsid w:val="00AB68BC"/>
    <w:rsid w:val="00AB6916"/>
    <w:rsid w:val="00AC38DD"/>
    <w:rsid w:val="00AC6062"/>
    <w:rsid w:val="00AD3394"/>
    <w:rsid w:val="00AE065B"/>
    <w:rsid w:val="00AE1AD3"/>
    <w:rsid w:val="00AE2B37"/>
    <w:rsid w:val="00AE2D1F"/>
    <w:rsid w:val="00AE4F3C"/>
    <w:rsid w:val="00AF09BE"/>
    <w:rsid w:val="00AF1CDF"/>
    <w:rsid w:val="00AF324D"/>
    <w:rsid w:val="00AF370C"/>
    <w:rsid w:val="00AF3A96"/>
    <w:rsid w:val="00AF4399"/>
    <w:rsid w:val="00AF4BC6"/>
    <w:rsid w:val="00AF50CE"/>
    <w:rsid w:val="00AF5B23"/>
    <w:rsid w:val="00B009CE"/>
    <w:rsid w:val="00B015E2"/>
    <w:rsid w:val="00B01A8D"/>
    <w:rsid w:val="00B02F6E"/>
    <w:rsid w:val="00B049FA"/>
    <w:rsid w:val="00B04FEC"/>
    <w:rsid w:val="00B057FD"/>
    <w:rsid w:val="00B06CB3"/>
    <w:rsid w:val="00B121FD"/>
    <w:rsid w:val="00B125B0"/>
    <w:rsid w:val="00B1319B"/>
    <w:rsid w:val="00B13F16"/>
    <w:rsid w:val="00B15BE5"/>
    <w:rsid w:val="00B207A5"/>
    <w:rsid w:val="00B21324"/>
    <w:rsid w:val="00B24B0E"/>
    <w:rsid w:val="00B24BEF"/>
    <w:rsid w:val="00B27AC5"/>
    <w:rsid w:val="00B27B21"/>
    <w:rsid w:val="00B30F34"/>
    <w:rsid w:val="00B312A4"/>
    <w:rsid w:val="00B33D0E"/>
    <w:rsid w:val="00B34773"/>
    <w:rsid w:val="00B34B73"/>
    <w:rsid w:val="00B3722C"/>
    <w:rsid w:val="00B4191B"/>
    <w:rsid w:val="00B43D79"/>
    <w:rsid w:val="00B43FC1"/>
    <w:rsid w:val="00B441E0"/>
    <w:rsid w:val="00B47675"/>
    <w:rsid w:val="00B47E34"/>
    <w:rsid w:val="00B5169A"/>
    <w:rsid w:val="00B54803"/>
    <w:rsid w:val="00B54BFE"/>
    <w:rsid w:val="00B55367"/>
    <w:rsid w:val="00B55EFA"/>
    <w:rsid w:val="00B55FCE"/>
    <w:rsid w:val="00B56873"/>
    <w:rsid w:val="00B63319"/>
    <w:rsid w:val="00B63438"/>
    <w:rsid w:val="00B67E52"/>
    <w:rsid w:val="00B72BCB"/>
    <w:rsid w:val="00B72F66"/>
    <w:rsid w:val="00B741AA"/>
    <w:rsid w:val="00B75A1B"/>
    <w:rsid w:val="00B76DFD"/>
    <w:rsid w:val="00B801BD"/>
    <w:rsid w:val="00B8051E"/>
    <w:rsid w:val="00B818CC"/>
    <w:rsid w:val="00B8450C"/>
    <w:rsid w:val="00B84735"/>
    <w:rsid w:val="00B87F3F"/>
    <w:rsid w:val="00B90C89"/>
    <w:rsid w:val="00B91921"/>
    <w:rsid w:val="00B92944"/>
    <w:rsid w:val="00B92C4A"/>
    <w:rsid w:val="00B9713F"/>
    <w:rsid w:val="00B97B58"/>
    <w:rsid w:val="00B97D43"/>
    <w:rsid w:val="00BA436F"/>
    <w:rsid w:val="00BA7F8F"/>
    <w:rsid w:val="00BB15FA"/>
    <w:rsid w:val="00BB189E"/>
    <w:rsid w:val="00BB229B"/>
    <w:rsid w:val="00BB257F"/>
    <w:rsid w:val="00BB4415"/>
    <w:rsid w:val="00BB6A01"/>
    <w:rsid w:val="00BB6FEC"/>
    <w:rsid w:val="00BC27CE"/>
    <w:rsid w:val="00BC2B4C"/>
    <w:rsid w:val="00BC41E8"/>
    <w:rsid w:val="00BC4F5B"/>
    <w:rsid w:val="00BD0360"/>
    <w:rsid w:val="00BD14B8"/>
    <w:rsid w:val="00BD4591"/>
    <w:rsid w:val="00BD50B6"/>
    <w:rsid w:val="00BD64A7"/>
    <w:rsid w:val="00BD6AEF"/>
    <w:rsid w:val="00BD6D36"/>
    <w:rsid w:val="00BE0306"/>
    <w:rsid w:val="00BE3DDA"/>
    <w:rsid w:val="00BE410C"/>
    <w:rsid w:val="00BE658B"/>
    <w:rsid w:val="00BE6882"/>
    <w:rsid w:val="00BE6946"/>
    <w:rsid w:val="00BF1ABE"/>
    <w:rsid w:val="00BF31A6"/>
    <w:rsid w:val="00BF44A2"/>
    <w:rsid w:val="00C02B6E"/>
    <w:rsid w:val="00C0338B"/>
    <w:rsid w:val="00C03985"/>
    <w:rsid w:val="00C03FDA"/>
    <w:rsid w:val="00C043B7"/>
    <w:rsid w:val="00C04893"/>
    <w:rsid w:val="00C1202F"/>
    <w:rsid w:val="00C12762"/>
    <w:rsid w:val="00C215E9"/>
    <w:rsid w:val="00C2196C"/>
    <w:rsid w:val="00C24A4C"/>
    <w:rsid w:val="00C267F3"/>
    <w:rsid w:val="00C268BE"/>
    <w:rsid w:val="00C276B3"/>
    <w:rsid w:val="00C277B7"/>
    <w:rsid w:val="00C314EE"/>
    <w:rsid w:val="00C31B0B"/>
    <w:rsid w:val="00C333FF"/>
    <w:rsid w:val="00C33540"/>
    <w:rsid w:val="00C34347"/>
    <w:rsid w:val="00C34B18"/>
    <w:rsid w:val="00C35CD5"/>
    <w:rsid w:val="00C35E32"/>
    <w:rsid w:val="00C405EE"/>
    <w:rsid w:val="00C44A10"/>
    <w:rsid w:val="00C45289"/>
    <w:rsid w:val="00C46E6A"/>
    <w:rsid w:val="00C509BB"/>
    <w:rsid w:val="00C50DD7"/>
    <w:rsid w:val="00C51C8C"/>
    <w:rsid w:val="00C51D90"/>
    <w:rsid w:val="00C530FF"/>
    <w:rsid w:val="00C55614"/>
    <w:rsid w:val="00C55ACA"/>
    <w:rsid w:val="00C5670D"/>
    <w:rsid w:val="00C579A9"/>
    <w:rsid w:val="00C57D42"/>
    <w:rsid w:val="00C607CF"/>
    <w:rsid w:val="00C60F0A"/>
    <w:rsid w:val="00C612F9"/>
    <w:rsid w:val="00C61754"/>
    <w:rsid w:val="00C63535"/>
    <w:rsid w:val="00C636B9"/>
    <w:rsid w:val="00C63745"/>
    <w:rsid w:val="00C65354"/>
    <w:rsid w:val="00C656F3"/>
    <w:rsid w:val="00C65EB6"/>
    <w:rsid w:val="00C72D17"/>
    <w:rsid w:val="00C72F3E"/>
    <w:rsid w:val="00C7390A"/>
    <w:rsid w:val="00C73B94"/>
    <w:rsid w:val="00C76663"/>
    <w:rsid w:val="00C8003B"/>
    <w:rsid w:val="00C823B0"/>
    <w:rsid w:val="00C83FAD"/>
    <w:rsid w:val="00C84122"/>
    <w:rsid w:val="00C86416"/>
    <w:rsid w:val="00C93263"/>
    <w:rsid w:val="00C93AFD"/>
    <w:rsid w:val="00C9670D"/>
    <w:rsid w:val="00C96B30"/>
    <w:rsid w:val="00CA0464"/>
    <w:rsid w:val="00CA2E55"/>
    <w:rsid w:val="00CA2ED5"/>
    <w:rsid w:val="00CA4068"/>
    <w:rsid w:val="00CA41B8"/>
    <w:rsid w:val="00CA5320"/>
    <w:rsid w:val="00CA700C"/>
    <w:rsid w:val="00CA723B"/>
    <w:rsid w:val="00CB1D51"/>
    <w:rsid w:val="00CB2C30"/>
    <w:rsid w:val="00CB323E"/>
    <w:rsid w:val="00CB6188"/>
    <w:rsid w:val="00CB6B44"/>
    <w:rsid w:val="00CB70E5"/>
    <w:rsid w:val="00CC1C93"/>
    <w:rsid w:val="00CC23AB"/>
    <w:rsid w:val="00CC2C52"/>
    <w:rsid w:val="00CC4416"/>
    <w:rsid w:val="00CC493C"/>
    <w:rsid w:val="00CC5FAC"/>
    <w:rsid w:val="00CC60D7"/>
    <w:rsid w:val="00CC63D3"/>
    <w:rsid w:val="00CC73E1"/>
    <w:rsid w:val="00CD073C"/>
    <w:rsid w:val="00CD0C70"/>
    <w:rsid w:val="00CD6641"/>
    <w:rsid w:val="00CD79ED"/>
    <w:rsid w:val="00CD7E17"/>
    <w:rsid w:val="00CE00E1"/>
    <w:rsid w:val="00CE1201"/>
    <w:rsid w:val="00CE1408"/>
    <w:rsid w:val="00CE1A04"/>
    <w:rsid w:val="00CE231E"/>
    <w:rsid w:val="00CE3109"/>
    <w:rsid w:val="00CE3A4C"/>
    <w:rsid w:val="00CE3DEB"/>
    <w:rsid w:val="00CF18D8"/>
    <w:rsid w:val="00CF4F69"/>
    <w:rsid w:val="00CF5CE9"/>
    <w:rsid w:val="00CF5E0F"/>
    <w:rsid w:val="00CF699C"/>
    <w:rsid w:val="00D01A38"/>
    <w:rsid w:val="00D02AA8"/>
    <w:rsid w:val="00D04BED"/>
    <w:rsid w:val="00D05048"/>
    <w:rsid w:val="00D052D5"/>
    <w:rsid w:val="00D054BC"/>
    <w:rsid w:val="00D063DA"/>
    <w:rsid w:val="00D06678"/>
    <w:rsid w:val="00D06F0F"/>
    <w:rsid w:val="00D072BB"/>
    <w:rsid w:val="00D14984"/>
    <w:rsid w:val="00D15EC5"/>
    <w:rsid w:val="00D16A0A"/>
    <w:rsid w:val="00D2033F"/>
    <w:rsid w:val="00D21B87"/>
    <w:rsid w:val="00D21BED"/>
    <w:rsid w:val="00D25FF8"/>
    <w:rsid w:val="00D2602C"/>
    <w:rsid w:val="00D2732D"/>
    <w:rsid w:val="00D300ED"/>
    <w:rsid w:val="00D30A56"/>
    <w:rsid w:val="00D31D56"/>
    <w:rsid w:val="00D31ED6"/>
    <w:rsid w:val="00D3470A"/>
    <w:rsid w:val="00D36659"/>
    <w:rsid w:val="00D403FA"/>
    <w:rsid w:val="00D43DAD"/>
    <w:rsid w:val="00D43EEA"/>
    <w:rsid w:val="00D467E0"/>
    <w:rsid w:val="00D46E0B"/>
    <w:rsid w:val="00D47C43"/>
    <w:rsid w:val="00D50101"/>
    <w:rsid w:val="00D50182"/>
    <w:rsid w:val="00D566F3"/>
    <w:rsid w:val="00D601E7"/>
    <w:rsid w:val="00D60AFD"/>
    <w:rsid w:val="00D63E35"/>
    <w:rsid w:val="00D64FFC"/>
    <w:rsid w:val="00D669B4"/>
    <w:rsid w:val="00D67409"/>
    <w:rsid w:val="00D716C2"/>
    <w:rsid w:val="00D72A7D"/>
    <w:rsid w:val="00D73A62"/>
    <w:rsid w:val="00D766A3"/>
    <w:rsid w:val="00D7741B"/>
    <w:rsid w:val="00D80A2A"/>
    <w:rsid w:val="00D812D8"/>
    <w:rsid w:val="00D818FA"/>
    <w:rsid w:val="00D81C33"/>
    <w:rsid w:val="00D82067"/>
    <w:rsid w:val="00D83658"/>
    <w:rsid w:val="00D83C5E"/>
    <w:rsid w:val="00D83E7E"/>
    <w:rsid w:val="00D83F5E"/>
    <w:rsid w:val="00D86378"/>
    <w:rsid w:val="00D871F8"/>
    <w:rsid w:val="00D90FDA"/>
    <w:rsid w:val="00D9233A"/>
    <w:rsid w:val="00D9237B"/>
    <w:rsid w:val="00D92CE6"/>
    <w:rsid w:val="00D9303D"/>
    <w:rsid w:val="00D95A1C"/>
    <w:rsid w:val="00D95C9E"/>
    <w:rsid w:val="00D96C54"/>
    <w:rsid w:val="00D96D07"/>
    <w:rsid w:val="00DA2BAE"/>
    <w:rsid w:val="00DA3231"/>
    <w:rsid w:val="00DA3FF5"/>
    <w:rsid w:val="00DA5D25"/>
    <w:rsid w:val="00DA673F"/>
    <w:rsid w:val="00DB00F5"/>
    <w:rsid w:val="00DB1428"/>
    <w:rsid w:val="00DB22A9"/>
    <w:rsid w:val="00DB3914"/>
    <w:rsid w:val="00DB551C"/>
    <w:rsid w:val="00DC0619"/>
    <w:rsid w:val="00DC2527"/>
    <w:rsid w:val="00DC43F9"/>
    <w:rsid w:val="00DC675D"/>
    <w:rsid w:val="00DC6B73"/>
    <w:rsid w:val="00DC6E8F"/>
    <w:rsid w:val="00DD0224"/>
    <w:rsid w:val="00DD05E5"/>
    <w:rsid w:val="00DD1BF2"/>
    <w:rsid w:val="00DD2345"/>
    <w:rsid w:val="00DD2F9D"/>
    <w:rsid w:val="00DD403C"/>
    <w:rsid w:val="00DD58B0"/>
    <w:rsid w:val="00DD5A2A"/>
    <w:rsid w:val="00DD5A53"/>
    <w:rsid w:val="00DD5D2A"/>
    <w:rsid w:val="00DD61FA"/>
    <w:rsid w:val="00DE05D3"/>
    <w:rsid w:val="00DE08DE"/>
    <w:rsid w:val="00DE6B05"/>
    <w:rsid w:val="00DE7920"/>
    <w:rsid w:val="00DE7B21"/>
    <w:rsid w:val="00DF11E8"/>
    <w:rsid w:val="00DF23AD"/>
    <w:rsid w:val="00DF3D6D"/>
    <w:rsid w:val="00DF3DDE"/>
    <w:rsid w:val="00DF505D"/>
    <w:rsid w:val="00DF7EBD"/>
    <w:rsid w:val="00E001F1"/>
    <w:rsid w:val="00E007F4"/>
    <w:rsid w:val="00E01354"/>
    <w:rsid w:val="00E017B6"/>
    <w:rsid w:val="00E0197E"/>
    <w:rsid w:val="00E01CEC"/>
    <w:rsid w:val="00E023CE"/>
    <w:rsid w:val="00E02D92"/>
    <w:rsid w:val="00E038BD"/>
    <w:rsid w:val="00E04E7F"/>
    <w:rsid w:val="00E079B2"/>
    <w:rsid w:val="00E1061F"/>
    <w:rsid w:val="00E10E39"/>
    <w:rsid w:val="00E12023"/>
    <w:rsid w:val="00E12202"/>
    <w:rsid w:val="00E125B6"/>
    <w:rsid w:val="00E139C4"/>
    <w:rsid w:val="00E15857"/>
    <w:rsid w:val="00E1706C"/>
    <w:rsid w:val="00E17DE7"/>
    <w:rsid w:val="00E20729"/>
    <w:rsid w:val="00E20CE2"/>
    <w:rsid w:val="00E2128F"/>
    <w:rsid w:val="00E24921"/>
    <w:rsid w:val="00E3540A"/>
    <w:rsid w:val="00E35D18"/>
    <w:rsid w:val="00E37130"/>
    <w:rsid w:val="00E37388"/>
    <w:rsid w:val="00E37D8E"/>
    <w:rsid w:val="00E40CA0"/>
    <w:rsid w:val="00E41640"/>
    <w:rsid w:val="00E4208A"/>
    <w:rsid w:val="00E42E3D"/>
    <w:rsid w:val="00E47DE3"/>
    <w:rsid w:val="00E507BD"/>
    <w:rsid w:val="00E50F08"/>
    <w:rsid w:val="00E510C4"/>
    <w:rsid w:val="00E519FF"/>
    <w:rsid w:val="00E52D93"/>
    <w:rsid w:val="00E532CF"/>
    <w:rsid w:val="00E53ACB"/>
    <w:rsid w:val="00E54463"/>
    <w:rsid w:val="00E5465E"/>
    <w:rsid w:val="00E54B8E"/>
    <w:rsid w:val="00E55638"/>
    <w:rsid w:val="00E563D6"/>
    <w:rsid w:val="00E5685F"/>
    <w:rsid w:val="00E600C2"/>
    <w:rsid w:val="00E62A0C"/>
    <w:rsid w:val="00E6393D"/>
    <w:rsid w:val="00E64A10"/>
    <w:rsid w:val="00E64F9D"/>
    <w:rsid w:val="00E65FC7"/>
    <w:rsid w:val="00E666DE"/>
    <w:rsid w:val="00E6679D"/>
    <w:rsid w:val="00E70296"/>
    <w:rsid w:val="00E7127F"/>
    <w:rsid w:val="00E71900"/>
    <w:rsid w:val="00E723C2"/>
    <w:rsid w:val="00E73194"/>
    <w:rsid w:val="00E73BA7"/>
    <w:rsid w:val="00E757C5"/>
    <w:rsid w:val="00E75D41"/>
    <w:rsid w:val="00E76694"/>
    <w:rsid w:val="00E77A39"/>
    <w:rsid w:val="00E81E7F"/>
    <w:rsid w:val="00E8209A"/>
    <w:rsid w:val="00E831EB"/>
    <w:rsid w:val="00E83FE4"/>
    <w:rsid w:val="00E8446E"/>
    <w:rsid w:val="00E85CD4"/>
    <w:rsid w:val="00E8706F"/>
    <w:rsid w:val="00E91114"/>
    <w:rsid w:val="00E915F2"/>
    <w:rsid w:val="00E9195B"/>
    <w:rsid w:val="00E922AD"/>
    <w:rsid w:val="00E92DAA"/>
    <w:rsid w:val="00E94BC9"/>
    <w:rsid w:val="00E95744"/>
    <w:rsid w:val="00E96293"/>
    <w:rsid w:val="00E971B6"/>
    <w:rsid w:val="00EA096B"/>
    <w:rsid w:val="00EA1E21"/>
    <w:rsid w:val="00EA2C0C"/>
    <w:rsid w:val="00EA4278"/>
    <w:rsid w:val="00EA61BE"/>
    <w:rsid w:val="00EA6B1B"/>
    <w:rsid w:val="00EA6C6C"/>
    <w:rsid w:val="00EB15B6"/>
    <w:rsid w:val="00EB3D62"/>
    <w:rsid w:val="00EB4130"/>
    <w:rsid w:val="00EB5E48"/>
    <w:rsid w:val="00EB61BF"/>
    <w:rsid w:val="00EB6DAB"/>
    <w:rsid w:val="00EB7257"/>
    <w:rsid w:val="00EC04A5"/>
    <w:rsid w:val="00EC090F"/>
    <w:rsid w:val="00EC09F1"/>
    <w:rsid w:val="00EC4ECD"/>
    <w:rsid w:val="00EC5135"/>
    <w:rsid w:val="00EC6543"/>
    <w:rsid w:val="00ED0799"/>
    <w:rsid w:val="00ED1B1E"/>
    <w:rsid w:val="00ED3C05"/>
    <w:rsid w:val="00ED7592"/>
    <w:rsid w:val="00ED76A0"/>
    <w:rsid w:val="00EE14F6"/>
    <w:rsid w:val="00EE1988"/>
    <w:rsid w:val="00EE1D02"/>
    <w:rsid w:val="00EE1E49"/>
    <w:rsid w:val="00EE22D1"/>
    <w:rsid w:val="00EE252F"/>
    <w:rsid w:val="00EE5EB9"/>
    <w:rsid w:val="00EF006C"/>
    <w:rsid w:val="00EF22F3"/>
    <w:rsid w:val="00EF33D8"/>
    <w:rsid w:val="00EF3782"/>
    <w:rsid w:val="00EF53DE"/>
    <w:rsid w:val="00F00493"/>
    <w:rsid w:val="00F02005"/>
    <w:rsid w:val="00F025CA"/>
    <w:rsid w:val="00F0276F"/>
    <w:rsid w:val="00F02FCC"/>
    <w:rsid w:val="00F102E0"/>
    <w:rsid w:val="00F1044A"/>
    <w:rsid w:val="00F114CA"/>
    <w:rsid w:val="00F12C10"/>
    <w:rsid w:val="00F12D07"/>
    <w:rsid w:val="00F14ED0"/>
    <w:rsid w:val="00F15ADC"/>
    <w:rsid w:val="00F1758D"/>
    <w:rsid w:val="00F203F0"/>
    <w:rsid w:val="00F2129E"/>
    <w:rsid w:val="00F21AAE"/>
    <w:rsid w:val="00F221E3"/>
    <w:rsid w:val="00F243CE"/>
    <w:rsid w:val="00F25542"/>
    <w:rsid w:val="00F25AE5"/>
    <w:rsid w:val="00F26120"/>
    <w:rsid w:val="00F267F5"/>
    <w:rsid w:val="00F30E8D"/>
    <w:rsid w:val="00F312EF"/>
    <w:rsid w:val="00F3158F"/>
    <w:rsid w:val="00F32962"/>
    <w:rsid w:val="00F331E7"/>
    <w:rsid w:val="00F333DD"/>
    <w:rsid w:val="00F343E4"/>
    <w:rsid w:val="00F3463D"/>
    <w:rsid w:val="00F34BC4"/>
    <w:rsid w:val="00F36AD6"/>
    <w:rsid w:val="00F37393"/>
    <w:rsid w:val="00F40517"/>
    <w:rsid w:val="00F41600"/>
    <w:rsid w:val="00F418C1"/>
    <w:rsid w:val="00F4234A"/>
    <w:rsid w:val="00F42799"/>
    <w:rsid w:val="00F44C00"/>
    <w:rsid w:val="00F45D1B"/>
    <w:rsid w:val="00F504C0"/>
    <w:rsid w:val="00F50B8B"/>
    <w:rsid w:val="00F54426"/>
    <w:rsid w:val="00F5537E"/>
    <w:rsid w:val="00F5609F"/>
    <w:rsid w:val="00F56712"/>
    <w:rsid w:val="00F57FBB"/>
    <w:rsid w:val="00F603BB"/>
    <w:rsid w:val="00F623EB"/>
    <w:rsid w:val="00F63E78"/>
    <w:rsid w:val="00F645AE"/>
    <w:rsid w:val="00F65A69"/>
    <w:rsid w:val="00F662D1"/>
    <w:rsid w:val="00F7111F"/>
    <w:rsid w:val="00F71F85"/>
    <w:rsid w:val="00F7433E"/>
    <w:rsid w:val="00F74B6A"/>
    <w:rsid w:val="00F76FD4"/>
    <w:rsid w:val="00F77186"/>
    <w:rsid w:val="00F8100A"/>
    <w:rsid w:val="00F81E9A"/>
    <w:rsid w:val="00F83ACE"/>
    <w:rsid w:val="00F85517"/>
    <w:rsid w:val="00F858BC"/>
    <w:rsid w:val="00F86787"/>
    <w:rsid w:val="00F8678C"/>
    <w:rsid w:val="00F868BC"/>
    <w:rsid w:val="00F90BBB"/>
    <w:rsid w:val="00F91FF3"/>
    <w:rsid w:val="00F92E36"/>
    <w:rsid w:val="00F9536E"/>
    <w:rsid w:val="00F95AB0"/>
    <w:rsid w:val="00F96BC1"/>
    <w:rsid w:val="00F975C7"/>
    <w:rsid w:val="00F97990"/>
    <w:rsid w:val="00FA32E9"/>
    <w:rsid w:val="00FA4293"/>
    <w:rsid w:val="00FA6CB4"/>
    <w:rsid w:val="00FA7FE6"/>
    <w:rsid w:val="00FB1596"/>
    <w:rsid w:val="00FB18F9"/>
    <w:rsid w:val="00FB1C13"/>
    <w:rsid w:val="00FB27CB"/>
    <w:rsid w:val="00FB39C7"/>
    <w:rsid w:val="00FB6AB2"/>
    <w:rsid w:val="00FB7AC5"/>
    <w:rsid w:val="00FC01E9"/>
    <w:rsid w:val="00FC3577"/>
    <w:rsid w:val="00FC53C9"/>
    <w:rsid w:val="00FC5D2F"/>
    <w:rsid w:val="00FC61A0"/>
    <w:rsid w:val="00FC6C95"/>
    <w:rsid w:val="00FC77D7"/>
    <w:rsid w:val="00FD01C8"/>
    <w:rsid w:val="00FD0938"/>
    <w:rsid w:val="00FD2867"/>
    <w:rsid w:val="00FD5FB7"/>
    <w:rsid w:val="00FD68D8"/>
    <w:rsid w:val="00FE02C2"/>
    <w:rsid w:val="00FE033B"/>
    <w:rsid w:val="00FE1039"/>
    <w:rsid w:val="00FE12F5"/>
    <w:rsid w:val="00FE1A2F"/>
    <w:rsid w:val="00FE2133"/>
    <w:rsid w:val="00FE4917"/>
    <w:rsid w:val="00FE5FFA"/>
    <w:rsid w:val="00FF0744"/>
    <w:rsid w:val="00FF2B7D"/>
    <w:rsid w:val="00FF2CB5"/>
    <w:rsid w:val="00FF3438"/>
    <w:rsid w:val="00FF3815"/>
    <w:rsid w:val="00FF51A7"/>
    <w:rsid w:val="00FF6661"/>
    <w:rsid w:val="00FF730F"/>
    <w:rsid w:val="02F7DCEE"/>
    <w:rsid w:val="09E8557C"/>
    <w:rsid w:val="0A61D1D1"/>
    <w:rsid w:val="0DC8367D"/>
    <w:rsid w:val="0F9B5129"/>
    <w:rsid w:val="102ACC4F"/>
    <w:rsid w:val="109F52D4"/>
    <w:rsid w:val="114C88E3"/>
    <w:rsid w:val="13B415E8"/>
    <w:rsid w:val="15898E74"/>
    <w:rsid w:val="1594DD38"/>
    <w:rsid w:val="167A59B1"/>
    <w:rsid w:val="1733A2F1"/>
    <w:rsid w:val="1750C662"/>
    <w:rsid w:val="1AD28912"/>
    <w:rsid w:val="250B45C1"/>
    <w:rsid w:val="27281A5B"/>
    <w:rsid w:val="28584F3F"/>
    <w:rsid w:val="2880BA35"/>
    <w:rsid w:val="295A58AC"/>
    <w:rsid w:val="29AA65B2"/>
    <w:rsid w:val="2C41E591"/>
    <w:rsid w:val="33218591"/>
    <w:rsid w:val="3503172A"/>
    <w:rsid w:val="3666A284"/>
    <w:rsid w:val="36868ADA"/>
    <w:rsid w:val="36982B53"/>
    <w:rsid w:val="3A5EAFC3"/>
    <w:rsid w:val="3B737954"/>
    <w:rsid w:val="3C382363"/>
    <w:rsid w:val="3C395253"/>
    <w:rsid w:val="3D678C9B"/>
    <w:rsid w:val="3E109886"/>
    <w:rsid w:val="3EB9A30E"/>
    <w:rsid w:val="437BD6FC"/>
    <w:rsid w:val="44429DD0"/>
    <w:rsid w:val="4477BAAE"/>
    <w:rsid w:val="44C2D65D"/>
    <w:rsid w:val="459749D5"/>
    <w:rsid w:val="46FF2C48"/>
    <w:rsid w:val="49BD2042"/>
    <w:rsid w:val="4ABEF480"/>
    <w:rsid w:val="4BCA7E0F"/>
    <w:rsid w:val="4CAC6EB3"/>
    <w:rsid w:val="4D47FC0F"/>
    <w:rsid w:val="507F382A"/>
    <w:rsid w:val="53D2CD6D"/>
    <w:rsid w:val="543FFC81"/>
    <w:rsid w:val="58187F3D"/>
    <w:rsid w:val="596E0020"/>
    <w:rsid w:val="59E2B976"/>
    <w:rsid w:val="5A89FB38"/>
    <w:rsid w:val="5E6E0A1E"/>
    <w:rsid w:val="5FCE31DC"/>
    <w:rsid w:val="66B6583D"/>
    <w:rsid w:val="67369328"/>
    <w:rsid w:val="680E9370"/>
    <w:rsid w:val="6879CBA9"/>
    <w:rsid w:val="6891B4C7"/>
    <w:rsid w:val="6C493B21"/>
    <w:rsid w:val="6D0F3649"/>
    <w:rsid w:val="6D99BB9F"/>
    <w:rsid w:val="71477C59"/>
    <w:rsid w:val="72201677"/>
    <w:rsid w:val="72435EA8"/>
    <w:rsid w:val="72F0FBBC"/>
    <w:rsid w:val="73E18CE9"/>
    <w:rsid w:val="7415E1DC"/>
    <w:rsid w:val="74ACB215"/>
    <w:rsid w:val="78CACC6A"/>
    <w:rsid w:val="7B514348"/>
    <w:rsid w:val="7BB1FC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FAAA6"/>
  <w15:chartTrackingRefBased/>
  <w15:docId w15:val="{B5C7C8C8-1FC4-4C67-B617-4514AA13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D95A1C"/>
  </w:style>
  <w:style w:type="paragraph" w:styleId="Nadpis1">
    <w:name w:val="heading 1"/>
    <w:basedOn w:val="ZPNadpis1"/>
    <w:next w:val="Odstavec1"/>
    <w:link w:val="Nadpis1Char"/>
    <w:uiPriority w:val="9"/>
    <w:qFormat/>
    <w:rsid w:val="00504943"/>
    <w:pPr>
      <w:numPr>
        <w:numId w:val="23"/>
      </w:numPr>
    </w:pPr>
  </w:style>
  <w:style w:type="paragraph" w:styleId="Nadpis2">
    <w:name w:val="heading 2"/>
    <w:basedOn w:val="ZPNadpis2"/>
    <w:next w:val="Odstavec1"/>
    <w:link w:val="Nadpis2Char"/>
    <w:uiPriority w:val="1"/>
    <w:qFormat/>
    <w:rsid w:val="00750D7A"/>
    <w:pPr>
      <w:numPr>
        <w:ilvl w:val="1"/>
        <w:numId w:val="23"/>
      </w:numPr>
    </w:pPr>
    <w:rPr>
      <w:bCs w:val="0"/>
      <w:iCs/>
    </w:rPr>
  </w:style>
  <w:style w:type="paragraph" w:styleId="Nadpis3">
    <w:name w:val="heading 3"/>
    <w:basedOn w:val="ZPNadpis3"/>
    <w:next w:val="Odstavec1"/>
    <w:link w:val="Nadpis3Char"/>
    <w:uiPriority w:val="9"/>
    <w:qFormat/>
    <w:rsid w:val="00504943"/>
    <w:pPr>
      <w:numPr>
        <w:ilvl w:val="2"/>
        <w:numId w:val="23"/>
      </w:numPr>
    </w:pPr>
  </w:style>
  <w:style w:type="paragraph" w:styleId="Nadpis4">
    <w:name w:val="heading 4"/>
    <w:basedOn w:val="ZPNadpis4"/>
    <w:next w:val="Normln"/>
    <w:link w:val="Nadpis4Char"/>
    <w:uiPriority w:val="9"/>
    <w:unhideWhenUsed/>
    <w:rsid w:val="00504943"/>
    <w:pPr>
      <w:numPr>
        <w:ilvl w:val="3"/>
        <w:numId w:val="23"/>
      </w:numPr>
      <w:spacing w:before="240" w:after="60"/>
      <w:outlineLvl w:val="3"/>
    </w:pPr>
    <w:rPr>
      <w:rFonts w:ascii="Arial" w:hAnsi="Arial"/>
      <w:bCs/>
      <w:szCs w:val="28"/>
    </w:rPr>
  </w:style>
  <w:style w:type="paragraph" w:styleId="Nadpis5">
    <w:name w:val="heading 5"/>
    <w:basedOn w:val="Nadpis3"/>
    <w:next w:val="Normln"/>
    <w:link w:val="Nadpis5Char"/>
    <w:uiPriority w:val="9"/>
    <w:unhideWhenUsed/>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20"/>
    <w:qFormat/>
    <w:rsid w:val="00A2558D"/>
    <w:pPr>
      <w:ind w:firstLine="482"/>
    </w:pPr>
  </w:style>
  <w:style w:type="character" w:customStyle="1" w:styleId="DalodstavceChar">
    <w:name w:val="Další odstavce Char"/>
    <w:basedOn w:val="ZPZkladChar"/>
    <w:link w:val="Dalodstavce"/>
    <w:uiPriority w:val="20"/>
    <w:rsid w:val="00656B43"/>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5"/>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8"/>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ZPSeznamploh"/>
    <w:uiPriority w:val="39"/>
    <w:rsid w:val="00D06678"/>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504943"/>
    <w:pPr>
      <w:numPr>
        <w:numId w:val="9"/>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7"/>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940DA7"/>
    <w:pPr>
      <w:numPr>
        <w:numId w:val="20"/>
      </w:numPr>
    </w:pPr>
  </w:style>
  <w:style w:type="paragraph" w:customStyle="1" w:styleId="Ploha2">
    <w:name w:val="Příloha 2"/>
    <w:basedOn w:val="ZPNadpis2"/>
    <w:next w:val="ZPZklad"/>
    <w:link w:val="Ploha2Char"/>
    <w:uiPriority w:val="50"/>
    <w:qFormat/>
    <w:rsid w:val="00940DA7"/>
    <w:pPr>
      <w:numPr>
        <w:ilvl w:val="1"/>
        <w:numId w:val="20"/>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6"/>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28"/>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940DA7"/>
    <w:pPr>
      <w:numPr>
        <w:numId w:val="10"/>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D95A1C"/>
    <w:rPr>
      <w:rFonts w:ascii="Arial" w:hAnsi="Arial"/>
      <w:b/>
      <w:bCs/>
      <w:color w:val="0000DC"/>
      <w:lang w:eastAsia="sk-SK"/>
    </w:rPr>
  </w:style>
  <w:style w:type="character" w:customStyle="1" w:styleId="Nadpis8Char">
    <w:name w:val="Nadpis 8 Char"/>
    <w:link w:val="Nadpis8"/>
    <w:uiPriority w:val="9"/>
    <w:rsid w:val="00AB6916"/>
    <w:rPr>
      <w:rFonts w:ascii="Arial" w:hAnsi="Arial"/>
      <w:b/>
      <w:color w:val="0000DC"/>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9B2498"/>
    <w:rPr>
      <w:rFonts w:ascii="Arial" w:hAnsi="Arial" w:cs="Arial"/>
      <w:b/>
      <w:bCs/>
      <w:color w:val="0000DC"/>
      <w:sz w:val="34"/>
      <w:szCs w:val="40"/>
    </w:rPr>
  </w:style>
  <w:style w:type="character" w:customStyle="1" w:styleId="Nadpis2Char">
    <w:name w:val="Nadpis 2 Char"/>
    <w:link w:val="Nadpis2"/>
    <w:uiPriority w:val="1"/>
    <w:rsid w:val="00750D7A"/>
    <w:rPr>
      <w:rFonts w:ascii="Arial" w:hAnsi="Arial" w:cs="Arial"/>
      <w:iCs/>
      <w:color w:val="0000DC"/>
      <w:sz w:val="28"/>
      <w:szCs w:val="28"/>
    </w:rPr>
  </w:style>
  <w:style w:type="character" w:customStyle="1" w:styleId="Nadpis3Char">
    <w:name w:val="Nadpis 3 Char"/>
    <w:link w:val="Nadpis3"/>
    <w:uiPriority w:val="9"/>
    <w:rsid w:val="00656B43"/>
    <w:rPr>
      <w:rFonts w:ascii="Arial" w:hAnsi="Arial" w:cs="Arial"/>
      <w:b/>
      <w:bCs/>
      <w:color w:val="0000DC"/>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F92E36"/>
    <w:pPr>
      <w:spacing w:line="280" w:lineRule="atLeast"/>
      <w:ind w:left="482" w:hanging="482"/>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A2558D"/>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29"/>
    <w:qFormat/>
    <w:rsid w:val="007D341B"/>
    <w:pPr>
      <w:spacing w:before="240" w:after="240"/>
      <w:ind w:left="960" w:right="960"/>
      <w:contextualSpacing/>
    </w:pPr>
    <w:rPr>
      <w:i/>
    </w:rPr>
  </w:style>
  <w:style w:type="character" w:customStyle="1" w:styleId="CittChar">
    <w:name w:val="Citát Char"/>
    <w:basedOn w:val="Standardnpsmoodstavce"/>
    <w:link w:val="Citt"/>
    <w:uiPriority w:val="29"/>
    <w:rsid w:val="00656B43"/>
    <w:rPr>
      <w:i/>
    </w:rPr>
  </w:style>
  <w:style w:type="paragraph" w:customStyle="1" w:styleId="Citt-pokraovn">
    <w:name w:val="Citát - pokračování"/>
    <w:basedOn w:val="Citt"/>
    <w:uiPriority w:val="31"/>
    <w:qFormat/>
    <w:rsid w:val="00E64A10"/>
    <w:pPr>
      <w:spacing w:before="0"/>
      <w:ind w:left="958" w:right="958" w:firstLine="482"/>
    </w:pPr>
  </w:style>
  <w:style w:type="table" w:customStyle="1" w:styleId="ZPTabulka">
    <w:name w:val="ZP Tabulka"/>
    <w:basedOn w:val="Normlntabulka"/>
    <w:uiPriority w:val="99"/>
    <w:rsid w:val="0079360C"/>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30"/>
    <w:qFormat/>
    <w:rsid w:val="00E64A10"/>
    <w:pPr>
      <w:spacing w:after="0"/>
      <w:ind w:left="958" w:right="958"/>
    </w:pPr>
  </w:style>
  <w:style w:type="character" w:customStyle="1" w:styleId="Citt-zatekChar">
    <w:name w:val="Citát - začátek Char"/>
    <w:basedOn w:val="CittChar"/>
    <w:link w:val="Citt-zatek"/>
    <w:uiPriority w:val="30"/>
    <w:rsid w:val="009B0541"/>
    <w:rPr>
      <w:i/>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qFormat/>
    <w:rsid w:val="00DD5A53"/>
    <w:pPr>
      <w:ind w:left="720"/>
      <w:contextualSpacing/>
    </w:pPr>
  </w:style>
  <w:style w:type="paragraph" w:styleId="slovanseznam">
    <w:name w:val="List Number"/>
    <w:basedOn w:val="ZPZklad"/>
    <w:uiPriority w:val="21"/>
    <w:qFormat/>
    <w:rsid w:val="00033D24"/>
    <w:pPr>
      <w:numPr>
        <w:numId w:val="11"/>
      </w:numPr>
      <w:spacing w:before="120" w:after="120"/>
      <w:ind w:left="544" w:hanging="62"/>
      <w:contextualSpacing/>
    </w:pPr>
  </w:style>
  <w:style w:type="paragraph" w:styleId="slovanseznam2">
    <w:name w:val="List Number 2"/>
    <w:basedOn w:val="Normln"/>
    <w:rsid w:val="00DD5A53"/>
    <w:pPr>
      <w:numPr>
        <w:numId w:val="12"/>
      </w:numPr>
      <w:contextualSpacing/>
    </w:pPr>
  </w:style>
  <w:style w:type="paragraph" w:styleId="slovanseznam3">
    <w:name w:val="List Number 3"/>
    <w:basedOn w:val="Normln"/>
    <w:rsid w:val="00DD5A53"/>
    <w:pPr>
      <w:numPr>
        <w:numId w:val="13"/>
      </w:numPr>
      <w:contextualSpacing/>
    </w:pPr>
  </w:style>
  <w:style w:type="paragraph" w:styleId="slovanseznam4">
    <w:name w:val="List Number 4"/>
    <w:basedOn w:val="Normln"/>
    <w:rsid w:val="00DD5A53"/>
    <w:pPr>
      <w:numPr>
        <w:numId w:val="14"/>
      </w:numPr>
      <w:contextualSpacing/>
    </w:pPr>
  </w:style>
  <w:style w:type="paragraph" w:styleId="slovanseznam5">
    <w:name w:val="List Number 5"/>
    <w:basedOn w:val="Normln"/>
    <w:rsid w:val="00DD5A53"/>
    <w:pPr>
      <w:numPr>
        <w:numId w:val="15"/>
      </w:numPr>
      <w:contextualSpacing/>
    </w:pPr>
  </w:style>
  <w:style w:type="paragraph" w:styleId="Seznamsodrkami">
    <w:name w:val="List Bullet"/>
    <w:basedOn w:val="ZPZklad"/>
    <w:uiPriority w:val="22"/>
    <w:qFormat/>
    <w:rsid w:val="004E740F"/>
    <w:pPr>
      <w:numPr>
        <w:numId w:val="16"/>
      </w:numPr>
      <w:spacing w:before="120" w:after="120"/>
      <w:ind w:left="539" w:hanging="255"/>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23"/>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656B43"/>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37037F"/>
    <w:pPr>
      <w:tabs>
        <w:tab w:val="left" w:pos="384"/>
      </w:tabs>
      <w:spacing w:after="240" w:line="240" w:lineRule="atLeast"/>
      <w:ind w:left="384" w:hanging="384"/>
      <w:jc w:val="left"/>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427DF1"/>
    <w:pPr>
      <w:numPr>
        <w:numId w:val="17"/>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next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paragraph" w:customStyle="1" w:styleId="Zdrojobrzku">
    <w:name w:val="Zdroj obrázku"/>
    <w:basedOn w:val="Popisobrzku"/>
    <w:next w:val="Odstavec1"/>
    <w:rsid w:val="00130C24"/>
    <w:pPr>
      <w:spacing w:before="120"/>
      <w:jc w:val="left"/>
    </w:pPr>
    <w:rPr>
      <w:i/>
    </w:rPr>
  </w:style>
  <w:style w:type="paragraph" w:customStyle="1" w:styleId="Poezie">
    <w:name w:val="Poezie"/>
    <w:basedOn w:val="Citt"/>
    <w:link w:val="PoezieChar"/>
    <w:uiPriority w:val="32"/>
    <w:qFormat/>
    <w:rsid w:val="00BB15FA"/>
    <w:pPr>
      <w:ind w:left="958" w:right="958"/>
      <w:contextualSpacing w:val="0"/>
      <w:jc w:val="left"/>
    </w:pPr>
  </w:style>
  <w:style w:type="paragraph" w:customStyle="1" w:styleId="Kdprogramu">
    <w:name w:val="Kód programu"/>
    <w:basedOn w:val="Normln"/>
    <w:link w:val="KdprogramuChar"/>
    <w:uiPriority w:val="74"/>
    <w:qFormat/>
    <w:rsid w:val="0032701E"/>
    <w:pPr>
      <w:spacing w:before="240" w:after="240"/>
      <w:contextualSpacing/>
    </w:pPr>
    <w:rPr>
      <w:rFonts w:ascii="Courier New" w:hAnsi="Courier New" w:cs="Courier New"/>
      <w:noProof/>
      <w:sz w:val="22"/>
      <w:szCs w:val="22"/>
    </w:rPr>
  </w:style>
  <w:style w:type="character" w:customStyle="1" w:styleId="PoezieChar">
    <w:name w:val="Poezie Char"/>
    <w:basedOn w:val="CittChar"/>
    <w:link w:val="Poezie"/>
    <w:uiPriority w:val="32"/>
    <w:rsid w:val="00656B43"/>
    <w:rPr>
      <w:i/>
    </w:rPr>
  </w:style>
  <w:style w:type="character" w:customStyle="1" w:styleId="KdprogramuChar">
    <w:name w:val="Kód programu Char"/>
    <w:basedOn w:val="Standardnpsmoodstavce"/>
    <w:link w:val="Kdprogramu"/>
    <w:uiPriority w:val="74"/>
    <w:rsid w:val="0032701E"/>
    <w:rPr>
      <w:rFonts w:ascii="Courier New" w:hAnsi="Courier New" w:cs="Courier New"/>
      <w:noProof/>
      <w:sz w:val="22"/>
      <w:szCs w:val="22"/>
    </w:rPr>
  </w:style>
  <w:style w:type="paragraph" w:customStyle="1" w:styleId="7C5D38C841C7463A9DD7C17FE250AFA711">
    <w:name w:val="7C5D38C841C7463A9DD7C17FE250AFA711"/>
    <w:rsid w:val="00032EBD"/>
    <w:pPr>
      <w:keepNext/>
      <w:keepLines/>
      <w:pageBreakBefore/>
      <w:numPr>
        <w:numId w:val="19"/>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9"/>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Ptirovovsmenseznam">
    <w:name w:val="Pětiúrovňový smíšený seznam"/>
    <w:uiPriority w:val="99"/>
    <w:rsid w:val="00D716C2"/>
    <w:pPr>
      <w:numPr>
        <w:numId w:val="21"/>
      </w:numPr>
    </w:pPr>
  </w:style>
  <w:style w:type="numbering" w:customStyle="1" w:styleId="Decimlnslovn">
    <w:name w:val="Decimální číslování"/>
    <w:uiPriority w:val="99"/>
    <w:rsid w:val="00AB0BEE"/>
    <w:pPr>
      <w:numPr>
        <w:numId w:val="22"/>
      </w:numPr>
    </w:pPr>
  </w:style>
  <w:style w:type="paragraph" w:customStyle="1" w:styleId="inZPPodpisypublikace">
    <w:name w:val="inZP: Podpisy publikace"/>
    <w:basedOn w:val="inZPPodpisprohlen"/>
    <w:link w:val="inZPPodpisypublikaceChar"/>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Odstavec1"/>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paragraph" w:customStyle="1" w:styleId="text">
    <w:name w:val="text"/>
    <w:basedOn w:val="Dalodstavce"/>
    <w:qFormat/>
    <w:rsid w:val="00E20729"/>
    <w:pPr>
      <w:ind w:firstLine="720"/>
    </w:pPr>
    <w:rPr>
      <w:rFonts w:asciiTheme="minorHAnsi" w:hAnsiTheme="minorHAnsi"/>
    </w:rPr>
  </w:style>
  <w:style w:type="paragraph" w:customStyle="1" w:styleId="tabulkanzev">
    <w:name w:val="tabulka název"/>
    <w:basedOn w:val="Normln"/>
    <w:qFormat/>
    <w:rsid w:val="001A0864"/>
    <w:pPr>
      <w:pBdr>
        <w:top w:val="nil"/>
        <w:left w:val="nil"/>
        <w:bottom w:val="nil"/>
        <w:right w:val="nil"/>
        <w:between w:val="nil"/>
      </w:pBdr>
      <w:spacing w:line="276" w:lineRule="auto"/>
      <w:jc w:val="center"/>
    </w:pPr>
    <w:rPr>
      <w:rFonts w:asciiTheme="minorHAnsi" w:eastAsia="Arial" w:hAnsiTheme="minorHAnsi" w:cs="Arial"/>
      <w:b/>
      <w:sz w:val="22"/>
      <w:szCs w:val="22"/>
      <w:lang w:val="cs"/>
    </w:rPr>
  </w:style>
  <w:style w:type="paragraph" w:customStyle="1" w:styleId="pramen">
    <w:name w:val="pramen"/>
    <w:basedOn w:val="Normln"/>
    <w:qFormat/>
    <w:rsid w:val="009C7E30"/>
    <w:pPr>
      <w:spacing w:after="240" w:line="276" w:lineRule="auto"/>
      <w:jc w:val="both"/>
    </w:pPr>
    <w:rPr>
      <w:rFonts w:asciiTheme="minorHAnsi" w:eastAsia="Arial" w:hAnsiTheme="minorHAnsi" w:cs="Arial"/>
      <w:i/>
      <w:sz w:val="18"/>
      <w:szCs w:val="18"/>
      <w:lang w:val="cs"/>
    </w:rPr>
  </w:style>
  <w:style w:type="paragraph" w:customStyle="1" w:styleId="N1">
    <w:name w:val="N1"/>
    <w:basedOn w:val="Nadpis1"/>
    <w:qFormat/>
    <w:rsid w:val="00A47636"/>
    <w:pPr>
      <w:pageBreakBefore w:val="0"/>
      <w:numPr>
        <w:numId w:val="24"/>
      </w:numPr>
      <w:spacing w:before="500" w:after="300" w:line="360" w:lineRule="exact"/>
    </w:pPr>
    <w:rPr>
      <w:rFonts w:asciiTheme="minorHAnsi" w:hAnsiTheme="minorHAnsi"/>
      <w:bCs w:val="0"/>
      <w:iCs/>
      <w:color w:val="000000" w:themeColor="text1"/>
      <w:sz w:val="32"/>
      <w:szCs w:val="28"/>
    </w:rPr>
  </w:style>
  <w:style w:type="paragraph" w:customStyle="1" w:styleId="N2">
    <w:name w:val="N2"/>
    <w:basedOn w:val="N1"/>
    <w:qFormat/>
    <w:rsid w:val="00A47636"/>
    <w:pPr>
      <w:numPr>
        <w:ilvl w:val="1"/>
      </w:numPr>
      <w:outlineLvl w:val="1"/>
    </w:pPr>
    <w:rPr>
      <w:b w:val="0"/>
      <w:sz w:val="28"/>
    </w:rPr>
  </w:style>
  <w:style w:type="paragraph" w:customStyle="1" w:styleId="Titulekgraf">
    <w:name w:val="Titulek grafů"/>
    <w:basedOn w:val="Titulektabulky"/>
    <w:next w:val="Odstavec1"/>
    <w:rsid w:val="00977E6D"/>
    <w:rPr>
      <w:noProof/>
    </w:rPr>
  </w:style>
  <w:style w:type="character" w:styleId="Sledovanodkaz">
    <w:name w:val="FollowedHyperlink"/>
    <w:basedOn w:val="Standardnpsmoodstavce"/>
    <w:uiPriority w:val="99"/>
    <w:rsid w:val="00895BA8"/>
    <w:rPr>
      <w:color w:val="954F72" w:themeColor="followedHyperlink"/>
      <w:u w:val="single"/>
    </w:rPr>
  </w:style>
  <w:style w:type="character" w:styleId="Nevyeenzmnka">
    <w:name w:val="Unresolved Mention"/>
    <w:basedOn w:val="Standardnpsmoodstavce"/>
    <w:uiPriority w:val="99"/>
    <w:semiHidden/>
    <w:unhideWhenUsed/>
    <w:rsid w:val="005C49FD"/>
    <w:rPr>
      <w:color w:val="605E5C"/>
      <w:shd w:val="clear" w:color="auto" w:fill="E1DFDD"/>
    </w:rPr>
  </w:style>
  <w:style w:type="paragraph" w:styleId="Bezmezer">
    <w:name w:val="No Spacing"/>
    <w:uiPriority w:val="1"/>
    <w:qFormat/>
    <w:rsid w:val="00A42133"/>
  </w:style>
  <w:style w:type="character" w:customStyle="1" w:styleId="x4k7w5x">
    <w:name w:val="x4k7w5x"/>
    <w:basedOn w:val="Standardnpsmoodstavce"/>
    <w:rsid w:val="00512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53651556">
      <w:bodyDiv w:val="1"/>
      <w:marLeft w:val="0"/>
      <w:marRight w:val="0"/>
      <w:marTop w:val="0"/>
      <w:marBottom w:val="0"/>
      <w:divBdr>
        <w:top w:val="none" w:sz="0" w:space="0" w:color="auto"/>
        <w:left w:val="none" w:sz="0" w:space="0" w:color="auto"/>
        <w:bottom w:val="none" w:sz="0" w:space="0" w:color="auto"/>
        <w:right w:val="none" w:sz="0" w:space="0" w:color="auto"/>
      </w:divBdr>
      <w:divsChild>
        <w:div w:id="324935382">
          <w:marLeft w:val="0"/>
          <w:marRight w:val="0"/>
          <w:marTop w:val="0"/>
          <w:marBottom w:val="0"/>
          <w:divBdr>
            <w:top w:val="none" w:sz="0" w:space="0" w:color="auto"/>
            <w:left w:val="none" w:sz="0" w:space="0" w:color="auto"/>
            <w:bottom w:val="none" w:sz="0" w:space="0" w:color="auto"/>
            <w:right w:val="none" w:sz="0" w:space="0" w:color="auto"/>
          </w:divBdr>
          <w:divsChild>
            <w:div w:id="995190134">
              <w:marLeft w:val="0"/>
              <w:marRight w:val="0"/>
              <w:marTop w:val="0"/>
              <w:marBottom w:val="0"/>
              <w:divBdr>
                <w:top w:val="none" w:sz="0" w:space="0" w:color="auto"/>
                <w:left w:val="none" w:sz="0" w:space="0" w:color="auto"/>
                <w:bottom w:val="none" w:sz="0" w:space="0" w:color="auto"/>
                <w:right w:val="none" w:sz="0" w:space="0" w:color="auto"/>
              </w:divBdr>
              <w:divsChild>
                <w:div w:id="537662937">
                  <w:marLeft w:val="0"/>
                  <w:marRight w:val="0"/>
                  <w:marTop w:val="0"/>
                  <w:marBottom w:val="0"/>
                  <w:divBdr>
                    <w:top w:val="none" w:sz="0" w:space="0" w:color="auto"/>
                    <w:left w:val="none" w:sz="0" w:space="0" w:color="auto"/>
                    <w:bottom w:val="none" w:sz="0" w:space="0" w:color="auto"/>
                    <w:right w:val="none" w:sz="0" w:space="0" w:color="auto"/>
                  </w:divBdr>
                  <w:divsChild>
                    <w:div w:id="2034109772">
                      <w:marLeft w:val="0"/>
                      <w:marRight w:val="0"/>
                      <w:marTop w:val="0"/>
                      <w:marBottom w:val="0"/>
                      <w:divBdr>
                        <w:top w:val="none" w:sz="0" w:space="0" w:color="auto"/>
                        <w:left w:val="none" w:sz="0" w:space="0" w:color="auto"/>
                        <w:bottom w:val="none" w:sz="0" w:space="0" w:color="auto"/>
                        <w:right w:val="none" w:sz="0" w:space="0" w:color="auto"/>
                      </w:divBdr>
                      <w:divsChild>
                        <w:div w:id="73824071">
                          <w:marLeft w:val="0"/>
                          <w:marRight w:val="0"/>
                          <w:marTop w:val="0"/>
                          <w:marBottom w:val="0"/>
                          <w:divBdr>
                            <w:top w:val="none" w:sz="0" w:space="0" w:color="auto"/>
                            <w:left w:val="none" w:sz="0" w:space="0" w:color="auto"/>
                            <w:bottom w:val="none" w:sz="0" w:space="0" w:color="auto"/>
                            <w:right w:val="none" w:sz="0" w:space="0" w:color="auto"/>
                          </w:divBdr>
                          <w:divsChild>
                            <w:div w:id="758912802">
                              <w:marLeft w:val="0"/>
                              <w:marRight w:val="0"/>
                              <w:marTop w:val="0"/>
                              <w:marBottom w:val="0"/>
                              <w:divBdr>
                                <w:top w:val="none" w:sz="0" w:space="0" w:color="auto"/>
                                <w:left w:val="none" w:sz="0" w:space="0" w:color="auto"/>
                                <w:bottom w:val="none" w:sz="0" w:space="0" w:color="auto"/>
                                <w:right w:val="none" w:sz="0" w:space="0" w:color="auto"/>
                              </w:divBdr>
                              <w:divsChild>
                                <w:div w:id="5969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46187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19523974">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861435961">
      <w:bodyDiv w:val="1"/>
      <w:marLeft w:val="0"/>
      <w:marRight w:val="0"/>
      <w:marTop w:val="0"/>
      <w:marBottom w:val="0"/>
      <w:divBdr>
        <w:top w:val="none" w:sz="0" w:space="0" w:color="auto"/>
        <w:left w:val="none" w:sz="0" w:space="0" w:color="auto"/>
        <w:bottom w:val="none" w:sz="0" w:space="0" w:color="auto"/>
        <w:right w:val="none" w:sz="0" w:space="0" w:color="auto"/>
      </w:divBdr>
    </w:div>
    <w:div w:id="879560286">
      <w:bodyDiv w:val="1"/>
      <w:marLeft w:val="0"/>
      <w:marRight w:val="0"/>
      <w:marTop w:val="0"/>
      <w:marBottom w:val="0"/>
      <w:divBdr>
        <w:top w:val="none" w:sz="0" w:space="0" w:color="auto"/>
        <w:left w:val="none" w:sz="0" w:space="0" w:color="auto"/>
        <w:bottom w:val="none" w:sz="0" w:space="0" w:color="auto"/>
        <w:right w:val="none" w:sz="0" w:space="0" w:color="auto"/>
      </w:divBdr>
      <w:divsChild>
        <w:div w:id="1999578409">
          <w:marLeft w:val="0"/>
          <w:marRight w:val="0"/>
          <w:marTop w:val="0"/>
          <w:marBottom w:val="0"/>
          <w:divBdr>
            <w:top w:val="none" w:sz="0" w:space="0" w:color="auto"/>
            <w:left w:val="none" w:sz="0" w:space="0" w:color="auto"/>
            <w:bottom w:val="none" w:sz="0" w:space="0" w:color="auto"/>
            <w:right w:val="none" w:sz="0" w:space="0" w:color="auto"/>
          </w:divBdr>
        </w:div>
      </w:divsChild>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32724415">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37784264">
      <w:bodyDiv w:val="1"/>
      <w:marLeft w:val="0"/>
      <w:marRight w:val="0"/>
      <w:marTop w:val="0"/>
      <w:marBottom w:val="0"/>
      <w:divBdr>
        <w:top w:val="none" w:sz="0" w:space="0" w:color="auto"/>
        <w:left w:val="none" w:sz="0" w:space="0" w:color="auto"/>
        <w:bottom w:val="none" w:sz="0" w:space="0" w:color="auto"/>
        <w:right w:val="none" w:sz="0" w:space="0" w:color="auto"/>
      </w:divBdr>
      <w:divsChild>
        <w:div w:id="1906256520">
          <w:marLeft w:val="0"/>
          <w:marRight w:val="0"/>
          <w:marTop w:val="0"/>
          <w:marBottom w:val="0"/>
          <w:divBdr>
            <w:top w:val="none" w:sz="0" w:space="0" w:color="auto"/>
            <w:left w:val="none" w:sz="0" w:space="0" w:color="auto"/>
            <w:bottom w:val="none" w:sz="0" w:space="0" w:color="auto"/>
            <w:right w:val="none" w:sz="0" w:space="0" w:color="auto"/>
          </w:divBdr>
        </w:div>
      </w:divsChild>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54905277">
      <w:bodyDiv w:val="1"/>
      <w:marLeft w:val="0"/>
      <w:marRight w:val="0"/>
      <w:marTop w:val="0"/>
      <w:marBottom w:val="0"/>
      <w:divBdr>
        <w:top w:val="none" w:sz="0" w:space="0" w:color="auto"/>
        <w:left w:val="none" w:sz="0" w:space="0" w:color="auto"/>
        <w:bottom w:val="none" w:sz="0" w:space="0" w:color="auto"/>
        <w:right w:val="none" w:sz="0" w:space="0" w:color="auto"/>
      </w:divBdr>
      <w:divsChild>
        <w:div w:id="458228128">
          <w:marLeft w:val="0"/>
          <w:marRight w:val="0"/>
          <w:marTop w:val="0"/>
          <w:marBottom w:val="0"/>
          <w:divBdr>
            <w:top w:val="none" w:sz="0" w:space="0" w:color="auto"/>
            <w:left w:val="none" w:sz="0" w:space="0" w:color="auto"/>
            <w:bottom w:val="none" w:sz="0" w:space="0" w:color="auto"/>
            <w:right w:val="none" w:sz="0" w:space="0" w:color="auto"/>
          </w:divBdr>
        </w:div>
      </w:divsChild>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5542817">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05648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38766807">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895121405">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diagramColors" Target="diagrams/colors1.xml"/><Relationship Id="rId47" Type="http://schemas.openxmlformats.org/officeDocument/2006/relationships/chart" Target="charts/chart3.xml"/><Relationship Id="rId50" Type="http://schemas.openxmlformats.org/officeDocument/2006/relationships/image" Target="media/image24.png"/><Relationship Id="rId55" Type="http://schemas.openxmlformats.org/officeDocument/2006/relationships/hyperlink" Target="https://eur-lex.europa.eu/legal-content/CS/TXT/?uri=CELEX%3A32014R0651" TargetMode="External"/><Relationship Id="rId63"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image" Target="media/image20.png"/><Relationship Id="rId53" Type="http://schemas.openxmlformats.org/officeDocument/2006/relationships/header" Target="header6.xml"/><Relationship Id="rId58" Type="http://schemas.openxmlformats.org/officeDocument/2006/relationships/hyperlink" Target="https://www.mpo.cz/cz/rozcestnik/analyticke-materialy-a-statistiky/analyticke-materialy/"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header" Target="header4.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microsoft.com/office/2007/relationships/diagramDrawing" Target="diagrams/drawing1.xml"/><Relationship Id="rId48" Type="http://schemas.openxmlformats.org/officeDocument/2006/relationships/image" Target="media/image22.png"/><Relationship Id="rId56" Type="http://schemas.openxmlformats.org/officeDocument/2006/relationships/hyperlink" Target="https://www.sklabel.cz/cs" TargetMode="External"/><Relationship Id="rId64"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header" Target="header7.xml"/><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diagramQuickStyle" Target="diagrams/quickStyle1.xml"/><Relationship Id="rId54" Type="http://schemas.openxmlformats.org/officeDocument/2006/relationships/hyperlink" Target="https://eur-lex.europa.eu/legal-content/CS/TXT/?uri=CELEX%3A32014R0651" TargetMode="External"/><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yperlink" Target="https://or.justice.cz/ias/ui/rejstrik" TargetMode="Externa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19.png"/><Relationship Id="rId52" Type="http://schemas.openxmlformats.org/officeDocument/2006/relationships/header" Target="header5.xml"/><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diagramData" Target="diagrams/data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ab\OneDrive%20-%20MUNI\Documents\2.%20sem%20Nmgr\sablonaDP-MUNI-ECON-dip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6f530ec7cdf7766/Plocha/Muni/2.%20semestr%20ing/Fin.%20mng/horizont&#225;ln&#237;%20a%20vertik&#225;ln&#23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cnmuni-my.sharepoint.com/personal/478871_muni_cz/Documents/Documents/2.%20sem%20Nmgr/FM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cnmuni-my.sharepoint.com/personal/478871_muni_cz/Documents/Documents/2.%20sem%20Nmgr/FMAN/FMA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Aktiva</a:t>
            </a:r>
            <a:r>
              <a:rPr lang="cs-CZ" baseline="0"/>
              <a:t> společnosti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'[horizontální a vertikální.xlsx]Vertikální analýza'!$C$5</c:f>
              <c:strCache>
                <c:ptCount val="1"/>
                <c:pt idx="0">
                  <c:v>B. Stálá aktiva</c:v>
                </c:pt>
              </c:strCache>
            </c:strRef>
          </c:tx>
          <c:spPr>
            <a:solidFill>
              <a:schemeClr val="accent1"/>
            </a:solidFill>
            <a:ln>
              <a:noFill/>
            </a:ln>
            <a:effectLst/>
          </c:spPr>
          <c:invertIfNegative val="0"/>
          <c:val>
            <c:numRef>
              <c:f>'[horizontální a vertikální.xlsx]Vertikální analýza'!$D$5:$M$5</c:f>
              <c:numCache>
                <c:formatCode>0%</c:formatCode>
                <c:ptCount val="5"/>
                <c:pt idx="0">
                  <c:v>0.30996121606405602</c:v>
                </c:pt>
                <c:pt idx="1">
                  <c:v>0.36119541983876308</c:v>
                </c:pt>
                <c:pt idx="2">
                  <c:v>0.31744219747200814</c:v>
                </c:pt>
                <c:pt idx="3">
                  <c:v>0.42097964543663824</c:v>
                </c:pt>
                <c:pt idx="4">
                  <c:v>0.22121502719426575</c:v>
                </c:pt>
              </c:numCache>
            </c:numRef>
          </c:val>
          <c:extLst>
            <c:ext xmlns:c16="http://schemas.microsoft.com/office/drawing/2014/chart" uri="{C3380CC4-5D6E-409C-BE32-E72D297353CC}">
              <c16:uniqueId val="{00000000-57F6-494B-A1C1-B520E55E044C}"/>
            </c:ext>
          </c:extLst>
        </c:ser>
        <c:ser>
          <c:idx val="1"/>
          <c:order val="1"/>
          <c:tx>
            <c:strRef>
              <c:f>'[horizontální a vertikální.xlsx]Vertikální analýza'!$C$8</c:f>
              <c:strCache>
                <c:ptCount val="1"/>
                <c:pt idx="0">
                  <c:v>C. Oběžná aktiva</c:v>
                </c:pt>
              </c:strCache>
            </c:strRef>
          </c:tx>
          <c:spPr>
            <a:solidFill>
              <a:schemeClr val="accent2"/>
            </a:solidFill>
            <a:ln>
              <a:noFill/>
            </a:ln>
            <a:effectLst/>
          </c:spPr>
          <c:invertIfNegative val="0"/>
          <c:val>
            <c:numRef>
              <c:f>'[horizontální a vertikální.xlsx]Vertikální analýza'!$D$8:$M$8</c:f>
              <c:numCache>
                <c:formatCode>0%</c:formatCode>
                <c:ptCount val="5"/>
                <c:pt idx="0">
                  <c:v>0.66603277868134614</c:v>
                </c:pt>
                <c:pt idx="1">
                  <c:v>0.60949132383714733</c:v>
                </c:pt>
                <c:pt idx="2">
                  <c:v>0.65321440612301629</c:v>
                </c:pt>
                <c:pt idx="3">
                  <c:v>0.56579908076165464</c:v>
                </c:pt>
                <c:pt idx="4">
                  <c:v>0.76839025346315648</c:v>
                </c:pt>
              </c:numCache>
            </c:numRef>
          </c:val>
          <c:extLst>
            <c:ext xmlns:c16="http://schemas.microsoft.com/office/drawing/2014/chart" uri="{C3380CC4-5D6E-409C-BE32-E72D297353CC}">
              <c16:uniqueId val="{00000001-57F6-494B-A1C1-B520E55E044C}"/>
            </c:ext>
          </c:extLst>
        </c:ser>
        <c:ser>
          <c:idx val="2"/>
          <c:order val="2"/>
          <c:tx>
            <c:strRef>
              <c:f>'[horizontální a vertikální.xlsx]Vertikální analýza'!$C$14</c:f>
              <c:strCache>
                <c:ptCount val="1"/>
                <c:pt idx="0">
                  <c:v>C.III. Peněžní prostředky</c:v>
                </c:pt>
              </c:strCache>
            </c:strRef>
          </c:tx>
          <c:spPr>
            <a:solidFill>
              <a:schemeClr val="accent3"/>
            </a:solidFill>
            <a:ln>
              <a:noFill/>
            </a:ln>
            <a:effectLst/>
          </c:spPr>
          <c:invertIfNegative val="0"/>
          <c:val>
            <c:numRef>
              <c:f>'[horizontální a vertikální.xlsx]Vertikální analýza'!$D$14:$M$14</c:f>
              <c:numCache>
                <c:formatCode>0%</c:formatCode>
                <c:ptCount val="5"/>
                <c:pt idx="0">
                  <c:v>0.12023520580507945</c:v>
                </c:pt>
                <c:pt idx="1">
                  <c:v>7.3078368780400235E-2</c:v>
                </c:pt>
                <c:pt idx="2">
                  <c:v>2.5534255650126871E-2</c:v>
                </c:pt>
                <c:pt idx="3">
                  <c:v>5.089428759028234E-2</c:v>
                </c:pt>
                <c:pt idx="4">
                  <c:v>9.1417531726643381E-2</c:v>
                </c:pt>
              </c:numCache>
            </c:numRef>
          </c:val>
          <c:extLst>
            <c:ext xmlns:c16="http://schemas.microsoft.com/office/drawing/2014/chart" uri="{C3380CC4-5D6E-409C-BE32-E72D297353CC}">
              <c16:uniqueId val="{00000002-57F6-494B-A1C1-B520E55E044C}"/>
            </c:ext>
          </c:extLst>
        </c:ser>
        <c:dLbls>
          <c:showLegendKey val="0"/>
          <c:showVal val="0"/>
          <c:showCatName val="0"/>
          <c:showSerName val="0"/>
          <c:showPercent val="0"/>
          <c:showBubbleSize val="0"/>
        </c:dLbls>
        <c:gapWidth val="150"/>
        <c:overlap val="100"/>
        <c:axId val="1384104207"/>
        <c:axId val="1384094223"/>
      </c:barChart>
      <c:catAx>
        <c:axId val="13841042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4094223"/>
        <c:crosses val="autoZero"/>
        <c:auto val="1"/>
        <c:lblAlgn val="ctr"/>
        <c:lblOffset val="100"/>
        <c:noMultiLvlLbl val="0"/>
      </c:catAx>
      <c:valAx>
        <c:axId val="1384094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410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a:t>
            </a:r>
            <a:r>
              <a:rPr lang="cs-CZ"/>
              <a:t>tikální</a:t>
            </a:r>
            <a:r>
              <a:rPr lang="cs-CZ" baseline="0"/>
              <a:t> analýza VZZ</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List1!$B$3</c:f>
              <c:strCache>
                <c:ptCount val="1"/>
                <c:pt idx="0">
                  <c:v>Tržby z prodeje výrobků a služeb</c:v>
                </c:pt>
              </c:strCache>
            </c:strRef>
          </c:tx>
          <c:spPr>
            <a:solidFill>
              <a:schemeClr val="accent1"/>
            </a:solidFill>
            <a:ln>
              <a:noFill/>
            </a:ln>
            <a:effectLst/>
          </c:spPr>
          <c:invertIfNegative val="0"/>
          <c:cat>
            <c:numRef>
              <c:f>List1!$C$2:$G$2</c:f>
              <c:numCache>
                <c:formatCode>General</c:formatCode>
                <c:ptCount val="5"/>
                <c:pt idx="0">
                  <c:v>2021</c:v>
                </c:pt>
                <c:pt idx="1">
                  <c:v>2020</c:v>
                </c:pt>
                <c:pt idx="2">
                  <c:v>2019</c:v>
                </c:pt>
                <c:pt idx="3">
                  <c:v>2018</c:v>
                </c:pt>
                <c:pt idx="4">
                  <c:v>2017</c:v>
                </c:pt>
              </c:numCache>
            </c:numRef>
          </c:cat>
          <c:val>
            <c:numRef>
              <c:f>List1!$C$3:$G$3</c:f>
              <c:numCache>
                <c:formatCode>0.00%</c:formatCode>
                <c:ptCount val="5"/>
                <c:pt idx="0">
                  <c:v>0.94299999999999995</c:v>
                </c:pt>
                <c:pt idx="1">
                  <c:v>0.95199999999999996</c:v>
                </c:pt>
                <c:pt idx="2">
                  <c:v>0.93899999999999995</c:v>
                </c:pt>
                <c:pt idx="3">
                  <c:v>0.93100000000000005</c:v>
                </c:pt>
                <c:pt idx="4">
                  <c:v>0.92300000000000004</c:v>
                </c:pt>
              </c:numCache>
            </c:numRef>
          </c:val>
          <c:extLst>
            <c:ext xmlns:c16="http://schemas.microsoft.com/office/drawing/2014/chart" uri="{C3380CC4-5D6E-409C-BE32-E72D297353CC}">
              <c16:uniqueId val="{00000000-14E8-4B20-A845-7AA4895E899A}"/>
            </c:ext>
          </c:extLst>
        </c:ser>
        <c:ser>
          <c:idx val="1"/>
          <c:order val="1"/>
          <c:tx>
            <c:strRef>
              <c:f>List1!$B$4</c:f>
              <c:strCache>
                <c:ptCount val="1"/>
                <c:pt idx="0">
                  <c:v>Tržby za prodej zboží</c:v>
                </c:pt>
              </c:strCache>
            </c:strRef>
          </c:tx>
          <c:spPr>
            <a:solidFill>
              <a:schemeClr val="accent2"/>
            </a:solidFill>
            <a:ln>
              <a:noFill/>
            </a:ln>
            <a:effectLst/>
          </c:spPr>
          <c:invertIfNegative val="0"/>
          <c:cat>
            <c:numRef>
              <c:f>List1!$C$2:$G$2</c:f>
              <c:numCache>
                <c:formatCode>General</c:formatCode>
                <c:ptCount val="5"/>
                <c:pt idx="0">
                  <c:v>2021</c:v>
                </c:pt>
                <c:pt idx="1">
                  <c:v>2020</c:v>
                </c:pt>
                <c:pt idx="2">
                  <c:v>2019</c:v>
                </c:pt>
                <c:pt idx="3">
                  <c:v>2018</c:v>
                </c:pt>
                <c:pt idx="4">
                  <c:v>2017</c:v>
                </c:pt>
              </c:numCache>
            </c:numRef>
          </c:cat>
          <c:val>
            <c:numRef>
              <c:f>List1!$C$4:$G$4</c:f>
              <c:numCache>
                <c:formatCode>0.00%</c:formatCode>
                <c:ptCount val="5"/>
                <c:pt idx="0">
                  <c:v>0.03</c:v>
                </c:pt>
                <c:pt idx="1">
                  <c:v>2.5000000000000001E-2</c:v>
                </c:pt>
                <c:pt idx="2">
                  <c:v>4.4999999999999998E-2</c:v>
                </c:pt>
                <c:pt idx="3">
                  <c:v>5.2999999999999999E-2</c:v>
                </c:pt>
                <c:pt idx="4">
                  <c:v>5.5E-2</c:v>
                </c:pt>
              </c:numCache>
            </c:numRef>
          </c:val>
          <c:extLst>
            <c:ext xmlns:c16="http://schemas.microsoft.com/office/drawing/2014/chart" uri="{C3380CC4-5D6E-409C-BE32-E72D297353CC}">
              <c16:uniqueId val="{00000001-14E8-4B20-A845-7AA4895E899A}"/>
            </c:ext>
          </c:extLst>
        </c:ser>
        <c:ser>
          <c:idx val="2"/>
          <c:order val="2"/>
          <c:tx>
            <c:strRef>
              <c:f>List1!$B$5</c:f>
              <c:strCache>
                <c:ptCount val="1"/>
                <c:pt idx="0">
                  <c:v>Výkonová spotřeba</c:v>
                </c:pt>
              </c:strCache>
            </c:strRef>
          </c:tx>
          <c:spPr>
            <a:solidFill>
              <a:schemeClr val="accent3"/>
            </a:solidFill>
            <a:ln>
              <a:noFill/>
            </a:ln>
            <a:effectLst/>
          </c:spPr>
          <c:invertIfNegative val="0"/>
          <c:cat>
            <c:numRef>
              <c:f>List1!$C$2:$G$2</c:f>
              <c:numCache>
                <c:formatCode>General</c:formatCode>
                <c:ptCount val="5"/>
                <c:pt idx="0">
                  <c:v>2021</c:v>
                </c:pt>
                <c:pt idx="1">
                  <c:v>2020</c:v>
                </c:pt>
                <c:pt idx="2">
                  <c:v>2019</c:v>
                </c:pt>
                <c:pt idx="3">
                  <c:v>2018</c:v>
                </c:pt>
                <c:pt idx="4">
                  <c:v>2017</c:v>
                </c:pt>
              </c:numCache>
            </c:numRef>
          </c:cat>
          <c:val>
            <c:numRef>
              <c:f>List1!$C$5:$G$5</c:f>
              <c:numCache>
                <c:formatCode>0.00%</c:formatCode>
                <c:ptCount val="5"/>
                <c:pt idx="0">
                  <c:v>0.66900000000000004</c:v>
                </c:pt>
                <c:pt idx="1">
                  <c:v>0.68700000000000006</c:v>
                </c:pt>
                <c:pt idx="2">
                  <c:v>0.72299999999999998</c:v>
                </c:pt>
                <c:pt idx="3">
                  <c:v>0.73899999999999999</c:v>
                </c:pt>
                <c:pt idx="4">
                  <c:v>0.71599999999999997</c:v>
                </c:pt>
              </c:numCache>
            </c:numRef>
          </c:val>
          <c:extLst>
            <c:ext xmlns:c16="http://schemas.microsoft.com/office/drawing/2014/chart" uri="{C3380CC4-5D6E-409C-BE32-E72D297353CC}">
              <c16:uniqueId val="{00000002-14E8-4B20-A845-7AA4895E899A}"/>
            </c:ext>
          </c:extLst>
        </c:ser>
        <c:ser>
          <c:idx val="3"/>
          <c:order val="3"/>
          <c:tx>
            <c:strRef>
              <c:f>List1!$B$6</c:f>
              <c:strCache>
                <c:ptCount val="1"/>
                <c:pt idx="0">
                  <c:v>Osobní náklady</c:v>
                </c:pt>
              </c:strCache>
            </c:strRef>
          </c:tx>
          <c:spPr>
            <a:solidFill>
              <a:schemeClr val="accent4"/>
            </a:solidFill>
            <a:ln>
              <a:noFill/>
            </a:ln>
            <a:effectLst/>
          </c:spPr>
          <c:invertIfNegative val="0"/>
          <c:cat>
            <c:numRef>
              <c:f>List1!$C$2:$G$2</c:f>
              <c:numCache>
                <c:formatCode>General</c:formatCode>
                <c:ptCount val="5"/>
                <c:pt idx="0">
                  <c:v>2021</c:v>
                </c:pt>
                <c:pt idx="1">
                  <c:v>2020</c:v>
                </c:pt>
                <c:pt idx="2">
                  <c:v>2019</c:v>
                </c:pt>
                <c:pt idx="3">
                  <c:v>2018</c:v>
                </c:pt>
                <c:pt idx="4">
                  <c:v>2017</c:v>
                </c:pt>
              </c:numCache>
            </c:numRef>
          </c:cat>
          <c:val>
            <c:numRef>
              <c:f>List1!$C$6:$G$6</c:f>
              <c:numCache>
                <c:formatCode>0.00%</c:formatCode>
                <c:ptCount val="5"/>
                <c:pt idx="0">
                  <c:v>0.20399999999999999</c:v>
                </c:pt>
                <c:pt idx="1">
                  <c:v>0.217</c:v>
                </c:pt>
                <c:pt idx="2">
                  <c:v>0.216</c:v>
                </c:pt>
                <c:pt idx="3">
                  <c:v>0.215</c:v>
                </c:pt>
                <c:pt idx="4">
                  <c:v>0.19800000000000001</c:v>
                </c:pt>
              </c:numCache>
            </c:numRef>
          </c:val>
          <c:extLst>
            <c:ext xmlns:c16="http://schemas.microsoft.com/office/drawing/2014/chart" uri="{C3380CC4-5D6E-409C-BE32-E72D297353CC}">
              <c16:uniqueId val="{00000003-14E8-4B20-A845-7AA4895E899A}"/>
            </c:ext>
          </c:extLst>
        </c:ser>
        <c:ser>
          <c:idx val="4"/>
          <c:order val="4"/>
          <c:tx>
            <c:strRef>
              <c:f>List1!$B$7</c:f>
              <c:strCache>
                <c:ptCount val="1"/>
                <c:pt idx="0">
                  <c:v>Provozní výsledek hospodaření</c:v>
                </c:pt>
              </c:strCache>
            </c:strRef>
          </c:tx>
          <c:spPr>
            <a:solidFill>
              <a:schemeClr val="accent5"/>
            </a:solidFill>
            <a:ln>
              <a:noFill/>
            </a:ln>
            <a:effectLst/>
          </c:spPr>
          <c:invertIfNegative val="0"/>
          <c:cat>
            <c:numRef>
              <c:f>List1!$C$2:$G$2</c:f>
              <c:numCache>
                <c:formatCode>General</c:formatCode>
                <c:ptCount val="5"/>
                <c:pt idx="0">
                  <c:v>2021</c:v>
                </c:pt>
                <c:pt idx="1">
                  <c:v>2020</c:v>
                </c:pt>
                <c:pt idx="2">
                  <c:v>2019</c:v>
                </c:pt>
                <c:pt idx="3">
                  <c:v>2018</c:v>
                </c:pt>
                <c:pt idx="4">
                  <c:v>2017</c:v>
                </c:pt>
              </c:numCache>
            </c:numRef>
          </c:cat>
          <c:val>
            <c:numRef>
              <c:f>List1!$C$7:$G$7</c:f>
              <c:numCache>
                <c:formatCode>0.00%</c:formatCode>
                <c:ptCount val="5"/>
                <c:pt idx="0">
                  <c:v>7.4999999999999997E-2</c:v>
                </c:pt>
                <c:pt idx="1">
                  <c:v>6.6000000000000003E-2</c:v>
                </c:pt>
                <c:pt idx="2">
                  <c:v>3.6999999999999998E-2</c:v>
                </c:pt>
                <c:pt idx="3">
                  <c:v>2.5999999999999999E-2</c:v>
                </c:pt>
                <c:pt idx="4">
                  <c:v>4.7E-2</c:v>
                </c:pt>
              </c:numCache>
            </c:numRef>
          </c:val>
          <c:extLst>
            <c:ext xmlns:c16="http://schemas.microsoft.com/office/drawing/2014/chart" uri="{C3380CC4-5D6E-409C-BE32-E72D297353CC}">
              <c16:uniqueId val="{00000004-14E8-4B20-A845-7AA4895E899A}"/>
            </c:ext>
          </c:extLst>
        </c:ser>
        <c:dLbls>
          <c:showLegendKey val="0"/>
          <c:showVal val="0"/>
          <c:showCatName val="0"/>
          <c:showSerName val="0"/>
          <c:showPercent val="0"/>
          <c:showBubbleSize val="0"/>
        </c:dLbls>
        <c:gapWidth val="150"/>
        <c:overlap val="100"/>
        <c:axId val="980849071"/>
        <c:axId val="777076095"/>
      </c:barChart>
      <c:catAx>
        <c:axId val="98084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77076095"/>
        <c:crosses val="autoZero"/>
        <c:auto val="1"/>
        <c:lblAlgn val="ctr"/>
        <c:lblOffset val="100"/>
        <c:noMultiLvlLbl val="0"/>
      </c:catAx>
      <c:valAx>
        <c:axId val="777076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084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ukazatele'!$B$76</c:f>
              <c:strCache>
                <c:ptCount val="1"/>
                <c:pt idx="0">
                  <c:v>NOPAT </c:v>
                </c:pt>
              </c:strCache>
            </c:strRef>
          </c:tx>
          <c:spPr>
            <a:ln w="28575" cap="rnd">
              <a:solidFill>
                <a:schemeClr val="accent1"/>
              </a:solidFill>
              <a:round/>
            </a:ln>
            <a:effectLst/>
          </c:spPr>
          <c:marker>
            <c:symbol val="none"/>
          </c:marker>
          <c:cat>
            <c:numRef>
              <c:f>'poměrové ukazatele'!$C$75:$G$75</c:f>
              <c:numCache>
                <c:formatCode>General</c:formatCode>
                <c:ptCount val="5"/>
                <c:pt idx="0">
                  <c:v>2017</c:v>
                </c:pt>
                <c:pt idx="1">
                  <c:v>2018</c:v>
                </c:pt>
                <c:pt idx="2">
                  <c:v>2019</c:v>
                </c:pt>
                <c:pt idx="3">
                  <c:v>2020</c:v>
                </c:pt>
                <c:pt idx="4">
                  <c:v>2021</c:v>
                </c:pt>
              </c:numCache>
            </c:numRef>
          </c:cat>
          <c:val>
            <c:numRef>
              <c:f>'poměrové ukazatele'!$C$76:$G$76</c:f>
              <c:numCache>
                <c:formatCode>General</c:formatCode>
                <c:ptCount val="5"/>
                <c:pt idx="0">
                  <c:v>15851.7</c:v>
                </c:pt>
                <c:pt idx="1">
                  <c:v>6905.25</c:v>
                </c:pt>
                <c:pt idx="2">
                  <c:v>12238.29</c:v>
                </c:pt>
                <c:pt idx="3">
                  <c:v>24148.53</c:v>
                </c:pt>
                <c:pt idx="4">
                  <c:v>35136.99</c:v>
                </c:pt>
              </c:numCache>
            </c:numRef>
          </c:val>
          <c:smooth val="0"/>
          <c:extLst>
            <c:ext xmlns:c16="http://schemas.microsoft.com/office/drawing/2014/chart" uri="{C3380CC4-5D6E-409C-BE32-E72D297353CC}">
              <c16:uniqueId val="{00000000-F174-4F4F-ADF2-6FBF397F99AA}"/>
            </c:ext>
          </c:extLst>
        </c:ser>
        <c:ser>
          <c:idx val="1"/>
          <c:order val="1"/>
          <c:tx>
            <c:strRef>
              <c:f>'poměrové ukazatele'!$B$77</c:f>
              <c:strCache>
                <c:ptCount val="1"/>
                <c:pt idx="0">
                  <c:v>C</c:v>
                </c:pt>
              </c:strCache>
            </c:strRef>
          </c:tx>
          <c:spPr>
            <a:ln w="28575" cap="rnd">
              <a:solidFill>
                <a:schemeClr val="accent2"/>
              </a:solidFill>
              <a:round/>
            </a:ln>
            <a:effectLst/>
          </c:spPr>
          <c:marker>
            <c:symbol val="none"/>
          </c:marker>
          <c:cat>
            <c:numRef>
              <c:f>'poměrové ukazatele'!$C$75:$G$75</c:f>
              <c:numCache>
                <c:formatCode>General</c:formatCode>
                <c:ptCount val="5"/>
                <c:pt idx="0">
                  <c:v>2017</c:v>
                </c:pt>
                <c:pt idx="1">
                  <c:v>2018</c:v>
                </c:pt>
                <c:pt idx="2">
                  <c:v>2019</c:v>
                </c:pt>
                <c:pt idx="3">
                  <c:v>2020</c:v>
                </c:pt>
                <c:pt idx="4">
                  <c:v>2021</c:v>
                </c:pt>
              </c:numCache>
            </c:numRef>
          </c:cat>
          <c:val>
            <c:numRef>
              <c:f>'poměrové ukazatele'!$C$77:$G$77</c:f>
              <c:numCache>
                <c:formatCode>General</c:formatCode>
                <c:ptCount val="5"/>
                <c:pt idx="0">
                  <c:v>142861</c:v>
                </c:pt>
                <c:pt idx="1">
                  <c:v>190375</c:v>
                </c:pt>
                <c:pt idx="2">
                  <c:v>169067</c:v>
                </c:pt>
                <c:pt idx="3">
                  <c:v>178247</c:v>
                </c:pt>
                <c:pt idx="4">
                  <c:v>193835</c:v>
                </c:pt>
              </c:numCache>
            </c:numRef>
          </c:val>
          <c:smooth val="0"/>
          <c:extLst>
            <c:ext xmlns:c16="http://schemas.microsoft.com/office/drawing/2014/chart" uri="{C3380CC4-5D6E-409C-BE32-E72D297353CC}">
              <c16:uniqueId val="{00000001-F174-4F4F-ADF2-6FBF397F99AA}"/>
            </c:ext>
          </c:extLst>
        </c:ser>
        <c:ser>
          <c:idx val="2"/>
          <c:order val="2"/>
          <c:tx>
            <c:strRef>
              <c:f>'poměrové ukazatele'!$B$79</c:f>
              <c:strCache>
                <c:ptCount val="1"/>
                <c:pt idx="0">
                  <c:v>EVA</c:v>
                </c:pt>
              </c:strCache>
            </c:strRef>
          </c:tx>
          <c:spPr>
            <a:ln w="28575" cap="rnd">
              <a:solidFill>
                <a:schemeClr val="accent3"/>
              </a:solidFill>
              <a:round/>
            </a:ln>
            <a:effectLst/>
          </c:spPr>
          <c:marker>
            <c:symbol val="none"/>
          </c:marker>
          <c:cat>
            <c:numRef>
              <c:f>'poměrové ukazatele'!$C$75:$G$75</c:f>
              <c:numCache>
                <c:formatCode>General</c:formatCode>
                <c:ptCount val="5"/>
                <c:pt idx="0">
                  <c:v>2017</c:v>
                </c:pt>
                <c:pt idx="1">
                  <c:v>2018</c:v>
                </c:pt>
                <c:pt idx="2">
                  <c:v>2019</c:v>
                </c:pt>
                <c:pt idx="3">
                  <c:v>2020</c:v>
                </c:pt>
                <c:pt idx="4">
                  <c:v>2021</c:v>
                </c:pt>
              </c:numCache>
            </c:numRef>
          </c:cat>
          <c:val>
            <c:numRef>
              <c:f>'poměrové ukazatele'!$C$79:$G$79</c:f>
              <c:numCache>
                <c:formatCode>General</c:formatCode>
                <c:ptCount val="5"/>
                <c:pt idx="0">
                  <c:v>-6345.37</c:v>
                </c:pt>
                <c:pt idx="1">
                  <c:v>-32432.29</c:v>
                </c:pt>
                <c:pt idx="2">
                  <c:v>-15877.34</c:v>
                </c:pt>
                <c:pt idx="3">
                  <c:v>-341.69</c:v>
                </c:pt>
                <c:pt idx="4">
                  <c:v>6111.28</c:v>
                </c:pt>
              </c:numCache>
            </c:numRef>
          </c:val>
          <c:smooth val="0"/>
          <c:extLst>
            <c:ext xmlns:c16="http://schemas.microsoft.com/office/drawing/2014/chart" uri="{C3380CC4-5D6E-409C-BE32-E72D297353CC}">
              <c16:uniqueId val="{00000002-F174-4F4F-ADF2-6FBF397F99AA}"/>
            </c:ext>
          </c:extLst>
        </c:ser>
        <c:dLbls>
          <c:showLegendKey val="0"/>
          <c:showVal val="0"/>
          <c:showCatName val="0"/>
          <c:showSerName val="0"/>
          <c:showPercent val="0"/>
          <c:showBubbleSize val="0"/>
        </c:dLbls>
        <c:smooth val="0"/>
        <c:axId val="1184747712"/>
        <c:axId val="1037014640"/>
      </c:lineChart>
      <c:catAx>
        <c:axId val="118474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37014640"/>
        <c:crosses val="autoZero"/>
        <c:auto val="1"/>
        <c:lblAlgn val="ctr"/>
        <c:lblOffset val="100"/>
        <c:noMultiLvlLbl val="0"/>
      </c:catAx>
      <c:valAx>
        <c:axId val="103701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8474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24D2C-BED3-41B9-A7D2-354014F4EBE1}" type="doc">
      <dgm:prSet loTypeId="urn:microsoft.com/office/officeart/2008/layout/NameandTitleOrganizationalChart" loCatId="hierarchy" qsTypeId="urn:microsoft.com/office/officeart/2005/8/quickstyle/simple1" qsCatId="simple" csTypeId="urn:microsoft.com/office/officeart/2005/8/colors/accent6_3" csCatId="accent6" phldr="1"/>
      <dgm:spPr/>
      <dgm:t>
        <a:bodyPr/>
        <a:lstStyle/>
        <a:p>
          <a:endParaRPr lang="cs-CZ"/>
        </a:p>
      </dgm:t>
    </dgm:pt>
    <dgm:pt modelId="{885D30C0-691C-4327-B198-742273FFCD43}">
      <dgm:prSet phldrT="[Text]"/>
      <dgm:spPr/>
      <dgm:t>
        <a:bodyPr/>
        <a:lstStyle/>
        <a:p>
          <a:r>
            <a:rPr lang="cs-CZ"/>
            <a:t>ROE</a:t>
          </a:r>
        </a:p>
      </dgm:t>
    </dgm:pt>
    <dgm:pt modelId="{EF01185C-736C-486C-9759-2B58A2C90618}" type="parTrans" cxnId="{C5D8BC19-B6AF-49D4-AD4E-AFD072291FD1}">
      <dgm:prSet/>
      <dgm:spPr/>
      <dgm:t>
        <a:bodyPr/>
        <a:lstStyle/>
        <a:p>
          <a:endParaRPr lang="cs-CZ"/>
        </a:p>
      </dgm:t>
    </dgm:pt>
    <dgm:pt modelId="{05917210-692A-4107-B248-DCBB579D3C13}" type="sibTrans" cxnId="{C5D8BC19-B6AF-49D4-AD4E-AFD072291FD1}">
      <dgm:prSet custT="1"/>
      <dgm:spPr/>
      <dgm:t>
        <a:bodyPr/>
        <a:lstStyle/>
        <a:p>
          <a:pPr algn="l"/>
          <a:r>
            <a:rPr lang="cs-CZ" sz="1000"/>
            <a:t>0,44</a:t>
          </a:r>
        </a:p>
        <a:p>
          <a:pPr algn="l"/>
          <a:r>
            <a:rPr lang="cs-CZ" sz="1000"/>
            <a:t>0,1</a:t>
          </a:r>
        </a:p>
        <a:p>
          <a:pPr algn="l"/>
          <a:r>
            <a:rPr lang="cs-CZ" sz="1000"/>
            <a:t>0,15</a:t>
          </a:r>
        </a:p>
        <a:p>
          <a:pPr algn="l"/>
          <a:r>
            <a:rPr lang="cs-CZ" sz="1000"/>
            <a:t>0,23</a:t>
          </a:r>
        </a:p>
        <a:p>
          <a:pPr algn="l"/>
          <a:r>
            <a:rPr lang="cs-CZ" sz="1000"/>
            <a:t>0,31</a:t>
          </a:r>
        </a:p>
      </dgm:t>
    </dgm:pt>
    <dgm:pt modelId="{6A554E02-28B2-4829-8D7A-BDEDB28AF203}">
      <dgm:prSet phldrT="[Text]"/>
      <dgm:spPr/>
      <dgm:t>
        <a:bodyPr/>
        <a:lstStyle/>
        <a:p>
          <a:r>
            <a:rPr lang="cs-CZ"/>
            <a:t>ROA</a:t>
          </a:r>
        </a:p>
      </dgm:t>
    </dgm:pt>
    <dgm:pt modelId="{FE37DF0D-7B11-4914-8F60-1D9FDADB79DF}" type="parTrans" cxnId="{C998DF7D-0B87-49D8-BE5D-36726839221F}">
      <dgm:prSet/>
      <dgm:spPr/>
      <dgm:t>
        <a:bodyPr/>
        <a:lstStyle/>
        <a:p>
          <a:endParaRPr lang="cs-CZ"/>
        </a:p>
      </dgm:t>
    </dgm:pt>
    <dgm:pt modelId="{51756D61-094B-4056-ABF4-2318FE940C68}" type="sibTrans" cxnId="{C998DF7D-0B87-49D8-BE5D-36726839221F}">
      <dgm:prSet custT="1"/>
      <dgm:spPr/>
      <dgm:t>
        <a:bodyPr/>
        <a:lstStyle/>
        <a:p>
          <a:pPr algn="l"/>
          <a:r>
            <a:rPr lang="cs-CZ" sz="1000"/>
            <a:t>0,09</a:t>
          </a:r>
        </a:p>
        <a:p>
          <a:pPr algn="l"/>
          <a:r>
            <a:rPr lang="cs-CZ" sz="1000"/>
            <a:t>0,04</a:t>
          </a:r>
        </a:p>
        <a:p>
          <a:pPr algn="l"/>
          <a:r>
            <a:rPr lang="cs-CZ" sz="1000"/>
            <a:t>0,06</a:t>
          </a:r>
        </a:p>
        <a:p>
          <a:pPr algn="l"/>
          <a:r>
            <a:rPr lang="cs-CZ" sz="1000"/>
            <a:t>0,10</a:t>
          </a:r>
        </a:p>
        <a:p>
          <a:pPr algn="l"/>
          <a:r>
            <a:rPr lang="cs-CZ" sz="1000"/>
            <a:t>0,14</a:t>
          </a:r>
        </a:p>
      </dgm:t>
    </dgm:pt>
    <dgm:pt modelId="{24CFE67C-30A7-45B0-9B47-17218AFA4539}">
      <dgm:prSet phldrT="[Text]"/>
      <dgm:spPr/>
      <dgm:t>
        <a:bodyPr/>
        <a:lstStyle/>
        <a:p>
          <a:r>
            <a:rPr lang="cs-CZ"/>
            <a:t>Finanční páka</a:t>
          </a:r>
        </a:p>
      </dgm:t>
    </dgm:pt>
    <dgm:pt modelId="{BD114427-092C-4318-8FBA-989DFD3A7412}" type="parTrans" cxnId="{55C2E481-D2EE-4938-8387-EA83D24B02C6}">
      <dgm:prSet/>
      <dgm:spPr/>
      <dgm:t>
        <a:bodyPr/>
        <a:lstStyle/>
        <a:p>
          <a:endParaRPr lang="cs-CZ"/>
        </a:p>
      </dgm:t>
    </dgm:pt>
    <dgm:pt modelId="{BAE65455-4029-4CF1-8C78-EAD437D590F0}" type="sibTrans" cxnId="{55C2E481-D2EE-4938-8387-EA83D24B02C6}">
      <dgm:prSet custT="1"/>
      <dgm:spPr/>
      <dgm:t>
        <a:bodyPr/>
        <a:lstStyle/>
        <a:p>
          <a:pPr algn="l"/>
          <a:endParaRPr lang="en-GB" sz="1000"/>
        </a:p>
        <a:p>
          <a:pPr algn="l"/>
          <a:r>
            <a:rPr lang="cs-CZ" sz="1000"/>
            <a:t>5</a:t>
          </a:r>
          <a:r>
            <a:rPr lang="en-GB" sz="1000"/>
            <a:t>,05</a:t>
          </a:r>
        </a:p>
        <a:p>
          <a:pPr algn="l"/>
          <a:r>
            <a:rPr lang="en-GB" sz="1000"/>
            <a:t>2,93</a:t>
          </a:r>
        </a:p>
        <a:p>
          <a:pPr algn="l"/>
          <a:r>
            <a:rPr lang="en-GB" sz="1000"/>
            <a:t>2,31</a:t>
          </a:r>
        </a:p>
        <a:p>
          <a:pPr algn="l"/>
          <a:r>
            <a:rPr lang="en-GB" sz="1000"/>
            <a:t>2,19</a:t>
          </a:r>
        </a:p>
        <a:p>
          <a:pPr algn="l"/>
          <a:r>
            <a:rPr lang="en-GB" sz="1000"/>
            <a:t>2,12</a:t>
          </a:r>
        </a:p>
        <a:p>
          <a:pPr algn="l"/>
          <a:endParaRPr lang="cs-CZ" sz="1000"/>
        </a:p>
      </dgm:t>
    </dgm:pt>
    <dgm:pt modelId="{AEAF7659-8164-41A6-9C19-918ABFB7752A}">
      <dgm:prSet/>
      <dgm:spPr/>
      <dgm:t>
        <a:bodyPr/>
        <a:lstStyle/>
        <a:p>
          <a:r>
            <a:rPr lang="cs-CZ"/>
            <a:t>ROS</a:t>
          </a:r>
        </a:p>
      </dgm:t>
    </dgm:pt>
    <dgm:pt modelId="{E2B4D34E-3F04-4011-85F5-D917DE8D1C7C}" type="parTrans" cxnId="{282B05E3-02AC-42AA-B714-1BA8822E6CD7}">
      <dgm:prSet/>
      <dgm:spPr/>
      <dgm:t>
        <a:bodyPr/>
        <a:lstStyle/>
        <a:p>
          <a:endParaRPr lang="cs-CZ"/>
        </a:p>
      </dgm:t>
    </dgm:pt>
    <dgm:pt modelId="{EC8A4711-78E9-4F3C-A722-0CA57BA5BD6D}" type="sibTrans" cxnId="{282B05E3-02AC-42AA-B714-1BA8822E6CD7}">
      <dgm:prSet custT="1"/>
      <dgm:spPr/>
      <dgm:t>
        <a:bodyPr/>
        <a:lstStyle/>
        <a:p>
          <a:pPr algn="l"/>
          <a:r>
            <a:rPr lang="en-GB" sz="1000"/>
            <a:t>0,03</a:t>
          </a:r>
        </a:p>
        <a:p>
          <a:pPr algn="l"/>
          <a:r>
            <a:rPr lang="en-GB" sz="1000"/>
            <a:t>0,02</a:t>
          </a:r>
        </a:p>
        <a:p>
          <a:pPr algn="l"/>
          <a:r>
            <a:rPr lang="en-GB" sz="1000"/>
            <a:t>0,03</a:t>
          </a:r>
        </a:p>
        <a:p>
          <a:pPr algn="l"/>
          <a:r>
            <a:rPr lang="en-GB" sz="1000"/>
            <a:t>0,04</a:t>
          </a:r>
        </a:p>
        <a:p>
          <a:pPr algn="l"/>
          <a:r>
            <a:rPr lang="en-GB" sz="1000"/>
            <a:t>0,06</a:t>
          </a:r>
          <a:endParaRPr lang="cs-CZ" sz="1000"/>
        </a:p>
      </dgm:t>
    </dgm:pt>
    <dgm:pt modelId="{A2C38ABC-65D2-4D50-B183-0D5B40AF8E1C}">
      <dgm:prSet/>
      <dgm:spPr/>
      <dgm:t>
        <a:bodyPr/>
        <a:lstStyle/>
        <a:p>
          <a:r>
            <a:rPr lang="cs-CZ"/>
            <a:t>Obrat aktiv</a:t>
          </a:r>
        </a:p>
      </dgm:t>
    </dgm:pt>
    <dgm:pt modelId="{1E762F80-EFDF-4663-A7C1-52524CE1A1F4}" type="parTrans" cxnId="{99021AAA-3027-487E-B6FE-A2BCCC2B43A9}">
      <dgm:prSet/>
      <dgm:spPr/>
      <dgm:t>
        <a:bodyPr/>
        <a:lstStyle/>
        <a:p>
          <a:endParaRPr lang="cs-CZ"/>
        </a:p>
      </dgm:t>
    </dgm:pt>
    <dgm:pt modelId="{B1F3D2DC-2945-425A-8A1B-A5A9F5D39C7A}" type="sibTrans" cxnId="{99021AAA-3027-487E-B6FE-A2BCCC2B43A9}">
      <dgm:prSet custT="1"/>
      <dgm:spPr/>
      <dgm:t>
        <a:bodyPr/>
        <a:lstStyle/>
        <a:p>
          <a:pPr algn="l"/>
          <a:r>
            <a:rPr lang="en-GB" sz="1000"/>
            <a:t>2,75</a:t>
          </a:r>
        </a:p>
        <a:p>
          <a:pPr algn="l"/>
          <a:r>
            <a:rPr lang="en-GB" sz="1000"/>
            <a:t>2,03</a:t>
          </a:r>
        </a:p>
        <a:p>
          <a:pPr algn="l"/>
          <a:r>
            <a:rPr lang="en-GB" sz="1000"/>
            <a:t>2,37</a:t>
          </a:r>
        </a:p>
        <a:p>
          <a:pPr algn="l"/>
          <a:r>
            <a:rPr lang="en-GB" sz="1000"/>
            <a:t>2,37</a:t>
          </a:r>
        </a:p>
        <a:p>
          <a:pPr algn="l"/>
          <a:r>
            <a:rPr lang="en-GB" sz="1000"/>
            <a:t>2,32</a:t>
          </a:r>
          <a:endParaRPr lang="cs-CZ" sz="1000"/>
        </a:p>
      </dgm:t>
    </dgm:pt>
    <dgm:pt modelId="{47B867FB-70A3-433F-ACFA-29FF12D49547}" type="pres">
      <dgm:prSet presAssocID="{DCA24D2C-BED3-41B9-A7D2-354014F4EBE1}" presName="hierChild1" presStyleCnt="0">
        <dgm:presLayoutVars>
          <dgm:orgChart val="1"/>
          <dgm:chPref val="1"/>
          <dgm:dir/>
          <dgm:animOne val="branch"/>
          <dgm:animLvl val="lvl"/>
          <dgm:resizeHandles/>
        </dgm:presLayoutVars>
      </dgm:prSet>
      <dgm:spPr/>
    </dgm:pt>
    <dgm:pt modelId="{137E55B8-E977-4F0F-BA02-5893B9568094}" type="pres">
      <dgm:prSet presAssocID="{885D30C0-691C-4327-B198-742273FFCD43}" presName="hierRoot1" presStyleCnt="0">
        <dgm:presLayoutVars>
          <dgm:hierBranch val="init"/>
        </dgm:presLayoutVars>
      </dgm:prSet>
      <dgm:spPr/>
    </dgm:pt>
    <dgm:pt modelId="{78E9723B-90C4-465D-8A9D-7E563AF6874F}" type="pres">
      <dgm:prSet presAssocID="{885D30C0-691C-4327-B198-742273FFCD43}" presName="rootComposite1" presStyleCnt="0"/>
      <dgm:spPr/>
    </dgm:pt>
    <dgm:pt modelId="{3E344848-41B3-4F1D-AEA9-A667C963B751}" type="pres">
      <dgm:prSet presAssocID="{885D30C0-691C-4327-B198-742273FFCD43}" presName="rootText1" presStyleLbl="node0" presStyleIdx="0" presStyleCnt="1">
        <dgm:presLayoutVars>
          <dgm:chMax/>
          <dgm:chPref val="3"/>
        </dgm:presLayoutVars>
      </dgm:prSet>
      <dgm:spPr/>
    </dgm:pt>
    <dgm:pt modelId="{3FC7F4CB-074F-49AD-ACC3-AFA739809418}" type="pres">
      <dgm:prSet presAssocID="{885D30C0-691C-4327-B198-742273FFCD43}" presName="titleText1" presStyleLbl="fgAcc0" presStyleIdx="0" presStyleCnt="1" custScaleX="40420" custScaleY="469476" custLinFactNeighborX="46798" custLinFactNeighborY="60754">
        <dgm:presLayoutVars>
          <dgm:chMax val="0"/>
          <dgm:chPref val="0"/>
        </dgm:presLayoutVars>
      </dgm:prSet>
      <dgm:spPr/>
    </dgm:pt>
    <dgm:pt modelId="{76D8B886-54DD-4C1C-B75C-0DD3DC212585}" type="pres">
      <dgm:prSet presAssocID="{885D30C0-691C-4327-B198-742273FFCD43}" presName="rootConnector1" presStyleLbl="node1" presStyleIdx="0" presStyleCnt="4"/>
      <dgm:spPr/>
    </dgm:pt>
    <dgm:pt modelId="{F321D4B5-FA0B-48F1-9BFE-22D3865D86A8}" type="pres">
      <dgm:prSet presAssocID="{885D30C0-691C-4327-B198-742273FFCD43}" presName="hierChild2" presStyleCnt="0"/>
      <dgm:spPr/>
    </dgm:pt>
    <dgm:pt modelId="{6546757B-7DCB-4A56-9E04-7D4902ACAA5F}" type="pres">
      <dgm:prSet presAssocID="{FE37DF0D-7B11-4914-8F60-1D9FDADB79DF}" presName="Name37" presStyleLbl="parChTrans1D2" presStyleIdx="0" presStyleCnt="2"/>
      <dgm:spPr/>
    </dgm:pt>
    <dgm:pt modelId="{E759059C-2616-481E-811C-69D68E5A9A51}" type="pres">
      <dgm:prSet presAssocID="{6A554E02-28B2-4829-8D7A-BDEDB28AF203}" presName="hierRoot2" presStyleCnt="0">
        <dgm:presLayoutVars>
          <dgm:hierBranch val="init"/>
        </dgm:presLayoutVars>
      </dgm:prSet>
      <dgm:spPr/>
    </dgm:pt>
    <dgm:pt modelId="{31F60E6D-AEDA-4208-943C-9CD578836AF2}" type="pres">
      <dgm:prSet presAssocID="{6A554E02-28B2-4829-8D7A-BDEDB28AF203}" presName="rootComposite" presStyleCnt="0"/>
      <dgm:spPr/>
    </dgm:pt>
    <dgm:pt modelId="{7CF2B77E-AC7C-41F7-AF91-EFAB0453E8B6}" type="pres">
      <dgm:prSet presAssocID="{6A554E02-28B2-4829-8D7A-BDEDB28AF203}" presName="rootText" presStyleLbl="node1" presStyleIdx="0" presStyleCnt="4">
        <dgm:presLayoutVars>
          <dgm:chMax/>
          <dgm:chPref val="3"/>
        </dgm:presLayoutVars>
      </dgm:prSet>
      <dgm:spPr/>
    </dgm:pt>
    <dgm:pt modelId="{1B33311B-1DF7-4F7B-A0D3-F7B721026304}" type="pres">
      <dgm:prSet presAssocID="{6A554E02-28B2-4829-8D7A-BDEDB28AF203}" presName="titleText2" presStyleLbl="fgAcc1" presStyleIdx="0" presStyleCnt="4" custScaleX="40485" custScaleY="493899" custLinFactY="26439" custLinFactNeighborX="38938" custLinFactNeighborY="100000">
        <dgm:presLayoutVars>
          <dgm:chMax val="0"/>
          <dgm:chPref val="0"/>
        </dgm:presLayoutVars>
      </dgm:prSet>
      <dgm:spPr/>
    </dgm:pt>
    <dgm:pt modelId="{EDB3F664-6E03-4676-A5F7-1809EAF8FE0F}" type="pres">
      <dgm:prSet presAssocID="{6A554E02-28B2-4829-8D7A-BDEDB28AF203}" presName="rootConnector" presStyleLbl="node2" presStyleIdx="0" presStyleCnt="0"/>
      <dgm:spPr/>
    </dgm:pt>
    <dgm:pt modelId="{19C950C3-AABB-4521-8187-5877137587EE}" type="pres">
      <dgm:prSet presAssocID="{6A554E02-28B2-4829-8D7A-BDEDB28AF203}" presName="hierChild4" presStyleCnt="0"/>
      <dgm:spPr/>
    </dgm:pt>
    <dgm:pt modelId="{6CDE847B-CF37-4B1F-9ECB-986510D7E786}" type="pres">
      <dgm:prSet presAssocID="{E2B4D34E-3F04-4011-85F5-D917DE8D1C7C}" presName="Name37" presStyleLbl="parChTrans1D3" presStyleIdx="0" presStyleCnt="2"/>
      <dgm:spPr/>
    </dgm:pt>
    <dgm:pt modelId="{D058CCE1-7932-4C89-8D31-F597B5674927}" type="pres">
      <dgm:prSet presAssocID="{AEAF7659-8164-41A6-9C19-918ABFB7752A}" presName="hierRoot2" presStyleCnt="0">
        <dgm:presLayoutVars>
          <dgm:hierBranch val="init"/>
        </dgm:presLayoutVars>
      </dgm:prSet>
      <dgm:spPr/>
    </dgm:pt>
    <dgm:pt modelId="{6795C9AD-CC8A-41FD-B7D8-3F6779EBFA4F}" type="pres">
      <dgm:prSet presAssocID="{AEAF7659-8164-41A6-9C19-918ABFB7752A}" presName="rootComposite" presStyleCnt="0"/>
      <dgm:spPr/>
    </dgm:pt>
    <dgm:pt modelId="{F9B842F0-A13A-4608-8296-5FAB854B5F7A}" type="pres">
      <dgm:prSet presAssocID="{AEAF7659-8164-41A6-9C19-918ABFB7752A}" presName="rootText" presStyleLbl="node1" presStyleIdx="1" presStyleCnt="4">
        <dgm:presLayoutVars>
          <dgm:chMax/>
          <dgm:chPref val="3"/>
        </dgm:presLayoutVars>
      </dgm:prSet>
      <dgm:spPr/>
    </dgm:pt>
    <dgm:pt modelId="{45095B45-18BF-4577-84D9-3BCDC7BD6A35}" type="pres">
      <dgm:prSet presAssocID="{AEAF7659-8164-41A6-9C19-918ABFB7752A}" presName="titleText2" presStyleLbl="fgAcc1" presStyleIdx="1" presStyleCnt="4" custScaleX="36287" custScaleY="443083" custLinFactY="52747" custLinFactNeighborX="31521" custLinFactNeighborY="100000">
        <dgm:presLayoutVars>
          <dgm:chMax val="0"/>
          <dgm:chPref val="0"/>
        </dgm:presLayoutVars>
      </dgm:prSet>
      <dgm:spPr/>
    </dgm:pt>
    <dgm:pt modelId="{71A1133C-D8D9-421C-8DAE-4FFA536B63C3}" type="pres">
      <dgm:prSet presAssocID="{AEAF7659-8164-41A6-9C19-918ABFB7752A}" presName="rootConnector" presStyleLbl="node3" presStyleIdx="0" presStyleCnt="0"/>
      <dgm:spPr/>
    </dgm:pt>
    <dgm:pt modelId="{D1076BF6-49F8-4605-9D4B-5CF67E8FE3B0}" type="pres">
      <dgm:prSet presAssocID="{AEAF7659-8164-41A6-9C19-918ABFB7752A}" presName="hierChild4" presStyleCnt="0"/>
      <dgm:spPr/>
    </dgm:pt>
    <dgm:pt modelId="{473D56EB-AD3A-4CF8-BAC6-2EA9342C0C47}" type="pres">
      <dgm:prSet presAssocID="{AEAF7659-8164-41A6-9C19-918ABFB7752A}" presName="hierChild5" presStyleCnt="0"/>
      <dgm:spPr/>
    </dgm:pt>
    <dgm:pt modelId="{56E82A83-FEA3-4FC4-A744-3B2B31D3B585}" type="pres">
      <dgm:prSet presAssocID="{1E762F80-EFDF-4663-A7C1-52524CE1A1F4}" presName="Name37" presStyleLbl="parChTrans1D3" presStyleIdx="1" presStyleCnt="2"/>
      <dgm:spPr/>
    </dgm:pt>
    <dgm:pt modelId="{05F1CF91-6306-475B-B468-4D8C7A7B46E7}" type="pres">
      <dgm:prSet presAssocID="{A2C38ABC-65D2-4D50-B183-0D5B40AF8E1C}" presName="hierRoot2" presStyleCnt="0">
        <dgm:presLayoutVars>
          <dgm:hierBranch val="init"/>
        </dgm:presLayoutVars>
      </dgm:prSet>
      <dgm:spPr/>
    </dgm:pt>
    <dgm:pt modelId="{A7305748-F0D1-4B5C-8AC9-159B926A13F0}" type="pres">
      <dgm:prSet presAssocID="{A2C38ABC-65D2-4D50-B183-0D5B40AF8E1C}" presName="rootComposite" presStyleCnt="0"/>
      <dgm:spPr/>
    </dgm:pt>
    <dgm:pt modelId="{A6698801-95E5-4313-8FF3-DF3B1D4F9325}" type="pres">
      <dgm:prSet presAssocID="{A2C38ABC-65D2-4D50-B183-0D5B40AF8E1C}" presName="rootText" presStyleLbl="node1" presStyleIdx="2" presStyleCnt="4">
        <dgm:presLayoutVars>
          <dgm:chMax/>
          <dgm:chPref val="3"/>
        </dgm:presLayoutVars>
      </dgm:prSet>
      <dgm:spPr/>
    </dgm:pt>
    <dgm:pt modelId="{7F8ABDFD-3C56-40AC-A15E-535AAB0A1C5B}" type="pres">
      <dgm:prSet presAssocID="{A2C38ABC-65D2-4D50-B183-0D5B40AF8E1C}" presName="titleText2" presStyleLbl="fgAcc1" presStyleIdx="2" presStyleCnt="4" custScaleX="27705" custScaleY="434738" custLinFactNeighborX="59064" custLinFactNeighborY="-1339">
        <dgm:presLayoutVars>
          <dgm:chMax val="0"/>
          <dgm:chPref val="0"/>
        </dgm:presLayoutVars>
      </dgm:prSet>
      <dgm:spPr/>
    </dgm:pt>
    <dgm:pt modelId="{023EC86D-1421-47FC-AD45-C72907C923D6}" type="pres">
      <dgm:prSet presAssocID="{A2C38ABC-65D2-4D50-B183-0D5B40AF8E1C}" presName="rootConnector" presStyleLbl="node3" presStyleIdx="0" presStyleCnt="0"/>
      <dgm:spPr/>
    </dgm:pt>
    <dgm:pt modelId="{854A9296-9D0B-446B-B18E-EE73EE79B671}" type="pres">
      <dgm:prSet presAssocID="{A2C38ABC-65D2-4D50-B183-0D5B40AF8E1C}" presName="hierChild4" presStyleCnt="0"/>
      <dgm:spPr/>
    </dgm:pt>
    <dgm:pt modelId="{5C5513AF-6450-4B23-A94A-B716E286966C}" type="pres">
      <dgm:prSet presAssocID="{A2C38ABC-65D2-4D50-B183-0D5B40AF8E1C}" presName="hierChild5" presStyleCnt="0"/>
      <dgm:spPr/>
    </dgm:pt>
    <dgm:pt modelId="{80EE7FBF-60F3-43C4-951A-A1B15C26F4D0}" type="pres">
      <dgm:prSet presAssocID="{6A554E02-28B2-4829-8D7A-BDEDB28AF203}" presName="hierChild5" presStyleCnt="0"/>
      <dgm:spPr/>
    </dgm:pt>
    <dgm:pt modelId="{86F858D9-4155-4CCA-A8DF-1779C879E7DD}" type="pres">
      <dgm:prSet presAssocID="{BD114427-092C-4318-8FBA-989DFD3A7412}" presName="Name37" presStyleLbl="parChTrans1D2" presStyleIdx="1" presStyleCnt="2"/>
      <dgm:spPr/>
    </dgm:pt>
    <dgm:pt modelId="{D8EB32C9-CBD0-432F-829E-A62E13F43D2B}" type="pres">
      <dgm:prSet presAssocID="{24CFE67C-30A7-45B0-9B47-17218AFA4539}" presName="hierRoot2" presStyleCnt="0">
        <dgm:presLayoutVars>
          <dgm:hierBranch val="init"/>
        </dgm:presLayoutVars>
      </dgm:prSet>
      <dgm:spPr/>
    </dgm:pt>
    <dgm:pt modelId="{F0B35354-176F-4810-AC1F-DD6558AC7D3F}" type="pres">
      <dgm:prSet presAssocID="{24CFE67C-30A7-45B0-9B47-17218AFA4539}" presName="rootComposite" presStyleCnt="0"/>
      <dgm:spPr/>
    </dgm:pt>
    <dgm:pt modelId="{87E1AAAD-F098-4AF1-BC6F-973936E050EB}" type="pres">
      <dgm:prSet presAssocID="{24CFE67C-30A7-45B0-9B47-17218AFA4539}" presName="rootText" presStyleLbl="node1" presStyleIdx="3" presStyleCnt="4">
        <dgm:presLayoutVars>
          <dgm:chMax/>
          <dgm:chPref val="3"/>
        </dgm:presLayoutVars>
      </dgm:prSet>
      <dgm:spPr/>
    </dgm:pt>
    <dgm:pt modelId="{04F09118-EE62-4797-A8C4-ADE3D5B1B963}" type="pres">
      <dgm:prSet presAssocID="{24CFE67C-30A7-45B0-9B47-17218AFA4539}" presName="titleText2" presStyleLbl="fgAcc1" presStyleIdx="3" presStyleCnt="4" custScaleX="40060" custScaleY="469054" custLinFactY="24582" custLinFactNeighborX="36519" custLinFactNeighborY="100000">
        <dgm:presLayoutVars>
          <dgm:chMax val="0"/>
          <dgm:chPref val="0"/>
        </dgm:presLayoutVars>
      </dgm:prSet>
      <dgm:spPr/>
    </dgm:pt>
    <dgm:pt modelId="{6A1D5447-12CD-4385-A485-A29742E1F3B6}" type="pres">
      <dgm:prSet presAssocID="{24CFE67C-30A7-45B0-9B47-17218AFA4539}" presName="rootConnector" presStyleLbl="node2" presStyleIdx="0" presStyleCnt="0"/>
      <dgm:spPr/>
    </dgm:pt>
    <dgm:pt modelId="{DCD2DCBD-599B-4BAE-B9C9-4B60B75A922E}" type="pres">
      <dgm:prSet presAssocID="{24CFE67C-30A7-45B0-9B47-17218AFA4539}" presName="hierChild4" presStyleCnt="0"/>
      <dgm:spPr/>
    </dgm:pt>
    <dgm:pt modelId="{FD1513E5-0CCC-4F37-A384-25F594E0D71D}" type="pres">
      <dgm:prSet presAssocID="{24CFE67C-30A7-45B0-9B47-17218AFA4539}" presName="hierChild5" presStyleCnt="0"/>
      <dgm:spPr/>
    </dgm:pt>
    <dgm:pt modelId="{AF476436-1547-4B84-A41F-046F43853406}" type="pres">
      <dgm:prSet presAssocID="{885D30C0-691C-4327-B198-742273FFCD43}" presName="hierChild3" presStyleCnt="0"/>
      <dgm:spPr/>
    </dgm:pt>
  </dgm:ptLst>
  <dgm:cxnLst>
    <dgm:cxn modelId="{96179C06-BEA2-4C91-8D9E-C2ED4CA7395E}" type="presOf" srcId="{DCA24D2C-BED3-41B9-A7D2-354014F4EBE1}" destId="{47B867FB-70A3-433F-ACFA-29FF12D49547}" srcOrd="0" destOrd="0" presId="urn:microsoft.com/office/officeart/2008/layout/NameandTitleOrganizationalChart"/>
    <dgm:cxn modelId="{31EED716-2DD5-4A1F-8A81-10A71F089D59}" type="presOf" srcId="{A2C38ABC-65D2-4D50-B183-0D5B40AF8E1C}" destId="{A6698801-95E5-4313-8FF3-DF3B1D4F9325}" srcOrd="0" destOrd="0" presId="urn:microsoft.com/office/officeart/2008/layout/NameandTitleOrganizationalChart"/>
    <dgm:cxn modelId="{C5D8BC19-B6AF-49D4-AD4E-AFD072291FD1}" srcId="{DCA24D2C-BED3-41B9-A7D2-354014F4EBE1}" destId="{885D30C0-691C-4327-B198-742273FFCD43}" srcOrd="0" destOrd="0" parTransId="{EF01185C-736C-486C-9759-2B58A2C90618}" sibTransId="{05917210-692A-4107-B248-DCBB579D3C13}"/>
    <dgm:cxn modelId="{1C164028-2EEA-48B4-83B6-A7D1E269B1DD}" type="presOf" srcId="{1E762F80-EFDF-4663-A7C1-52524CE1A1F4}" destId="{56E82A83-FEA3-4FC4-A744-3B2B31D3B585}" srcOrd="0" destOrd="0" presId="urn:microsoft.com/office/officeart/2008/layout/NameandTitleOrganizationalChart"/>
    <dgm:cxn modelId="{07074B2A-8005-4080-B06C-8DBE2B2B0C05}" type="presOf" srcId="{A2C38ABC-65D2-4D50-B183-0D5B40AF8E1C}" destId="{023EC86D-1421-47FC-AD45-C72907C923D6}" srcOrd="1" destOrd="0" presId="urn:microsoft.com/office/officeart/2008/layout/NameandTitleOrganizationalChart"/>
    <dgm:cxn modelId="{3E99D433-C33D-4BDC-8C84-D872AF325D76}" type="presOf" srcId="{BD114427-092C-4318-8FBA-989DFD3A7412}" destId="{86F858D9-4155-4CCA-A8DF-1779C879E7DD}" srcOrd="0" destOrd="0" presId="urn:microsoft.com/office/officeart/2008/layout/NameandTitleOrganizationalChart"/>
    <dgm:cxn modelId="{51CB5F49-B7ED-494F-9034-FB93CE22BD2A}" type="presOf" srcId="{885D30C0-691C-4327-B198-742273FFCD43}" destId="{76D8B886-54DD-4C1C-B75C-0DD3DC212585}" srcOrd="1" destOrd="0" presId="urn:microsoft.com/office/officeart/2008/layout/NameandTitleOrganizationalChart"/>
    <dgm:cxn modelId="{3B4D636E-6007-46F7-A587-9BCF17B22CE0}" type="presOf" srcId="{51756D61-094B-4056-ABF4-2318FE940C68}" destId="{1B33311B-1DF7-4F7B-A0D3-F7B721026304}" srcOrd="0" destOrd="0" presId="urn:microsoft.com/office/officeart/2008/layout/NameandTitleOrganizationalChart"/>
    <dgm:cxn modelId="{2CBD8157-53D8-4926-8C44-81F49D26DA7A}" type="presOf" srcId="{6A554E02-28B2-4829-8D7A-BDEDB28AF203}" destId="{7CF2B77E-AC7C-41F7-AF91-EFAB0453E8B6}" srcOrd="0" destOrd="0" presId="urn:microsoft.com/office/officeart/2008/layout/NameandTitleOrganizationalChart"/>
    <dgm:cxn modelId="{FCFD127D-7F53-4169-B044-F7105FD07BBD}" type="presOf" srcId="{FE37DF0D-7B11-4914-8F60-1D9FDADB79DF}" destId="{6546757B-7DCB-4A56-9E04-7D4902ACAA5F}" srcOrd="0" destOrd="0" presId="urn:microsoft.com/office/officeart/2008/layout/NameandTitleOrganizationalChart"/>
    <dgm:cxn modelId="{C998DF7D-0B87-49D8-BE5D-36726839221F}" srcId="{885D30C0-691C-4327-B198-742273FFCD43}" destId="{6A554E02-28B2-4829-8D7A-BDEDB28AF203}" srcOrd="0" destOrd="0" parTransId="{FE37DF0D-7B11-4914-8F60-1D9FDADB79DF}" sibTransId="{51756D61-094B-4056-ABF4-2318FE940C68}"/>
    <dgm:cxn modelId="{55C2E481-D2EE-4938-8387-EA83D24B02C6}" srcId="{885D30C0-691C-4327-B198-742273FFCD43}" destId="{24CFE67C-30A7-45B0-9B47-17218AFA4539}" srcOrd="1" destOrd="0" parTransId="{BD114427-092C-4318-8FBA-989DFD3A7412}" sibTransId="{BAE65455-4029-4CF1-8C78-EAD437D590F0}"/>
    <dgm:cxn modelId="{7766A193-E263-4C67-B74F-C52DAB8469CC}" type="presOf" srcId="{05917210-692A-4107-B248-DCBB579D3C13}" destId="{3FC7F4CB-074F-49AD-ACC3-AFA739809418}" srcOrd="0" destOrd="0" presId="urn:microsoft.com/office/officeart/2008/layout/NameandTitleOrganizationalChart"/>
    <dgm:cxn modelId="{84ADE294-D69D-4454-B027-230F0228281D}" type="presOf" srcId="{6A554E02-28B2-4829-8D7A-BDEDB28AF203}" destId="{EDB3F664-6E03-4676-A5F7-1809EAF8FE0F}" srcOrd="1" destOrd="0" presId="urn:microsoft.com/office/officeart/2008/layout/NameandTitleOrganizationalChart"/>
    <dgm:cxn modelId="{0D97C6A9-FADE-4A5E-87E0-10C066A4EC17}" type="presOf" srcId="{BAE65455-4029-4CF1-8C78-EAD437D590F0}" destId="{04F09118-EE62-4797-A8C4-ADE3D5B1B963}" srcOrd="0" destOrd="0" presId="urn:microsoft.com/office/officeart/2008/layout/NameandTitleOrganizationalChart"/>
    <dgm:cxn modelId="{99021AAA-3027-487E-B6FE-A2BCCC2B43A9}" srcId="{6A554E02-28B2-4829-8D7A-BDEDB28AF203}" destId="{A2C38ABC-65D2-4D50-B183-0D5B40AF8E1C}" srcOrd="1" destOrd="0" parTransId="{1E762F80-EFDF-4663-A7C1-52524CE1A1F4}" sibTransId="{B1F3D2DC-2945-425A-8A1B-A5A9F5D39C7A}"/>
    <dgm:cxn modelId="{F51250AC-23EC-4637-9CAE-3E9A8C1EB30C}" type="presOf" srcId="{E2B4D34E-3F04-4011-85F5-D917DE8D1C7C}" destId="{6CDE847B-CF37-4B1F-9ECB-986510D7E786}" srcOrd="0" destOrd="0" presId="urn:microsoft.com/office/officeart/2008/layout/NameandTitleOrganizationalChart"/>
    <dgm:cxn modelId="{463ECCB7-FDC5-42C1-8DDF-5E63CE61B381}" type="presOf" srcId="{24CFE67C-30A7-45B0-9B47-17218AFA4539}" destId="{87E1AAAD-F098-4AF1-BC6F-973936E050EB}" srcOrd="0" destOrd="0" presId="urn:microsoft.com/office/officeart/2008/layout/NameandTitleOrganizationalChart"/>
    <dgm:cxn modelId="{EE4761C7-A1A0-47E1-85EC-17BF16B48B1D}" type="presOf" srcId="{EC8A4711-78E9-4F3C-A722-0CA57BA5BD6D}" destId="{45095B45-18BF-4577-84D9-3BCDC7BD6A35}" srcOrd="0" destOrd="0" presId="urn:microsoft.com/office/officeart/2008/layout/NameandTitleOrganizationalChart"/>
    <dgm:cxn modelId="{E0BC42C8-7BFC-44E6-8E08-46ECA5B505E0}" type="presOf" srcId="{AEAF7659-8164-41A6-9C19-918ABFB7752A}" destId="{71A1133C-D8D9-421C-8DAE-4FFA536B63C3}" srcOrd="1" destOrd="0" presId="urn:microsoft.com/office/officeart/2008/layout/NameandTitleOrganizationalChart"/>
    <dgm:cxn modelId="{EEED4FC8-F495-4B99-B840-22AA27EA4BAA}" type="presOf" srcId="{B1F3D2DC-2945-425A-8A1B-A5A9F5D39C7A}" destId="{7F8ABDFD-3C56-40AC-A15E-535AAB0A1C5B}" srcOrd="0" destOrd="0" presId="urn:microsoft.com/office/officeart/2008/layout/NameandTitleOrganizationalChart"/>
    <dgm:cxn modelId="{EC8C6CD3-2CEF-4611-B6D1-C99770E3670F}" type="presOf" srcId="{AEAF7659-8164-41A6-9C19-918ABFB7752A}" destId="{F9B842F0-A13A-4608-8296-5FAB854B5F7A}" srcOrd="0" destOrd="0" presId="urn:microsoft.com/office/officeart/2008/layout/NameandTitleOrganizationalChart"/>
    <dgm:cxn modelId="{282B05E3-02AC-42AA-B714-1BA8822E6CD7}" srcId="{6A554E02-28B2-4829-8D7A-BDEDB28AF203}" destId="{AEAF7659-8164-41A6-9C19-918ABFB7752A}" srcOrd="0" destOrd="0" parTransId="{E2B4D34E-3F04-4011-85F5-D917DE8D1C7C}" sibTransId="{EC8A4711-78E9-4F3C-A722-0CA57BA5BD6D}"/>
    <dgm:cxn modelId="{C9A7E1E5-6DCF-4C78-8F33-F58B1113DB1D}" type="presOf" srcId="{24CFE67C-30A7-45B0-9B47-17218AFA4539}" destId="{6A1D5447-12CD-4385-A485-A29742E1F3B6}" srcOrd="1" destOrd="0" presId="urn:microsoft.com/office/officeart/2008/layout/NameandTitleOrganizationalChart"/>
    <dgm:cxn modelId="{9079D7F5-ABFD-4ABA-BCC3-7965ED79CE59}" type="presOf" srcId="{885D30C0-691C-4327-B198-742273FFCD43}" destId="{3E344848-41B3-4F1D-AEA9-A667C963B751}" srcOrd="0" destOrd="0" presId="urn:microsoft.com/office/officeart/2008/layout/NameandTitleOrganizationalChart"/>
    <dgm:cxn modelId="{2067185A-92D1-426C-826F-38EB26C7C517}" type="presParOf" srcId="{47B867FB-70A3-433F-ACFA-29FF12D49547}" destId="{137E55B8-E977-4F0F-BA02-5893B9568094}" srcOrd="0" destOrd="0" presId="urn:microsoft.com/office/officeart/2008/layout/NameandTitleOrganizationalChart"/>
    <dgm:cxn modelId="{C7840F58-ED12-483D-9340-335694A54044}" type="presParOf" srcId="{137E55B8-E977-4F0F-BA02-5893B9568094}" destId="{78E9723B-90C4-465D-8A9D-7E563AF6874F}" srcOrd="0" destOrd="0" presId="urn:microsoft.com/office/officeart/2008/layout/NameandTitleOrganizationalChart"/>
    <dgm:cxn modelId="{14DFC390-CD3D-43D9-9795-F09DCA48F840}" type="presParOf" srcId="{78E9723B-90C4-465D-8A9D-7E563AF6874F}" destId="{3E344848-41B3-4F1D-AEA9-A667C963B751}" srcOrd="0" destOrd="0" presId="urn:microsoft.com/office/officeart/2008/layout/NameandTitleOrganizationalChart"/>
    <dgm:cxn modelId="{C7DFC815-979F-40FE-9151-B9F7AB68503A}" type="presParOf" srcId="{78E9723B-90C4-465D-8A9D-7E563AF6874F}" destId="{3FC7F4CB-074F-49AD-ACC3-AFA739809418}" srcOrd="1" destOrd="0" presId="urn:microsoft.com/office/officeart/2008/layout/NameandTitleOrganizationalChart"/>
    <dgm:cxn modelId="{F5A2F8F5-63EA-4D28-A592-CEC5B0E02D34}" type="presParOf" srcId="{78E9723B-90C4-465D-8A9D-7E563AF6874F}" destId="{76D8B886-54DD-4C1C-B75C-0DD3DC212585}" srcOrd="2" destOrd="0" presId="urn:microsoft.com/office/officeart/2008/layout/NameandTitleOrganizationalChart"/>
    <dgm:cxn modelId="{F897B6B4-054E-425A-9FC9-7AC2BAB7BC44}" type="presParOf" srcId="{137E55B8-E977-4F0F-BA02-5893B9568094}" destId="{F321D4B5-FA0B-48F1-9BFE-22D3865D86A8}" srcOrd="1" destOrd="0" presId="urn:microsoft.com/office/officeart/2008/layout/NameandTitleOrganizationalChart"/>
    <dgm:cxn modelId="{C85475F0-8B6F-4583-896B-C8E05B7A0B31}" type="presParOf" srcId="{F321D4B5-FA0B-48F1-9BFE-22D3865D86A8}" destId="{6546757B-7DCB-4A56-9E04-7D4902ACAA5F}" srcOrd="0" destOrd="0" presId="urn:microsoft.com/office/officeart/2008/layout/NameandTitleOrganizationalChart"/>
    <dgm:cxn modelId="{A098C52E-91C3-4E7E-8FAB-B2C6FD4952F6}" type="presParOf" srcId="{F321D4B5-FA0B-48F1-9BFE-22D3865D86A8}" destId="{E759059C-2616-481E-811C-69D68E5A9A51}" srcOrd="1" destOrd="0" presId="urn:microsoft.com/office/officeart/2008/layout/NameandTitleOrganizationalChart"/>
    <dgm:cxn modelId="{32737F14-E2FD-42BF-AC11-351E05E409F3}" type="presParOf" srcId="{E759059C-2616-481E-811C-69D68E5A9A51}" destId="{31F60E6D-AEDA-4208-943C-9CD578836AF2}" srcOrd="0" destOrd="0" presId="urn:microsoft.com/office/officeart/2008/layout/NameandTitleOrganizationalChart"/>
    <dgm:cxn modelId="{59D10575-1631-4E0A-A8D2-A5EF720FD1D0}" type="presParOf" srcId="{31F60E6D-AEDA-4208-943C-9CD578836AF2}" destId="{7CF2B77E-AC7C-41F7-AF91-EFAB0453E8B6}" srcOrd="0" destOrd="0" presId="urn:microsoft.com/office/officeart/2008/layout/NameandTitleOrganizationalChart"/>
    <dgm:cxn modelId="{93A5343C-D00A-4AD6-98C1-D499DF57DF27}" type="presParOf" srcId="{31F60E6D-AEDA-4208-943C-9CD578836AF2}" destId="{1B33311B-1DF7-4F7B-A0D3-F7B721026304}" srcOrd="1" destOrd="0" presId="urn:microsoft.com/office/officeart/2008/layout/NameandTitleOrganizationalChart"/>
    <dgm:cxn modelId="{8E104369-5556-469A-9F9E-6AC1BE2B9A7F}" type="presParOf" srcId="{31F60E6D-AEDA-4208-943C-9CD578836AF2}" destId="{EDB3F664-6E03-4676-A5F7-1809EAF8FE0F}" srcOrd="2" destOrd="0" presId="urn:microsoft.com/office/officeart/2008/layout/NameandTitleOrganizationalChart"/>
    <dgm:cxn modelId="{5A1016B7-E4CC-41EF-AAAF-D7D80E97F737}" type="presParOf" srcId="{E759059C-2616-481E-811C-69D68E5A9A51}" destId="{19C950C3-AABB-4521-8187-5877137587EE}" srcOrd="1" destOrd="0" presId="urn:microsoft.com/office/officeart/2008/layout/NameandTitleOrganizationalChart"/>
    <dgm:cxn modelId="{3CF7F655-E4E5-419A-BFC1-8423A4718616}" type="presParOf" srcId="{19C950C3-AABB-4521-8187-5877137587EE}" destId="{6CDE847B-CF37-4B1F-9ECB-986510D7E786}" srcOrd="0" destOrd="0" presId="urn:microsoft.com/office/officeart/2008/layout/NameandTitleOrganizationalChart"/>
    <dgm:cxn modelId="{E6C29B09-6850-4DDB-9E61-6AE5681A9C96}" type="presParOf" srcId="{19C950C3-AABB-4521-8187-5877137587EE}" destId="{D058CCE1-7932-4C89-8D31-F597B5674927}" srcOrd="1" destOrd="0" presId="urn:microsoft.com/office/officeart/2008/layout/NameandTitleOrganizationalChart"/>
    <dgm:cxn modelId="{1B1D3AA7-3009-4074-A372-BD85AD31FEB2}" type="presParOf" srcId="{D058CCE1-7932-4C89-8D31-F597B5674927}" destId="{6795C9AD-CC8A-41FD-B7D8-3F6779EBFA4F}" srcOrd="0" destOrd="0" presId="urn:microsoft.com/office/officeart/2008/layout/NameandTitleOrganizationalChart"/>
    <dgm:cxn modelId="{99AF053F-D43A-49A3-9E72-6EC589FB31DC}" type="presParOf" srcId="{6795C9AD-CC8A-41FD-B7D8-3F6779EBFA4F}" destId="{F9B842F0-A13A-4608-8296-5FAB854B5F7A}" srcOrd="0" destOrd="0" presId="urn:microsoft.com/office/officeart/2008/layout/NameandTitleOrganizationalChart"/>
    <dgm:cxn modelId="{FF02D4E9-A9C9-4FE9-B016-047A086D9CA2}" type="presParOf" srcId="{6795C9AD-CC8A-41FD-B7D8-3F6779EBFA4F}" destId="{45095B45-18BF-4577-84D9-3BCDC7BD6A35}" srcOrd="1" destOrd="0" presId="urn:microsoft.com/office/officeart/2008/layout/NameandTitleOrganizationalChart"/>
    <dgm:cxn modelId="{9830A739-45F9-4FE2-924E-32BAA9E06A84}" type="presParOf" srcId="{6795C9AD-CC8A-41FD-B7D8-3F6779EBFA4F}" destId="{71A1133C-D8D9-421C-8DAE-4FFA536B63C3}" srcOrd="2" destOrd="0" presId="urn:microsoft.com/office/officeart/2008/layout/NameandTitleOrganizationalChart"/>
    <dgm:cxn modelId="{C400F69C-7929-4AC4-85CC-DF6192C4BAAA}" type="presParOf" srcId="{D058CCE1-7932-4C89-8D31-F597B5674927}" destId="{D1076BF6-49F8-4605-9D4B-5CF67E8FE3B0}" srcOrd="1" destOrd="0" presId="urn:microsoft.com/office/officeart/2008/layout/NameandTitleOrganizationalChart"/>
    <dgm:cxn modelId="{26D19E43-7B86-4816-BEF5-208414C0226D}" type="presParOf" srcId="{D058CCE1-7932-4C89-8D31-F597B5674927}" destId="{473D56EB-AD3A-4CF8-BAC6-2EA9342C0C47}" srcOrd="2" destOrd="0" presId="urn:microsoft.com/office/officeart/2008/layout/NameandTitleOrganizationalChart"/>
    <dgm:cxn modelId="{BB2D3786-99DF-46B9-BC9D-C4504FAD6F49}" type="presParOf" srcId="{19C950C3-AABB-4521-8187-5877137587EE}" destId="{56E82A83-FEA3-4FC4-A744-3B2B31D3B585}" srcOrd="2" destOrd="0" presId="urn:microsoft.com/office/officeart/2008/layout/NameandTitleOrganizationalChart"/>
    <dgm:cxn modelId="{431C2C59-65F5-4325-83D6-EDED8DEDD36A}" type="presParOf" srcId="{19C950C3-AABB-4521-8187-5877137587EE}" destId="{05F1CF91-6306-475B-B468-4D8C7A7B46E7}" srcOrd="3" destOrd="0" presId="urn:microsoft.com/office/officeart/2008/layout/NameandTitleOrganizationalChart"/>
    <dgm:cxn modelId="{AD6695BD-7303-4E68-9510-96F40B6822AC}" type="presParOf" srcId="{05F1CF91-6306-475B-B468-4D8C7A7B46E7}" destId="{A7305748-F0D1-4B5C-8AC9-159B926A13F0}" srcOrd="0" destOrd="0" presId="urn:microsoft.com/office/officeart/2008/layout/NameandTitleOrganizationalChart"/>
    <dgm:cxn modelId="{093DBD7A-C5C0-4D8C-845E-9FA3573265B2}" type="presParOf" srcId="{A7305748-F0D1-4B5C-8AC9-159B926A13F0}" destId="{A6698801-95E5-4313-8FF3-DF3B1D4F9325}" srcOrd="0" destOrd="0" presId="urn:microsoft.com/office/officeart/2008/layout/NameandTitleOrganizationalChart"/>
    <dgm:cxn modelId="{B710BBCC-2E0C-449B-BE1F-FCE2B372BD1C}" type="presParOf" srcId="{A7305748-F0D1-4B5C-8AC9-159B926A13F0}" destId="{7F8ABDFD-3C56-40AC-A15E-535AAB0A1C5B}" srcOrd="1" destOrd="0" presId="urn:microsoft.com/office/officeart/2008/layout/NameandTitleOrganizationalChart"/>
    <dgm:cxn modelId="{75A4238E-1AF0-4526-957C-E3C91D2380AD}" type="presParOf" srcId="{A7305748-F0D1-4B5C-8AC9-159B926A13F0}" destId="{023EC86D-1421-47FC-AD45-C72907C923D6}" srcOrd="2" destOrd="0" presId="urn:microsoft.com/office/officeart/2008/layout/NameandTitleOrganizationalChart"/>
    <dgm:cxn modelId="{D1E6384F-F3D2-455B-9807-65D64A765C8A}" type="presParOf" srcId="{05F1CF91-6306-475B-B468-4D8C7A7B46E7}" destId="{854A9296-9D0B-446B-B18E-EE73EE79B671}" srcOrd="1" destOrd="0" presId="urn:microsoft.com/office/officeart/2008/layout/NameandTitleOrganizationalChart"/>
    <dgm:cxn modelId="{B077EC78-C662-40E4-8BFB-0D69A930B1C6}" type="presParOf" srcId="{05F1CF91-6306-475B-B468-4D8C7A7B46E7}" destId="{5C5513AF-6450-4B23-A94A-B716E286966C}" srcOrd="2" destOrd="0" presId="urn:microsoft.com/office/officeart/2008/layout/NameandTitleOrganizationalChart"/>
    <dgm:cxn modelId="{016BCA4E-5642-4190-9D0A-3F1095F62B7A}" type="presParOf" srcId="{E759059C-2616-481E-811C-69D68E5A9A51}" destId="{80EE7FBF-60F3-43C4-951A-A1B15C26F4D0}" srcOrd="2" destOrd="0" presId="urn:microsoft.com/office/officeart/2008/layout/NameandTitleOrganizationalChart"/>
    <dgm:cxn modelId="{6A9F257C-974D-4329-B172-7FA6453EFD41}" type="presParOf" srcId="{F321D4B5-FA0B-48F1-9BFE-22D3865D86A8}" destId="{86F858D9-4155-4CCA-A8DF-1779C879E7DD}" srcOrd="2" destOrd="0" presId="urn:microsoft.com/office/officeart/2008/layout/NameandTitleOrganizationalChart"/>
    <dgm:cxn modelId="{B23D7718-F775-4311-9E3A-35DD432CD0D5}" type="presParOf" srcId="{F321D4B5-FA0B-48F1-9BFE-22D3865D86A8}" destId="{D8EB32C9-CBD0-432F-829E-A62E13F43D2B}" srcOrd="3" destOrd="0" presId="urn:microsoft.com/office/officeart/2008/layout/NameandTitleOrganizationalChart"/>
    <dgm:cxn modelId="{DB7D4BA0-927A-4571-BFBD-26CCFAF6A0BA}" type="presParOf" srcId="{D8EB32C9-CBD0-432F-829E-A62E13F43D2B}" destId="{F0B35354-176F-4810-AC1F-DD6558AC7D3F}" srcOrd="0" destOrd="0" presId="urn:microsoft.com/office/officeart/2008/layout/NameandTitleOrganizationalChart"/>
    <dgm:cxn modelId="{ADCFDA51-BB56-4E66-8CDE-75BEDCFF6DDF}" type="presParOf" srcId="{F0B35354-176F-4810-AC1F-DD6558AC7D3F}" destId="{87E1AAAD-F098-4AF1-BC6F-973936E050EB}" srcOrd="0" destOrd="0" presId="urn:microsoft.com/office/officeart/2008/layout/NameandTitleOrganizationalChart"/>
    <dgm:cxn modelId="{DCBC0011-4AFA-4572-86DA-CEB1ACD419A3}" type="presParOf" srcId="{F0B35354-176F-4810-AC1F-DD6558AC7D3F}" destId="{04F09118-EE62-4797-A8C4-ADE3D5B1B963}" srcOrd="1" destOrd="0" presId="urn:microsoft.com/office/officeart/2008/layout/NameandTitleOrganizationalChart"/>
    <dgm:cxn modelId="{847DEC73-2E40-4C38-BE77-A712B84757B0}" type="presParOf" srcId="{F0B35354-176F-4810-AC1F-DD6558AC7D3F}" destId="{6A1D5447-12CD-4385-A485-A29742E1F3B6}" srcOrd="2" destOrd="0" presId="urn:microsoft.com/office/officeart/2008/layout/NameandTitleOrganizationalChart"/>
    <dgm:cxn modelId="{435EFDBE-16E2-430A-BF8E-12A8E9BD5ED7}" type="presParOf" srcId="{D8EB32C9-CBD0-432F-829E-A62E13F43D2B}" destId="{DCD2DCBD-599B-4BAE-B9C9-4B60B75A922E}" srcOrd="1" destOrd="0" presId="urn:microsoft.com/office/officeart/2008/layout/NameandTitleOrganizationalChart"/>
    <dgm:cxn modelId="{75283663-942F-4690-A959-C5CB9A5B85A3}" type="presParOf" srcId="{D8EB32C9-CBD0-432F-829E-A62E13F43D2B}" destId="{FD1513E5-0CCC-4F37-A384-25F594E0D71D}" srcOrd="2" destOrd="0" presId="urn:microsoft.com/office/officeart/2008/layout/NameandTitleOrganizationalChart"/>
    <dgm:cxn modelId="{D73183A8-48B2-4A24-8947-CDBA606FA772}" type="presParOf" srcId="{137E55B8-E977-4F0F-BA02-5893B9568094}" destId="{AF476436-1547-4B84-A41F-046F43853406}" srcOrd="2" destOrd="0" presId="urn:microsoft.com/office/officeart/2008/layout/NameandTitleOrganizationalChar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858D9-4155-4CCA-A8DF-1779C879E7DD}">
      <dsp:nvSpPr>
        <dsp:cNvPr id="0" name=""/>
        <dsp:cNvSpPr/>
      </dsp:nvSpPr>
      <dsp:spPr>
        <a:xfrm>
          <a:off x="2484718" y="649987"/>
          <a:ext cx="778436" cy="774885"/>
        </a:xfrm>
        <a:custGeom>
          <a:avLst/>
          <a:gdLst/>
          <a:ahLst/>
          <a:cxnLst/>
          <a:rect l="0" t="0" r="0" b="0"/>
          <a:pathLst>
            <a:path>
              <a:moveTo>
                <a:pt x="0" y="0"/>
              </a:moveTo>
              <a:lnTo>
                <a:pt x="0" y="623401"/>
              </a:lnTo>
              <a:lnTo>
                <a:pt x="778436" y="623401"/>
              </a:lnTo>
              <a:lnTo>
                <a:pt x="778436" y="774885"/>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82A83-FEA3-4FC4-A744-3B2B31D3B585}">
      <dsp:nvSpPr>
        <dsp:cNvPr id="0" name=""/>
        <dsp:cNvSpPr/>
      </dsp:nvSpPr>
      <dsp:spPr>
        <a:xfrm>
          <a:off x="1706281" y="2074089"/>
          <a:ext cx="778436" cy="801312"/>
        </a:xfrm>
        <a:custGeom>
          <a:avLst/>
          <a:gdLst/>
          <a:ahLst/>
          <a:cxnLst/>
          <a:rect l="0" t="0" r="0" b="0"/>
          <a:pathLst>
            <a:path>
              <a:moveTo>
                <a:pt x="0" y="0"/>
              </a:moveTo>
              <a:lnTo>
                <a:pt x="0" y="649828"/>
              </a:lnTo>
              <a:lnTo>
                <a:pt x="778436" y="649828"/>
              </a:lnTo>
              <a:lnTo>
                <a:pt x="778436" y="801312"/>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E847B-CF37-4B1F-9ECB-986510D7E786}">
      <dsp:nvSpPr>
        <dsp:cNvPr id="0" name=""/>
        <dsp:cNvSpPr/>
      </dsp:nvSpPr>
      <dsp:spPr>
        <a:xfrm>
          <a:off x="927845" y="2074089"/>
          <a:ext cx="778436" cy="801312"/>
        </a:xfrm>
        <a:custGeom>
          <a:avLst/>
          <a:gdLst/>
          <a:ahLst/>
          <a:cxnLst/>
          <a:rect l="0" t="0" r="0" b="0"/>
          <a:pathLst>
            <a:path>
              <a:moveTo>
                <a:pt x="778436" y="0"/>
              </a:moveTo>
              <a:lnTo>
                <a:pt x="778436" y="649828"/>
              </a:lnTo>
              <a:lnTo>
                <a:pt x="0" y="649828"/>
              </a:lnTo>
              <a:lnTo>
                <a:pt x="0" y="801312"/>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46757B-7DCB-4A56-9E04-7D4902ACAA5F}">
      <dsp:nvSpPr>
        <dsp:cNvPr id="0" name=""/>
        <dsp:cNvSpPr/>
      </dsp:nvSpPr>
      <dsp:spPr>
        <a:xfrm>
          <a:off x="1706281" y="649987"/>
          <a:ext cx="778436" cy="774885"/>
        </a:xfrm>
        <a:custGeom>
          <a:avLst/>
          <a:gdLst/>
          <a:ahLst/>
          <a:cxnLst/>
          <a:rect l="0" t="0" r="0" b="0"/>
          <a:pathLst>
            <a:path>
              <a:moveTo>
                <a:pt x="778436" y="0"/>
              </a:moveTo>
              <a:lnTo>
                <a:pt x="778436" y="623401"/>
              </a:lnTo>
              <a:lnTo>
                <a:pt x="0" y="623401"/>
              </a:lnTo>
              <a:lnTo>
                <a:pt x="0" y="774885"/>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344848-41B3-4F1D-AEA9-A667C963B751}">
      <dsp:nvSpPr>
        <dsp:cNvPr id="0" name=""/>
        <dsp:cNvSpPr/>
      </dsp:nvSpPr>
      <dsp:spPr>
        <a:xfrm>
          <a:off x="1857765" y="771"/>
          <a:ext cx="1253904" cy="649216"/>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91612" numCol="1" spcCol="1270" anchor="ctr" anchorCtr="0">
          <a:noAutofit/>
        </a:bodyPr>
        <a:lstStyle/>
        <a:p>
          <a:pPr marL="0" lvl="0" indent="0" algn="ctr" defTabSz="889000">
            <a:lnSpc>
              <a:spcPct val="90000"/>
            </a:lnSpc>
            <a:spcBef>
              <a:spcPct val="0"/>
            </a:spcBef>
            <a:spcAft>
              <a:spcPct val="35000"/>
            </a:spcAft>
            <a:buNone/>
          </a:pPr>
          <a:r>
            <a:rPr lang="cs-CZ" sz="2000" kern="1200"/>
            <a:t>ROE</a:t>
          </a:r>
        </a:p>
      </dsp:txBody>
      <dsp:txXfrm>
        <a:off x="1857765" y="771"/>
        <a:ext cx="1253904" cy="649216"/>
      </dsp:txXfrm>
    </dsp:sp>
    <dsp:sp modelId="{3FC7F4CB-074F-49AD-ACC3-AFA739809418}">
      <dsp:nvSpPr>
        <dsp:cNvPr id="0" name=""/>
        <dsp:cNvSpPr/>
      </dsp:nvSpPr>
      <dsp:spPr>
        <a:xfrm>
          <a:off x="2972853" y="237409"/>
          <a:ext cx="456145" cy="1015971"/>
        </a:xfrm>
        <a:prstGeom prst="rect">
          <a:avLst/>
        </a:prstGeom>
        <a:solidFill>
          <a:schemeClr val="lt1">
            <a:alpha val="9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cs-CZ" sz="1000" kern="1200"/>
            <a:t>0,44</a:t>
          </a:r>
        </a:p>
        <a:p>
          <a:pPr marL="0" lvl="0" indent="0" algn="l" defTabSz="444500">
            <a:lnSpc>
              <a:spcPct val="90000"/>
            </a:lnSpc>
            <a:spcBef>
              <a:spcPct val="0"/>
            </a:spcBef>
            <a:spcAft>
              <a:spcPct val="35000"/>
            </a:spcAft>
            <a:buNone/>
          </a:pPr>
          <a:r>
            <a:rPr lang="cs-CZ" sz="1000" kern="1200"/>
            <a:t>0,1</a:t>
          </a:r>
        </a:p>
        <a:p>
          <a:pPr marL="0" lvl="0" indent="0" algn="l" defTabSz="444500">
            <a:lnSpc>
              <a:spcPct val="90000"/>
            </a:lnSpc>
            <a:spcBef>
              <a:spcPct val="0"/>
            </a:spcBef>
            <a:spcAft>
              <a:spcPct val="35000"/>
            </a:spcAft>
            <a:buNone/>
          </a:pPr>
          <a:r>
            <a:rPr lang="cs-CZ" sz="1000" kern="1200"/>
            <a:t>0,15</a:t>
          </a:r>
        </a:p>
        <a:p>
          <a:pPr marL="0" lvl="0" indent="0" algn="l" defTabSz="444500">
            <a:lnSpc>
              <a:spcPct val="90000"/>
            </a:lnSpc>
            <a:spcBef>
              <a:spcPct val="0"/>
            </a:spcBef>
            <a:spcAft>
              <a:spcPct val="35000"/>
            </a:spcAft>
            <a:buNone/>
          </a:pPr>
          <a:r>
            <a:rPr lang="cs-CZ" sz="1000" kern="1200"/>
            <a:t>0,23</a:t>
          </a:r>
        </a:p>
        <a:p>
          <a:pPr marL="0" lvl="0" indent="0" algn="l" defTabSz="444500">
            <a:lnSpc>
              <a:spcPct val="90000"/>
            </a:lnSpc>
            <a:spcBef>
              <a:spcPct val="0"/>
            </a:spcBef>
            <a:spcAft>
              <a:spcPct val="35000"/>
            </a:spcAft>
            <a:buNone/>
          </a:pPr>
          <a:r>
            <a:rPr lang="cs-CZ" sz="1000" kern="1200"/>
            <a:t>0,31</a:t>
          </a:r>
        </a:p>
      </dsp:txBody>
      <dsp:txXfrm>
        <a:off x="2972853" y="237409"/>
        <a:ext cx="456145" cy="1015971"/>
      </dsp:txXfrm>
    </dsp:sp>
    <dsp:sp modelId="{7CF2B77E-AC7C-41F7-AF91-EFAB0453E8B6}">
      <dsp:nvSpPr>
        <dsp:cNvPr id="0" name=""/>
        <dsp:cNvSpPr/>
      </dsp:nvSpPr>
      <dsp:spPr>
        <a:xfrm>
          <a:off x="1079329" y="1424873"/>
          <a:ext cx="1253904" cy="649216"/>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91612" numCol="1" spcCol="1270" anchor="ctr" anchorCtr="0">
          <a:noAutofit/>
        </a:bodyPr>
        <a:lstStyle/>
        <a:p>
          <a:pPr marL="0" lvl="0" indent="0" algn="ctr" defTabSz="889000">
            <a:lnSpc>
              <a:spcPct val="90000"/>
            </a:lnSpc>
            <a:spcBef>
              <a:spcPct val="0"/>
            </a:spcBef>
            <a:spcAft>
              <a:spcPct val="35000"/>
            </a:spcAft>
            <a:buNone/>
          </a:pPr>
          <a:r>
            <a:rPr lang="cs-CZ" sz="2000" kern="1200"/>
            <a:t>ROA</a:t>
          </a:r>
        </a:p>
      </dsp:txBody>
      <dsp:txXfrm>
        <a:off x="1079329" y="1424873"/>
        <a:ext cx="1253904" cy="649216"/>
      </dsp:txXfrm>
    </dsp:sp>
    <dsp:sp modelId="{1B33311B-1DF7-4F7B-A0D3-F7B721026304}">
      <dsp:nvSpPr>
        <dsp:cNvPr id="0" name=""/>
        <dsp:cNvSpPr/>
      </dsp:nvSpPr>
      <dsp:spPr>
        <a:xfrm>
          <a:off x="2105349" y="1777231"/>
          <a:ext cx="456878" cy="1068824"/>
        </a:xfrm>
        <a:prstGeom prst="rect">
          <a:avLst/>
        </a:prstGeom>
        <a:solidFill>
          <a:schemeClr val="lt1">
            <a:alpha val="9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cs-CZ" sz="1000" kern="1200"/>
            <a:t>0,09</a:t>
          </a:r>
        </a:p>
        <a:p>
          <a:pPr marL="0" lvl="0" indent="0" algn="l" defTabSz="444500">
            <a:lnSpc>
              <a:spcPct val="90000"/>
            </a:lnSpc>
            <a:spcBef>
              <a:spcPct val="0"/>
            </a:spcBef>
            <a:spcAft>
              <a:spcPct val="35000"/>
            </a:spcAft>
            <a:buNone/>
          </a:pPr>
          <a:r>
            <a:rPr lang="cs-CZ" sz="1000" kern="1200"/>
            <a:t>0,04</a:t>
          </a:r>
        </a:p>
        <a:p>
          <a:pPr marL="0" lvl="0" indent="0" algn="l" defTabSz="444500">
            <a:lnSpc>
              <a:spcPct val="90000"/>
            </a:lnSpc>
            <a:spcBef>
              <a:spcPct val="0"/>
            </a:spcBef>
            <a:spcAft>
              <a:spcPct val="35000"/>
            </a:spcAft>
            <a:buNone/>
          </a:pPr>
          <a:r>
            <a:rPr lang="cs-CZ" sz="1000" kern="1200"/>
            <a:t>0,06</a:t>
          </a:r>
        </a:p>
        <a:p>
          <a:pPr marL="0" lvl="0" indent="0" algn="l" defTabSz="444500">
            <a:lnSpc>
              <a:spcPct val="90000"/>
            </a:lnSpc>
            <a:spcBef>
              <a:spcPct val="0"/>
            </a:spcBef>
            <a:spcAft>
              <a:spcPct val="35000"/>
            </a:spcAft>
            <a:buNone/>
          </a:pPr>
          <a:r>
            <a:rPr lang="cs-CZ" sz="1000" kern="1200"/>
            <a:t>0,10</a:t>
          </a:r>
        </a:p>
        <a:p>
          <a:pPr marL="0" lvl="0" indent="0" algn="l" defTabSz="444500">
            <a:lnSpc>
              <a:spcPct val="90000"/>
            </a:lnSpc>
            <a:spcBef>
              <a:spcPct val="0"/>
            </a:spcBef>
            <a:spcAft>
              <a:spcPct val="35000"/>
            </a:spcAft>
            <a:buNone/>
          </a:pPr>
          <a:r>
            <a:rPr lang="cs-CZ" sz="1000" kern="1200"/>
            <a:t>0,14</a:t>
          </a:r>
        </a:p>
      </dsp:txBody>
      <dsp:txXfrm>
        <a:off x="2105349" y="1777231"/>
        <a:ext cx="456878" cy="1068824"/>
      </dsp:txXfrm>
    </dsp:sp>
    <dsp:sp modelId="{F9B842F0-A13A-4608-8296-5FAB854B5F7A}">
      <dsp:nvSpPr>
        <dsp:cNvPr id="0" name=""/>
        <dsp:cNvSpPr/>
      </dsp:nvSpPr>
      <dsp:spPr>
        <a:xfrm>
          <a:off x="300893" y="2875401"/>
          <a:ext cx="1253904" cy="649216"/>
        </a:xfrm>
        <a:prstGeom prst="rect">
          <a:avLst/>
        </a:prstGeom>
        <a:solidFill>
          <a:schemeClr val="accent6">
            <a:shade val="80000"/>
            <a:hueOff val="107093"/>
            <a:satOff val="-4303"/>
            <a:lumOff val="92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91612" numCol="1" spcCol="1270" anchor="ctr" anchorCtr="0">
          <a:noAutofit/>
        </a:bodyPr>
        <a:lstStyle/>
        <a:p>
          <a:pPr marL="0" lvl="0" indent="0" algn="ctr" defTabSz="889000">
            <a:lnSpc>
              <a:spcPct val="90000"/>
            </a:lnSpc>
            <a:spcBef>
              <a:spcPct val="0"/>
            </a:spcBef>
            <a:spcAft>
              <a:spcPct val="35000"/>
            </a:spcAft>
            <a:buNone/>
          </a:pPr>
          <a:r>
            <a:rPr lang="cs-CZ" sz="2000" kern="1200"/>
            <a:t>ROS</a:t>
          </a:r>
        </a:p>
      </dsp:txBody>
      <dsp:txXfrm>
        <a:off x="300893" y="2875401"/>
        <a:ext cx="1253904" cy="649216"/>
      </dsp:txXfrm>
    </dsp:sp>
    <dsp:sp modelId="{45095B45-18BF-4577-84D9-3BCDC7BD6A35}">
      <dsp:nvSpPr>
        <dsp:cNvPr id="0" name=""/>
        <dsp:cNvSpPr/>
      </dsp:nvSpPr>
      <dsp:spPr>
        <a:xfrm>
          <a:off x="1266898" y="3009894"/>
          <a:ext cx="409503" cy="958855"/>
        </a:xfrm>
        <a:prstGeom prst="rect">
          <a:avLst/>
        </a:prstGeom>
        <a:solidFill>
          <a:schemeClr val="lt1">
            <a:alpha val="90000"/>
            <a:hueOff val="0"/>
            <a:satOff val="0"/>
            <a:lumOff val="0"/>
            <a:alphaOff val="0"/>
          </a:schemeClr>
        </a:solidFill>
        <a:ln w="12700" cap="flat" cmpd="sng" algn="ctr">
          <a:solidFill>
            <a:schemeClr val="accent6">
              <a:shade val="80000"/>
              <a:hueOff val="107093"/>
              <a:satOff val="-4303"/>
              <a:lumOff val="92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en-GB" sz="1000" kern="1200"/>
            <a:t>0,03</a:t>
          </a:r>
        </a:p>
        <a:p>
          <a:pPr marL="0" lvl="0" indent="0" algn="l" defTabSz="444500">
            <a:lnSpc>
              <a:spcPct val="90000"/>
            </a:lnSpc>
            <a:spcBef>
              <a:spcPct val="0"/>
            </a:spcBef>
            <a:spcAft>
              <a:spcPct val="35000"/>
            </a:spcAft>
            <a:buNone/>
          </a:pPr>
          <a:r>
            <a:rPr lang="en-GB" sz="1000" kern="1200"/>
            <a:t>0,02</a:t>
          </a:r>
        </a:p>
        <a:p>
          <a:pPr marL="0" lvl="0" indent="0" algn="l" defTabSz="444500">
            <a:lnSpc>
              <a:spcPct val="90000"/>
            </a:lnSpc>
            <a:spcBef>
              <a:spcPct val="0"/>
            </a:spcBef>
            <a:spcAft>
              <a:spcPct val="35000"/>
            </a:spcAft>
            <a:buNone/>
          </a:pPr>
          <a:r>
            <a:rPr lang="en-GB" sz="1000" kern="1200"/>
            <a:t>0,03</a:t>
          </a:r>
        </a:p>
        <a:p>
          <a:pPr marL="0" lvl="0" indent="0" algn="l" defTabSz="444500">
            <a:lnSpc>
              <a:spcPct val="90000"/>
            </a:lnSpc>
            <a:spcBef>
              <a:spcPct val="0"/>
            </a:spcBef>
            <a:spcAft>
              <a:spcPct val="35000"/>
            </a:spcAft>
            <a:buNone/>
          </a:pPr>
          <a:r>
            <a:rPr lang="en-GB" sz="1000" kern="1200"/>
            <a:t>0,04</a:t>
          </a:r>
        </a:p>
        <a:p>
          <a:pPr marL="0" lvl="0" indent="0" algn="l" defTabSz="444500">
            <a:lnSpc>
              <a:spcPct val="90000"/>
            </a:lnSpc>
            <a:spcBef>
              <a:spcPct val="0"/>
            </a:spcBef>
            <a:spcAft>
              <a:spcPct val="35000"/>
            </a:spcAft>
            <a:buNone/>
          </a:pPr>
          <a:r>
            <a:rPr lang="en-GB" sz="1000" kern="1200"/>
            <a:t>0,06</a:t>
          </a:r>
          <a:endParaRPr lang="cs-CZ" sz="1000" kern="1200"/>
        </a:p>
      </dsp:txBody>
      <dsp:txXfrm>
        <a:off x="1266898" y="3009894"/>
        <a:ext cx="409503" cy="958855"/>
      </dsp:txXfrm>
    </dsp:sp>
    <dsp:sp modelId="{A6698801-95E5-4313-8FF3-DF3B1D4F9325}">
      <dsp:nvSpPr>
        <dsp:cNvPr id="0" name=""/>
        <dsp:cNvSpPr/>
      </dsp:nvSpPr>
      <dsp:spPr>
        <a:xfrm>
          <a:off x="1857765" y="2875401"/>
          <a:ext cx="1253904" cy="649216"/>
        </a:xfrm>
        <a:prstGeom prst="rect">
          <a:avLst/>
        </a:prstGeom>
        <a:solidFill>
          <a:schemeClr val="accent6">
            <a:shade val="80000"/>
            <a:hueOff val="214187"/>
            <a:satOff val="-8606"/>
            <a:lumOff val="184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91612" numCol="1" spcCol="1270" anchor="ctr" anchorCtr="0">
          <a:noAutofit/>
        </a:bodyPr>
        <a:lstStyle/>
        <a:p>
          <a:pPr marL="0" lvl="0" indent="0" algn="ctr" defTabSz="889000">
            <a:lnSpc>
              <a:spcPct val="90000"/>
            </a:lnSpc>
            <a:spcBef>
              <a:spcPct val="0"/>
            </a:spcBef>
            <a:spcAft>
              <a:spcPct val="35000"/>
            </a:spcAft>
            <a:buNone/>
          </a:pPr>
          <a:r>
            <a:rPr lang="cs-CZ" sz="2000" kern="1200"/>
            <a:t>Obrat aktiv</a:t>
          </a:r>
        </a:p>
      </dsp:txBody>
      <dsp:txXfrm>
        <a:off x="1857765" y="2875401"/>
        <a:ext cx="1253904" cy="649216"/>
      </dsp:txXfrm>
    </dsp:sp>
    <dsp:sp modelId="{7F8ABDFD-3C56-40AC-A15E-535AAB0A1C5B}">
      <dsp:nvSpPr>
        <dsp:cNvPr id="0" name=""/>
        <dsp:cNvSpPr/>
      </dsp:nvSpPr>
      <dsp:spPr>
        <a:xfrm>
          <a:off x="3183021" y="3015254"/>
          <a:ext cx="312654" cy="940796"/>
        </a:xfrm>
        <a:prstGeom prst="rect">
          <a:avLst/>
        </a:prstGeom>
        <a:solidFill>
          <a:schemeClr val="lt1">
            <a:alpha val="90000"/>
            <a:hueOff val="0"/>
            <a:satOff val="0"/>
            <a:lumOff val="0"/>
            <a:alphaOff val="0"/>
          </a:schemeClr>
        </a:solidFill>
        <a:ln w="12700" cap="flat" cmpd="sng" algn="ctr">
          <a:solidFill>
            <a:schemeClr val="accent6">
              <a:shade val="80000"/>
              <a:hueOff val="214187"/>
              <a:satOff val="-8606"/>
              <a:lumOff val="184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en-GB" sz="1000" kern="1200"/>
            <a:t>2,75</a:t>
          </a:r>
        </a:p>
        <a:p>
          <a:pPr marL="0" lvl="0" indent="0" algn="l" defTabSz="444500">
            <a:lnSpc>
              <a:spcPct val="90000"/>
            </a:lnSpc>
            <a:spcBef>
              <a:spcPct val="0"/>
            </a:spcBef>
            <a:spcAft>
              <a:spcPct val="35000"/>
            </a:spcAft>
            <a:buNone/>
          </a:pPr>
          <a:r>
            <a:rPr lang="en-GB" sz="1000" kern="1200"/>
            <a:t>2,03</a:t>
          </a:r>
        </a:p>
        <a:p>
          <a:pPr marL="0" lvl="0" indent="0" algn="l" defTabSz="444500">
            <a:lnSpc>
              <a:spcPct val="90000"/>
            </a:lnSpc>
            <a:spcBef>
              <a:spcPct val="0"/>
            </a:spcBef>
            <a:spcAft>
              <a:spcPct val="35000"/>
            </a:spcAft>
            <a:buNone/>
          </a:pPr>
          <a:r>
            <a:rPr lang="en-GB" sz="1000" kern="1200"/>
            <a:t>2,37</a:t>
          </a:r>
        </a:p>
        <a:p>
          <a:pPr marL="0" lvl="0" indent="0" algn="l" defTabSz="444500">
            <a:lnSpc>
              <a:spcPct val="90000"/>
            </a:lnSpc>
            <a:spcBef>
              <a:spcPct val="0"/>
            </a:spcBef>
            <a:spcAft>
              <a:spcPct val="35000"/>
            </a:spcAft>
            <a:buNone/>
          </a:pPr>
          <a:r>
            <a:rPr lang="en-GB" sz="1000" kern="1200"/>
            <a:t>2,37</a:t>
          </a:r>
        </a:p>
        <a:p>
          <a:pPr marL="0" lvl="0" indent="0" algn="l" defTabSz="444500">
            <a:lnSpc>
              <a:spcPct val="90000"/>
            </a:lnSpc>
            <a:spcBef>
              <a:spcPct val="0"/>
            </a:spcBef>
            <a:spcAft>
              <a:spcPct val="35000"/>
            </a:spcAft>
            <a:buNone/>
          </a:pPr>
          <a:r>
            <a:rPr lang="en-GB" sz="1000" kern="1200"/>
            <a:t>2,32</a:t>
          </a:r>
          <a:endParaRPr lang="cs-CZ" sz="1000" kern="1200"/>
        </a:p>
      </dsp:txBody>
      <dsp:txXfrm>
        <a:off x="3183021" y="3015254"/>
        <a:ext cx="312654" cy="940796"/>
      </dsp:txXfrm>
    </dsp:sp>
    <dsp:sp modelId="{87E1AAAD-F098-4AF1-BC6F-973936E050EB}">
      <dsp:nvSpPr>
        <dsp:cNvPr id="0" name=""/>
        <dsp:cNvSpPr/>
      </dsp:nvSpPr>
      <dsp:spPr>
        <a:xfrm>
          <a:off x="2636201" y="1424873"/>
          <a:ext cx="1253904" cy="649216"/>
        </a:xfrm>
        <a:prstGeom prst="rect">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91612" numCol="1" spcCol="1270" anchor="ctr" anchorCtr="0">
          <a:noAutofit/>
        </a:bodyPr>
        <a:lstStyle/>
        <a:p>
          <a:pPr marL="0" lvl="0" indent="0" algn="ctr" defTabSz="889000">
            <a:lnSpc>
              <a:spcPct val="90000"/>
            </a:lnSpc>
            <a:spcBef>
              <a:spcPct val="0"/>
            </a:spcBef>
            <a:spcAft>
              <a:spcPct val="35000"/>
            </a:spcAft>
            <a:buNone/>
          </a:pPr>
          <a:r>
            <a:rPr lang="cs-CZ" sz="2000" kern="1200"/>
            <a:t>Finanční páka</a:t>
          </a:r>
        </a:p>
      </dsp:txBody>
      <dsp:txXfrm>
        <a:off x="2636201" y="1424873"/>
        <a:ext cx="1253904" cy="649216"/>
      </dsp:txXfrm>
    </dsp:sp>
    <dsp:sp modelId="{04F09118-EE62-4797-A8C4-ADE3D5B1B963}">
      <dsp:nvSpPr>
        <dsp:cNvPr id="0" name=""/>
        <dsp:cNvSpPr/>
      </dsp:nvSpPr>
      <dsp:spPr>
        <a:xfrm>
          <a:off x="3637320" y="1800095"/>
          <a:ext cx="452082" cy="1015058"/>
        </a:xfrm>
        <a:prstGeom prst="rect">
          <a:avLst/>
        </a:prstGeom>
        <a:solidFill>
          <a:schemeClr val="lt1">
            <a:alpha val="90000"/>
            <a:hueOff val="0"/>
            <a:satOff val="0"/>
            <a:lumOff val="0"/>
            <a:alphaOff val="0"/>
          </a:schemeClr>
        </a:solidFill>
        <a:ln w="12700" cap="flat" cmpd="sng" algn="ctr">
          <a:solidFill>
            <a:schemeClr val="accent6">
              <a:shade val="80000"/>
              <a:hueOff val="321280"/>
              <a:satOff val="-12909"/>
              <a:lumOff val="27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endParaRPr lang="en-GB" sz="1000" kern="1200"/>
        </a:p>
        <a:p>
          <a:pPr marL="0" lvl="0" indent="0" algn="l" defTabSz="444500">
            <a:lnSpc>
              <a:spcPct val="90000"/>
            </a:lnSpc>
            <a:spcBef>
              <a:spcPct val="0"/>
            </a:spcBef>
            <a:spcAft>
              <a:spcPct val="35000"/>
            </a:spcAft>
            <a:buNone/>
          </a:pPr>
          <a:r>
            <a:rPr lang="cs-CZ" sz="1000" kern="1200"/>
            <a:t>5</a:t>
          </a:r>
          <a:r>
            <a:rPr lang="en-GB" sz="1000" kern="1200"/>
            <a:t>,05</a:t>
          </a:r>
        </a:p>
        <a:p>
          <a:pPr marL="0" lvl="0" indent="0" algn="l" defTabSz="444500">
            <a:lnSpc>
              <a:spcPct val="90000"/>
            </a:lnSpc>
            <a:spcBef>
              <a:spcPct val="0"/>
            </a:spcBef>
            <a:spcAft>
              <a:spcPct val="35000"/>
            </a:spcAft>
            <a:buNone/>
          </a:pPr>
          <a:r>
            <a:rPr lang="en-GB" sz="1000" kern="1200"/>
            <a:t>2,93</a:t>
          </a:r>
        </a:p>
        <a:p>
          <a:pPr marL="0" lvl="0" indent="0" algn="l" defTabSz="444500">
            <a:lnSpc>
              <a:spcPct val="90000"/>
            </a:lnSpc>
            <a:spcBef>
              <a:spcPct val="0"/>
            </a:spcBef>
            <a:spcAft>
              <a:spcPct val="35000"/>
            </a:spcAft>
            <a:buNone/>
          </a:pPr>
          <a:r>
            <a:rPr lang="en-GB" sz="1000" kern="1200"/>
            <a:t>2,31</a:t>
          </a:r>
        </a:p>
        <a:p>
          <a:pPr marL="0" lvl="0" indent="0" algn="l" defTabSz="444500">
            <a:lnSpc>
              <a:spcPct val="90000"/>
            </a:lnSpc>
            <a:spcBef>
              <a:spcPct val="0"/>
            </a:spcBef>
            <a:spcAft>
              <a:spcPct val="35000"/>
            </a:spcAft>
            <a:buNone/>
          </a:pPr>
          <a:r>
            <a:rPr lang="en-GB" sz="1000" kern="1200"/>
            <a:t>2,19</a:t>
          </a:r>
        </a:p>
        <a:p>
          <a:pPr marL="0" lvl="0" indent="0" algn="l" defTabSz="444500">
            <a:lnSpc>
              <a:spcPct val="90000"/>
            </a:lnSpc>
            <a:spcBef>
              <a:spcPct val="0"/>
            </a:spcBef>
            <a:spcAft>
              <a:spcPct val="35000"/>
            </a:spcAft>
            <a:buNone/>
          </a:pPr>
          <a:r>
            <a:rPr lang="en-GB" sz="1000" kern="1200"/>
            <a:t>2,12</a:t>
          </a:r>
        </a:p>
        <a:p>
          <a:pPr marL="0" lvl="0" indent="0" algn="l" defTabSz="444500">
            <a:lnSpc>
              <a:spcPct val="90000"/>
            </a:lnSpc>
            <a:spcBef>
              <a:spcPct val="0"/>
            </a:spcBef>
            <a:spcAft>
              <a:spcPct val="35000"/>
            </a:spcAft>
            <a:buNone/>
          </a:pPr>
          <a:endParaRPr lang="cs-CZ" sz="1000" kern="1200"/>
        </a:p>
      </dsp:txBody>
      <dsp:txXfrm>
        <a:off x="3637320" y="1800095"/>
        <a:ext cx="452082" cy="101505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1D21A822A747CF89D0619D3F3669AA"/>
        <w:category>
          <w:name w:val="Obecné"/>
          <w:gallery w:val="placeholder"/>
        </w:category>
        <w:types>
          <w:type w:val="bbPlcHdr"/>
        </w:types>
        <w:behaviors>
          <w:behavior w:val="content"/>
        </w:behaviors>
        <w:guid w:val="{33284E9D-FE12-4B73-B130-5FE0856AC960}"/>
      </w:docPartPr>
      <w:docPartBody>
        <w:p w:rsidR="00061BA3" w:rsidRDefault="00D20D18">
          <w:pPr>
            <w:pStyle w:val="A71D21A822A747CF89D0619D3F3669AA"/>
          </w:pPr>
          <w:r>
            <w:rPr>
              <w:rStyle w:val="Zstupntext"/>
            </w:rPr>
            <w:t>[Rok odevzdání práce]</w:t>
          </w:r>
        </w:p>
      </w:docPartBody>
    </w:docPart>
    <w:docPart>
      <w:docPartPr>
        <w:name w:val="FE1FBC5E14924EB1BB807E098CF0D233"/>
        <w:category>
          <w:name w:val="Obecné"/>
          <w:gallery w:val="placeholder"/>
        </w:category>
        <w:types>
          <w:type w:val="bbPlcHdr"/>
        </w:types>
        <w:behaviors>
          <w:behavior w:val="content"/>
        </w:behaviors>
        <w:guid w:val="{353A2BBE-D1E7-4302-B281-7D4318ECF886}"/>
      </w:docPartPr>
      <w:docPartBody>
        <w:p w:rsidR="00061BA3" w:rsidRDefault="00D20D18">
          <w:pPr>
            <w:pStyle w:val="FE1FBC5E14924EB1BB807E098CF0D233"/>
          </w:pPr>
          <w:r w:rsidRPr="00781B50">
            <w:rPr>
              <w:rStyle w:val="Zstupntext"/>
              <w:lang w:val="en-GB"/>
            </w:rPr>
            <w:t>[Napište 5–10 klíčových slov v angličtině. Stejný seznam musí být vložen do Archivu závěrečné práce v Informačním systému MU.]</w:t>
          </w:r>
        </w:p>
        <w:bookmarkStart w:id="0" w:name="_Hlk48908568"/>
        <w:bookmarkEnd w:id="0"/>
      </w:docPartBody>
    </w:docPart>
    <w:docPart>
      <w:docPartPr>
        <w:name w:val="BA7543F43B8C4E398DC4208E7618844E"/>
        <w:category>
          <w:name w:val="Obecné"/>
          <w:gallery w:val="placeholder"/>
        </w:category>
        <w:types>
          <w:type w:val="bbPlcHdr"/>
        </w:types>
        <w:behaviors>
          <w:behavior w:val="content"/>
        </w:behaviors>
        <w:guid w:val="{4B357EDE-9541-4A32-943D-80A6D4819EAB}"/>
      </w:docPartPr>
      <w:docPartBody>
        <w:p w:rsidR="00061BA3" w:rsidRDefault="00D20D18">
          <w:pPr>
            <w:pStyle w:val="BA7543F43B8C4E398DC4208E7618844E"/>
          </w:pPr>
          <w:r w:rsidRPr="0019298B">
            <w:rPr>
              <w:rStyle w:val="Zstupntext"/>
            </w:rPr>
            <w:t>[Název]</w:t>
          </w:r>
        </w:p>
      </w:docPartBody>
    </w:docPart>
    <w:docPart>
      <w:docPartPr>
        <w:name w:val="4CFF21B2AC1D42ECB48B9A0FFF8BBAAA"/>
        <w:category>
          <w:name w:val="Obecné"/>
          <w:gallery w:val="placeholder"/>
        </w:category>
        <w:types>
          <w:type w:val="bbPlcHdr"/>
        </w:types>
        <w:behaviors>
          <w:behavior w:val="content"/>
        </w:behaviors>
        <w:guid w:val="{3ECB2F42-6079-4DD2-A662-88F3B182C692}"/>
      </w:docPartPr>
      <w:docPartBody>
        <w:p w:rsidR="00061BA3" w:rsidRDefault="00D20D18">
          <w:pPr>
            <w:pStyle w:val="4CFF21B2AC1D42ECB48B9A0FFF8BBAAA"/>
          </w:pPr>
          <w:r w:rsidRPr="0001165A">
            <w:rPr>
              <w:rStyle w:val="Zstupntext"/>
            </w:rPr>
            <w:t>Klikněte nebo klepněte sem a zadejte datum.</w:t>
          </w:r>
        </w:p>
      </w:docPartBody>
    </w:docPart>
    <w:docPart>
      <w:docPartPr>
        <w:name w:val="450D929C76FE462A8343E7AF0A36BC6C"/>
        <w:category>
          <w:name w:val="Obecné"/>
          <w:gallery w:val="placeholder"/>
        </w:category>
        <w:types>
          <w:type w:val="bbPlcHdr"/>
        </w:types>
        <w:behaviors>
          <w:behavior w:val="content"/>
        </w:behaviors>
        <w:guid w:val="{5BF318C1-52EC-43E3-B3D3-80C2F987677D}"/>
      </w:docPartPr>
      <w:docPartBody>
        <w:p w:rsidR="00061BA3" w:rsidRDefault="00D20D18">
          <w:pPr>
            <w:pStyle w:val="450D929C76FE462A8343E7AF0A36BC6C"/>
          </w:pPr>
          <w:r w:rsidRPr="00943580">
            <w:rPr>
              <w:rStyle w:val="Zstupntext"/>
            </w:rPr>
            <w:t>[Autor]</w:t>
          </w:r>
        </w:p>
      </w:docPartBody>
    </w:docPart>
    <w:docPart>
      <w:docPartPr>
        <w:name w:val="3A57A790A42943A6ADCCB5AADE3DDA11"/>
        <w:category>
          <w:name w:val="Obecné"/>
          <w:gallery w:val="placeholder"/>
        </w:category>
        <w:types>
          <w:type w:val="bbPlcHdr"/>
        </w:types>
        <w:behaviors>
          <w:behavior w:val="content"/>
        </w:behaviors>
        <w:guid w:val="{8239BFE1-56C5-4A37-B5F2-CBD8AAF5EF2C}"/>
      </w:docPartPr>
      <w:docPartBody>
        <w:p w:rsidR="00061BA3" w:rsidRDefault="00D20D18">
          <w:pPr>
            <w:pStyle w:val="3A57A790A42943A6ADCCB5AADE3DDA11"/>
          </w:pPr>
          <w:r w:rsidRPr="009D6AD8">
            <w:rPr>
              <w:rStyle w:val="Zstupntext"/>
            </w:rPr>
            <w:t>[Název]</w:t>
          </w:r>
        </w:p>
      </w:docPartBody>
    </w:docPart>
    <w:docPart>
      <w:docPartPr>
        <w:name w:val="C2CC473D7E64436F923109795C9B7603"/>
        <w:category>
          <w:name w:val="Obecné"/>
          <w:gallery w:val="placeholder"/>
        </w:category>
        <w:types>
          <w:type w:val="bbPlcHdr"/>
        </w:types>
        <w:behaviors>
          <w:behavior w:val="content"/>
        </w:behaviors>
        <w:guid w:val="{EEA7C827-1410-49C5-BC89-C2EE7CB38AA5}"/>
      </w:docPartPr>
      <w:docPartBody>
        <w:p w:rsidR="000E480A" w:rsidRDefault="00C15016" w:rsidP="00C15016">
          <w:pPr>
            <w:pStyle w:val="C2CC473D7E64436F923109795C9B7603"/>
          </w:pPr>
          <w:r>
            <w:rPr>
              <w:rStyle w:val="Zstupntext"/>
            </w:rPr>
            <w:t>[Vyberte podle mluvnickéhorodu]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D18"/>
    <w:rsid w:val="00061BA3"/>
    <w:rsid w:val="000E480A"/>
    <w:rsid w:val="001A3F58"/>
    <w:rsid w:val="002577A5"/>
    <w:rsid w:val="00840D1D"/>
    <w:rsid w:val="009A6039"/>
    <w:rsid w:val="009D7299"/>
    <w:rsid w:val="00A24BC1"/>
    <w:rsid w:val="00AE0672"/>
    <w:rsid w:val="00C15016"/>
    <w:rsid w:val="00D20D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3515A19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E480A"/>
    <w:rPr>
      <w:color w:val="808080"/>
    </w:rPr>
  </w:style>
  <w:style w:type="paragraph" w:customStyle="1" w:styleId="7FA1D85014B349FEA9AAF1CF9747CF2C">
    <w:name w:val="7FA1D85014B349FEA9AAF1CF9747CF2C"/>
  </w:style>
  <w:style w:type="paragraph" w:customStyle="1" w:styleId="A71D21A822A747CF89D0619D3F3669AA">
    <w:name w:val="A71D21A822A747CF89D0619D3F3669AA"/>
  </w:style>
  <w:style w:type="paragraph" w:customStyle="1" w:styleId="FE1FBC5E14924EB1BB807E098CF0D233">
    <w:name w:val="FE1FBC5E14924EB1BB807E098CF0D233"/>
  </w:style>
  <w:style w:type="paragraph" w:customStyle="1" w:styleId="BA7543F43B8C4E398DC4208E7618844E">
    <w:name w:val="BA7543F43B8C4E398DC4208E7618844E"/>
  </w:style>
  <w:style w:type="paragraph" w:customStyle="1" w:styleId="4CFF21B2AC1D42ECB48B9A0FFF8BBAAA">
    <w:name w:val="4CFF21B2AC1D42ECB48B9A0FFF8BBAAA"/>
  </w:style>
  <w:style w:type="paragraph" w:customStyle="1" w:styleId="450D929C76FE462A8343E7AF0A36BC6C">
    <w:name w:val="450D929C76FE462A8343E7AF0A36BC6C"/>
  </w:style>
  <w:style w:type="paragraph" w:customStyle="1" w:styleId="3A57A790A42943A6ADCCB5AADE3DDA11">
    <w:name w:val="3A57A790A42943A6ADCCB5AADE3DDA11"/>
  </w:style>
  <w:style w:type="paragraph" w:customStyle="1" w:styleId="C2CC473D7E64436F923109795C9B7603">
    <w:name w:val="C2CC473D7E64436F923109795C9B7603"/>
    <w:rsid w:val="00C150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BC817C-851A-45D8-AAB2-F32D7F505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sablonaDP-MUNI-ECON-dipl</Template>
  <TotalTime>1</TotalTime>
  <Pages>58</Pages>
  <Words>9973</Words>
  <Characters>58843</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Finanční analýza podniku S&amp;K Label</vt:lpstr>
    </vt:vector>
  </TitlesOfParts>
  <Company>Pracoviště</Company>
  <LinksUpToDate>false</LinksUpToDate>
  <CharactersWithSpaces>68679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Finanční analýza podniku S&amp;K Label</dc:title>
  <dc:subject/>
  <dc:creator>Viliam Záthurecký</dc:creator>
  <cp:keywords/>
  <cp:lastModifiedBy>Viliam Záthurecký</cp:lastModifiedBy>
  <cp:revision>2</cp:revision>
  <cp:lastPrinted>2016-12-09T09:46:00Z</cp:lastPrinted>
  <dcterms:created xsi:type="dcterms:W3CDTF">2023-04-28T12:52:00Z</dcterms:created>
  <dcterms:modified xsi:type="dcterms:W3CDTF">2023-04-28T12:52:00Z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ECON-dipl</vt:lpwstr>
  </property>
  <property fmtid="{D5CDD505-2E9C-101B-9397-08002B2CF9AE}" pid="6" name="MU_VYGENEROVANO">
    <vt:filetime>2022-11-09T23:00:00Z</vt:filetime>
  </property>
  <property fmtid="{D5CDD505-2E9C-101B-9397-08002B2CF9AE}" pid="7" name="MU_LOGO">
    <vt:lpwstr>NOVE</vt:lpwstr>
  </property>
  <property fmtid="{D5CDD505-2E9C-101B-9397-08002B2CF9AE}" pid="8" name="MU_VERZE">
    <vt:lpwstr>3.4.1</vt:lpwstr>
  </property>
</Properties>
</file>