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E0B04" w14:textId="77777777" w:rsidR="00832CB3" w:rsidRPr="00746487" w:rsidRDefault="00832CB3" w:rsidP="00D83E7E">
      <w:pPr>
        <w:pStyle w:val="ZPTitulkafakulta"/>
        <w:spacing w:before="0" w:after="0" w:line="240" w:lineRule="auto"/>
      </w:pPr>
      <w:r w:rsidRPr="00746487">
        <w:rPr>
          <w:noProof/>
        </w:rPr>
        <mc:AlternateContent>
          <mc:Choice Requires="wps">
            <w:drawing>
              <wp:inline distT="0" distB="0" distL="0" distR="0" wp14:anchorId="72511799" wp14:editId="2C034F01">
                <wp:extent cx="4572000" cy="1404620"/>
                <wp:effectExtent l="0" t="0" r="0" b="0"/>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71C89176" w14:textId="77777777" w:rsidR="00832CB3" w:rsidRDefault="00832CB3" w:rsidP="00832CB3">
                            <w:pPr>
                              <w:pStyle w:val="ZPZhlavtitulnlist"/>
                              <w:pBdr>
                                <w:bottom w:val="none" w:sz="0" w:space="0" w:color="auto"/>
                              </w:pBdr>
                              <w:spacing w:after="0"/>
                              <w:rPr>
                                <w:rStyle w:val="ZP-NadpisyzkladChar"/>
                              </w:rPr>
                            </w:pPr>
                            <w:r>
                              <w:rPr>
                                <w:noProof/>
                              </w:rPr>
                              <w:drawing>
                                <wp:inline distT="0" distB="0" distL="0" distR="0" wp14:anchorId="5BB6A01B" wp14:editId="08290BA5">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3681460B" w14:textId="77777777" w:rsidR="00832CB3" w:rsidRDefault="009D3C27" w:rsidP="00832CB3">
                            <w:pPr>
                              <w:pStyle w:val="ZPTitulkafakulta"/>
                            </w:pPr>
                            <w:r>
                              <w:t>Ekonomicko-správní fakulta</w:t>
                            </w:r>
                          </w:p>
                          <w:p w14:paraId="1868D64F" w14:textId="10316C9B" w:rsidR="00832CB3" w:rsidRDefault="00020ABA" w:rsidP="00940EE8">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9F675A">
                                  <w:t>Finanční analýza podniku Disting s.r.o.</w:t>
                                </w:r>
                              </w:sdtContent>
                            </w:sdt>
                          </w:p>
                        </w:txbxContent>
                      </wps:txbx>
                      <wps:bodyPr rot="0" vert="horz" wrap="square" lIns="91440" tIns="45720" rIns="91440" bIns="45720" anchor="t" anchorCtr="0">
                        <a:spAutoFit/>
                      </wps:bodyPr>
                    </wps:wsp>
                  </a:graphicData>
                </a:graphic>
              </wp:inline>
            </w:drawing>
          </mc:Choice>
          <mc:Fallback>
            <w:pict>
              <v:shapetype w14:anchorId="72511799" id="_x0000_t202" coordsize="21600,21600" o:spt="202" path="m,l,21600r21600,l21600,xe">
                <v:stroke joinstyle="miter"/>
                <v:path gradientshapeok="t" o:connecttype="rect"/>
              </v:shapetype>
              <v:shape id="Textové pole 4"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" stroked="f">
                <v:textbox style="mso-fit-shape-to-text:t">
                  <w:txbxContent>
                    <w:p w14:paraId="71C89176" w14:textId="77777777" w:rsidR="00832CB3" w:rsidRDefault="00832CB3" w:rsidP="00832CB3">
                      <w:pPr>
                        <w:pStyle w:val="ZPZhlavtitulnlist"/>
                        <w:pBdr>
                          <w:bottom w:val="none" w:sz="0" w:space="0" w:color="auto"/>
                        </w:pBdr>
                        <w:spacing w:after="0"/>
                        <w:rPr>
                          <w:rStyle w:val="ZP-NadpisyzkladChar"/>
                        </w:rPr>
                      </w:pPr>
                      <w:r>
                        <w:rPr>
                          <w:noProof/>
                        </w:rPr>
                        <w:drawing>
                          <wp:inline distT="0" distB="0" distL="0" distR="0" wp14:anchorId="5BB6A01B" wp14:editId="08290BA5">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3681460B" w14:textId="77777777" w:rsidR="00832CB3" w:rsidRDefault="009D3C27" w:rsidP="00832CB3">
                      <w:pPr>
                        <w:pStyle w:val="ZPTitulkafakulta"/>
                      </w:pPr>
                      <w:r>
                        <w:t>Ekonomicko-správní fakulta</w:t>
                      </w:r>
                    </w:p>
                    <w:p w14:paraId="1868D64F" w14:textId="10316C9B" w:rsidR="00832CB3" w:rsidRDefault="00020ABA" w:rsidP="00940EE8">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9F675A">
                            <w:t>Finanční analýza podniku Disting s.r.o.</w:t>
                          </w:r>
                        </w:sdtContent>
                      </w:sdt>
                    </w:p>
                  </w:txbxContent>
                </v:textbox>
                <w10:anchorlock/>
              </v:shape>
            </w:pict>
          </mc:Fallback>
        </mc:AlternateContent>
      </w:r>
    </w:p>
    <w:sdt>
      <w:sdtPr>
        <w:alias w:val="Druh práce"/>
        <w:tag w:val="Druh práce"/>
        <w:id w:val="-709646705"/>
        <w:placeholder>
          <w:docPart w:val="F40F8061433E6948890A2D1EA82083C2"/>
        </w:placeholder>
        <w:comboBox>
          <w:listItem w:value="[Zvolte druh závěrečné práce]"/>
          <w:listItem w:displayText="Bakalářská práce" w:value="Bakalářská práce"/>
          <w:listItem w:displayText="Diplomová práce" w:value="Diplomová práce"/>
          <w:listItem w:displayText="Závěrečná práce" w:value="Závěrečná práce"/>
        </w:comboBox>
      </w:sdtPr>
      <w:sdtEndPr/>
      <w:sdtContent>
        <w:p w14:paraId="574953F2" w14:textId="2AD0BC12" w:rsidR="00832CB3" w:rsidRPr="00746487" w:rsidRDefault="00321E0B" w:rsidP="00832CB3">
          <w:pPr>
            <w:pStyle w:val="ZPTitulkahlavn"/>
          </w:pPr>
          <w:r w:rsidRPr="00321E0B">
            <w:t>MPH_</w:t>
          </w:r>
          <w:r w:rsidR="003B3B2F" w:rsidRPr="00321E0B">
            <w:t>FMAN – Finanční</w:t>
          </w:r>
          <w:r w:rsidRPr="00321E0B">
            <w:t xml:space="preserve"> management</w:t>
          </w:r>
        </w:p>
      </w:sdtContent>
    </w:sdt>
    <w:p w14:paraId="6BFD2CF1" w14:textId="77777777" w:rsidR="00B75A1B" w:rsidRPr="00746487" w:rsidRDefault="00830CE4" w:rsidP="00704143">
      <w:pPr>
        <w:pStyle w:val="ZPPatatitulnstrnky"/>
        <w:keepNext w:val="0"/>
        <w:keepLines w:val="0"/>
        <w:widowControl w:val="0"/>
      </w:pPr>
      <w:r w:rsidRPr="00746487">
        <w:rPr>
          <w:noProof/>
        </w:rPr>
        <mc:AlternateContent>
          <mc:Choice Requires="wps">
            <w:drawing>
              <wp:inline distT="0" distB="0" distL="0" distR="0" wp14:anchorId="51DDCF9B" wp14:editId="457257EE">
                <wp:extent cx="4572000" cy="1152000"/>
                <wp:effectExtent l="0" t="0" r="0" b="1270"/>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2000"/>
                        </a:xfrm>
                        <a:prstGeom prst="rect">
                          <a:avLst/>
                        </a:prstGeom>
                        <a:solidFill>
                          <a:srgbClr val="FFFFFF"/>
                        </a:solidFill>
                        <a:ln w="9525">
                          <a:noFill/>
                          <a:miter lim="800000"/>
                          <a:headEnd/>
                          <a:tailEnd/>
                        </a:ln>
                      </wps:spPr>
                      <wps:txbx>
                        <w:txbxContent>
                          <w:p w14:paraId="704955EF" w14:textId="1A170CE0" w:rsidR="003B3B2F" w:rsidRDefault="003B3B2F" w:rsidP="006E36ED">
                            <w:pPr>
                              <w:pStyle w:val="ZPTitulkahlavn"/>
                              <w:spacing w:after="340"/>
                            </w:pPr>
                            <w:r w:rsidRPr="003B3B2F">
                              <w:t xml:space="preserve">FILIP ALBERT </w:t>
                            </w:r>
                          </w:p>
                          <w:p w14:paraId="55873915" w14:textId="5BC24717" w:rsidR="00A34C6D" w:rsidRDefault="003B3B2F" w:rsidP="00FC6C95">
                            <w:pPr>
                              <w:pStyle w:val="ZPTitulkahlavn"/>
                            </w:pPr>
                            <w:r w:rsidRPr="003B3B2F">
                              <w:t>TEREZA DOBEŠOVÁ</w:t>
                            </w:r>
                          </w:p>
                          <w:p w14:paraId="5A276A8B" w14:textId="1143A915" w:rsidR="00830CE4" w:rsidRDefault="00830CE4" w:rsidP="003B3B2F">
                            <w:pPr>
                              <w:pStyle w:val="ZPTitulkahlavn"/>
                              <w:spacing w:after="340"/>
                            </w:pPr>
                          </w:p>
                        </w:txbxContent>
                      </wps:txbx>
                      <wps:bodyPr rot="0" vert="horz" wrap="square" lIns="91440" tIns="45720" rIns="91440" bIns="45720" anchor="t" anchorCtr="0">
                        <a:spAutoFit/>
                      </wps:bodyPr>
                    </wps:wsp>
                  </a:graphicData>
                </a:graphic>
              </wp:inline>
            </w:drawing>
          </mc:Choice>
          <mc:Fallback>
            <w:pict>
              <v:shape w14:anchorId="51DDCF9B" id="Textové pole 3" o:sp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" stroked="f">
                <v:textbox style="mso-fit-shape-to-text:t">
                  <w:txbxContent>
                    <w:p w14:paraId="704955EF" w14:textId="1A170CE0" w:rsidR="003B3B2F" w:rsidRDefault="003B3B2F" w:rsidP="006E36ED">
                      <w:pPr>
                        <w:pStyle w:val="ZPTitulkahlavn"/>
                        <w:spacing w:after="340"/>
                      </w:pPr>
                      <w:r w:rsidRPr="003B3B2F">
                        <w:t xml:space="preserve">FILIP ALBERT </w:t>
                      </w:r>
                    </w:p>
                    <w:p w14:paraId="55873915" w14:textId="5BC24717" w:rsidR="00A34C6D" w:rsidRDefault="003B3B2F" w:rsidP="00FC6C95">
                      <w:pPr>
                        <w:pStyle w:val="ZPTitulkahlavn"/>
                      </w:pPr>
                      <w:r w:rsidRPr="003B3B2F">
                        <w:t>TEREZA DOBEŠOVÁ</w:t>
                      </w:r>
                    </w:p>
                    <w:p w14:paraId="5A276A8B" w14:textId="1143A915" w:rsidR="00830CE4" w:rsidRDefault="00830CE4" w:rsidP="003B3B2F">
                      <w:pPr>
                        <w:pStyle w:val="ZPTitulkahlavn"/>
                        <w:spacing w:after="340"/>
                      </w:pPr>
                    </w:p>
                  </w:txbxContent>
                </v:textbox>
                <w10:anchorlock/>
              </v:shape>
            </w:pict>
          </mc:Fallback>
        </mc:AlternateContent>
      </w:r>
    </w:p>
    <w:p w14:paraId="6AB2127C" w14:textId="2960B949" w:rsidR="00825B26" w:rsidRPr="00746487" w:rsidRDefault="00DD5A2A" w:rsidP="00832CB3">
      <w:pPr>
        <w:pStyle w:val="ZPTitulkarok"/>
        <w:sectPr w:rsidR="00825B26" w:rsidRPr="00746487" w:rsidSect="009D3C27">
          <w:headerReference w:type="even" r:id="rId12"/>
          <w:footerReference w:type="even" r:id="rId13"/>
          <w:pgSz w:w="11906" w:h="16838" w:code="9"/>
          <w:pgMar w:top="2380" w:right="2020" w:bottom="2380" w:left="2020" w:header="1900" w:footer="1280" w:gutter="500"/>
          <w:cols w:space="708"/>
          <w:vAlign w:val="both"/>
          <w:docGrid w:linePitch="360"/>
        </w:sectPr>
      </w:pPr>
      <w:r w:rsidRPr="00746487">
        <w:t>Brno</w:t>
      </w:r>
      <w:r w:rsidR="007468F6" w:rsidRPr="00746487">
        <w:t xml:space="preserve"> </w:t>
      </w:r>
      <w:bookmarkStart w:id="0" w:name="ROK_ODEVZDANI"/>
      <w:sdt>
        <w:sdtPr>
          <w:alias w:val="Rok odevzdání"/>
          <w:tag w:val="ROK_ODEVZDANI"/>
          <w:id w:val="-513071692"/>
          <w:placeholder>
            <w:docPart w:val="FE21A9FBAB1217448420BA6C2A408208"/>
          </w:placeholder>
          <w:text/>
        </w:sdtPr>
        <w:sdtEndPr/>
        <w:sdtContent>
          <w:r w:rsidR="003B3B2F">
            <w:t>2023</w:t>
          </w:r>
        </w:sdtContent>
      </w:sdt>
      <w:bookmarkEnd w:id="0"/>
      <w:r w:rsidR="00194596">
        <w:t xml:space="preserve">  </w:t>
      </w:r>
    </w:p>
    <w:p w14:paraId="4C7BFF7B" w14:textId="126E9C8F" w:rsidR="00E5465E" w:rsidRPr="00746487" w:rsidRDefault="00E5465E" w:rsidP="00F343E4">
      <w:pPr>
        <w:pStyle w:val="ZPTitulkadra"/>
      </w:pPr>
    </w:p>
    <w:p w14:paraId="4C04E2C1" w14:textId="77777777" w:rsidR="004932BC" w:rsidRPr="00746487" w:rsidRDefault="009D3C27" w:rsidP="004932BC">
      <w:pPr>
        <w:pStyle w:val="inZPKlovslova"/>
        <w:jc w:val="center"/>
      </w:pPr>
      <w:r>
        <w:rPr>
          <w:noProof/>
        </w:rPr>
        <w:drawing>
          <wp:inline distT="0" distB="0" distL="0" distR="0" wp14:anchorId="4EA43182" wp14:editId="0C0C1F39">
            <wp:extent cx="1151467" cy="778933"/>
            <wp:effectExtent l="0" t="0" r="0" b="2540"/>
            <wp:docPr id="1" name="Obráze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51467" cy="778933"/>
                    </a:xfrm>
                    <a:prstGeom prst="rect">
                      <a:avLst/>
                    </a:prstGeom>
                  </pic:spPr>
                </pic:pic>
              </a:graphicData>
            </a:graphic>
          </wp:inline>
        </w:drawing>
      </w:r>
    </w:p>
    <w:p w14:paraId="727BF47B" w14:textId="77777777" w:rsidR="00E5465E" w:rsidRPr="00746487" w:rsidRDefault="00E5465E" w:rsidP="00F343E4">
      <w:pPr>
        <w:pStyle w:val="ZPTitulkadra"/>
      </w:pPr>
    </w:p>
    <w:p w14:paraId="185F01E1" w14:textId="77777777" w:rsidR="00C35E32" w:rsidRPr="00746487" w:rsidRDefault="00C35E32" w:rsidP="00F343E4">
      <w:pPr>
        <w:pStyle w:val="ZPTitulkadra"/>
      </w:pPr>
    </w:p>
    <w:p w14:paraId="0FD7DD7F" w14:textId="77777777" w:rsidR="00C35E32" w:rsidRPr="00746487" w:rsidRDefault="00C35E32" w:rsidP="007C294D">
      <w:pPr>
        <w:pStyle w:val="inZPKlovslova"/>
        <w:sectPr w:rsidR="00C35E32" w:rsidRPr="00746487" w:rsidSect="009D3C27">
          <w:headerReference w:type="default" r:id="rId15"/>
          <w:headerReference w:type="first" r:id="rId16"/>
          <w:footerReference w:type="first" r:id="rId17"/>
          <w:type w:val="oddPage"/>
          <w:pgSz w:w="11906" w:h="16838" w:code="9"/>
          <w:pgMar w:top="2380" w:right="2020" w:bottom="2380" w:left="2020" w:header="1900" w:footer="1280" w:gutter="500"/>
          <w:pgNumType w:start="1"/>
          <w:cols w:space="708"/>
          <w:vAlign w:val="both"/>
          <w:docGrid w:linePitch="360"/>
        </w:sectPr>
      </w:pPr>
    </w:p>
    <w:p w14:paraId="71CE900B" w14:textId="66C7A73C" w:rsidR="002166F3" w:rsidRPr="00746487" w:rsidRDefault="002166F3" w:rsidP="002166F3">
      <w:pPr>
        <w:pStyle w:val="ZPNadpis1vodn"/>
      </w:pPr>
      <w:r>
        <w:lastRenderedPageBreak/>
        <w:br/>
      </w:r>
      <w:r>
        <w:br/>
      </w:r>
      <w:r>
        <w:br/>
      </w:r>
      <w:r>
        <w:br/>
      </w:r>
      <w:r>
        <w:br/>
      </w:r>
      <w:r>
        <w:br/>
      </w:r>
      <w:r>
        <w:br/>
      </w:r>
      <w:r>
        <w:br/>
      </w:r>
      <w:r>
        <w:br/>
      </w:r>
      <w:r>
        <w:br/>
      </w:r>
      <w:r>
        <w:br/>
      </w:r>
      <w:r>
        <w:br/>
      </w:r>
      <w:r>
        <w:br/>
      </w:r>
      <w:r>
        <w:br/>
      </w:r>
      <w:r>
        <w:br/>
      </w:r>
      <w:r>
        <w:br/>
      </w:r>
      <w:r>
        <w:br/>
      </w:r>
      <w:r>
        <w:br/>
      </w:r>
      <w:r w:rsidRPr="00746487">
        <w:t>Čestné prohlášení</w:t>
      </w:r>
    </w:p>
    <w:p w14:paraId="1C78EAA9" w14:textId="2A292667" w:rsidR="002166F3" w:rsidRDefault="002166F3" w:rsidP="002166F3">
      <w:r w:rsidRPr="00167632">
        <w:t>Prohlašuji, že jsm</w:t>
      </w:r>
      <w:r>
        <w:t>e</w:t>
      </w:r>
      <w:r w:rsidRPr="00167632">
        <w:t xml:space="preserve"> </w:t>
      </w:r>
      <w:sdt>
        <w:sdtPr>
          <w:alias w:val="Druh práce"/>
          <w:tag w:val="Druh práce"/>
          <w:id w:val="-902754728"/>
          <w:placeholder>
            <w:docPart w:val="9CA9F1F60CE9884B8DCF5C691F6FAC22"/>
          </w:placeholder>
          <w:comboBox>
            <w:listItem w:value="[Vyberte druh práce]"/>
            <w:listItem w:displayText="bakalářskou práci" w:value="bakalářskou práci"/>
            <w:listItem w:displayText="diplomovou práci" w:value="diplomovou práci"/>
            <w:listItem w:displayText="závěrečnou práci" w:value="závěrečnou práci"/>
          </w:comboBox>
        </w:sdtPr>
        <w:sdtEndPr/>
        <w:sdtContent>
          <w:r>
            <w:t>seminární práci</w:t>
          </w:r>
        </w:sdtContent>
      </w:sdt>
      <w:r w:rsidRPr="00167632">
        <w:t xml:space="preserve"> na téma </w:t>
      </w:r>
      <w:sdt>
        <w:sdtPr>
          <w:alias w:val="Název"/>
          <w:tag w:val=""/>
          <w:id w:val="-991870310"/>
          <w:placeholder>
            <w:docPart w:val="701200DBADC5754F94B393DF89FCD4FC"/>
          </w:placeholder>
          <w:dataBinding w:prefixMappings="xmlns:ns0='http://purl.org/dc/elements/1.1/' xmlns:ns1='http://schemas.openxmlformats.org/package/2006/metadata/core-properties' " w:xpath="/ns1:coreProperties[1]/ns0:title[1]" w:storeItemID="{6C3C8BC8-F283-45AE-878A-BAB7291924A1}"/>
          <w:text/>
        </w:sdtPr>
        <w:sdtEndPr/>
        <w:sdtContent>
          <w:r>
            <w:t>Finanční analýza podniku Disting s.r.o.</w:t>
          </w:r>
        </w:sdtContent>
      </w:sdt>
      <w:r>
        <w:t xml:space="preserve"> </w:t>
      </w:r>
      <w:sdt>
        <w:sdtPr>
          <w:id w:val="-542056811"/>
          <w:placeholder>
            <w:docPart w:val="0A8F42143B8D4141BE01611895743A54"/>
          </w:placeholder>
          <w:dropDownList>
            <w:listItem w:value="Vyberte podle rodu"/>
            <w:listItem w:displayText="vypracoval" w:value="vypracoval"/>
            <w:listItem w:displayText="vypracovala" w:value="vypracovala"/>
          </w:dropDownList>
        </w:sdtPr>
        <w:sdtEndPr/>
        <w:sdtContent>
          <w:r>
            <w:t>vypracoval</w:t>
          </w:r>
        </w:sdtContent>
      </w:sdt>
      <w:r>
        <w:t>i</w:t>
      </w:r>
      <w:r w:rsidRPr="00167632">
        <w:t xml:space="preserve"> </w:t>
      </w:r>
      <w:r>
        <w:t>sa</w:t>
      </w:r>
      <w:r w:rsidRPr="00167632">
        <w:t xml:space="preserve">mostatně a </w:t>
      </w:r>
      <w:sdt>
        <w:sdtPr>
          <w:id w:val="-1277015667"/>
          <w:placeholder>
            <w:docPart w:val="F47A443E5BD4344BBDC58A418DAF42A3"/>
          </w:placeholder>
          <w:dropDownList>
            <w:listItem w:value="Vyberte podle rodu"/>
            <w:listItem w:displayText="uvedl" w:value="uvedl"/>
            <w:listItem w:displayText="uvedla" w:value="uvedla"/>
          </w:dropDownList>
        </w:sdtPr>
        <w:sdtEndPr/>
        <w:sdtContent>
          <w:r>
            <w:t>uvedl</w:t>
          </w:r>
        </w:sdtContent>
      </w:sdt>
      <w:r>
        <w:t>i</w:t>
      </w:r>
      <w:r w:rsidRPr="00167632">
        <w:t xml:space="preserve"> </w:t>
      </w:r>
      <w:r>
        <w:t xml:space="preserve">v ní všechny použité </w:t>
      </w:r>
      <w:r w:rsidRPr="00167632">
        <w:t>zdroje v</w:t>
      </w:r>
      <w:r>
        <w:t> </w:t>
      </w:r>
      <w:r w:rsidRPr="00167632">
        <w:t>souladu s</w:t>
      </w:r>
      <w:r>
        <w:t> </w:t>
      </w:r>
      <w:r w:rsidRPr="00167632">
        <w:t>právními předpisy, vnitřními p</w:t>
      </w:r>
      <w:r>
        <w:t>ředpisy Masary</w:t>
      </w:r>
      <w:r w:rsidRPr="00167632">
        <w:t>kovy uni</w:t>
      </w:r>
      <w:r>
        <w:t>verzity a </w:t>
      </w:r>
      <w:r w:rsidRPr="00167632">
        <w:t>vnitřními akty řízení Masarykovy univerzity a Ekonomicko-správní fakulty MU.</w:t>
      </w:r>
      <w:r>
        <w:t xml:space="preserve"> </w:t>
      </w:r>
      <w:r w:rsidR="004632FB">
        <w:t>Celá práce byla</w:t>
      </w:r>
      <w:r w:rsidR="00613775">
        <w:t xml:space="preserve"> vytvořen</w:t>
      </w:r>
      <w:r w:rsidR="004632FB">
        <w:t xml:space="preserve">a </w:t>
      </w:r>
      <w:r w:rsidR="00613775">
        <w:t xml:space="preserve">autory práce a jakékoliv </w:t>
      </w:r>
      <w:r w:rsidR="004632FB">
        <w:t>její</w:t>
      </w:r>
      <w:r w:rsidR="00613775">
        <w:t xml:space="preserve"> využití musí být </w:t>
      </w:r>
      <w:r w:rsidR="004632FB">
        <w:t xml:space="preserve">schváleno a </w:t>
      </w:r>
      <w:r w:rsidR="00613775">
        <w:t xml:space="preserve">řádně citováno. </w:t>
      </w:r>
      <w:r w:rsidR="004632FB">
        <w:t>Práce byla vytvořena čistě pro vzdělávací potřeby.</w:t>
      </w:r>
    </w:p>
    <w:p w14:paraId="65CF2830" w14:textId="21C91625" w:rsidR="002166F3" w:rsidRPr="00746487" w:rsidRDefault="002166F3" w:rsidP="002166F3">
      <w:pPr>
        <w:pStyle w:val="inZPPodpisprohlen"/>
        <w:spacing w:before="600"/>
      </w:pPr>
      <w:r w:rsidRPr="00746487">
        <w:t xml:space="preserve">V Brně </w:t>
      </w:r>
      <w:sdt>
        <w:sdtPr>
          <w:tag w:val="DATUM"/>
          <w:id w:val="541563648"/>
          <w:placeholder>
            <w:docPart w:val="F4D85A0374652949A2CB8843ABF3D6BC"/>
          </w:placeholder>
          <w:date w:fullDate="2023-03-16T00:00:00Z">
            <w:dateFormat w:val="d. MMMM yyyy"/>
            <w:lid w:val="cs-CZ"/>
            <w:storeMappedDataAs w:val="dateTime"/>
            <w:calendar w:val="gregorian"/>
          </w:date>
        </w:sdtPr>
        <w:sdtEndPr/>
        <w:sdtContent>
          <w:r w:rsidR="00BB37DD">
            <w:t>16. března 2023</w:t>
          </w:r>
        </w:sdtContent>
      </w:sdt>
      <w:r w:rsidRPr="00746487">
        <w:tab/>
      </w:r>
      <w:sdt>
        <w:sdtPr>
          <w:alias w:val="Autor"/>
          <w:tag w:val=""/>
          <w:id w:val="-1420636599"/>
          <w:placeholder>
            <w:docPart w:val="88BE0DB145730B4FBCF31B3BE866F362"/>
          </w:placeholder>
          <w:dataBinding w:prefixMappings="xmlns:ns0='http://purl.org/dc/elements/1.1/' xmlns:ns1='http://schemas.openxmlformats.org/package/2006/metadata/core-properties' " w:xpath="/ns1:coreProperties[1]/ns0:creator[1]" w:storeItemID="{6C3C8BC8-F283-45AE-878A-BAB7291924A1}"/>
          <w:text/>
        </w:sdtPr>
        <w:sdtEndPr/>
        <w:sdtContent>
          <w:r w:rsidR="00E1701B">
            <w:t>Filip Albert a Tereza Dobešová</w:t>
          </w:r>
        </w:sdtContent>
      </w:sdt>
    </w:p>
    <w:p w14:paraId="70ABB1AC" w14:textId="6EBEB3FC" w:rsidR="009951BF" w:rsidRPr="009E00AE" w:rsidRDefault="009951BF" w:rsidP="002166F3">
      <w:pPr>
        <w:pStyle w:val="Odstavec1"/>
        <w:sectPr w:rsidR="009951BF" w:rsidRPr="009E00AE" w:rsidSect="009D3C27">
          <w:footerReference w:type="default" r:id="rId18"/>
          <w:footerReference w:type="first" r:id="rId19"/>
          <w:type w:val="oddPage"/>
          <w:pgSz w:w="11906" w:h="16838" w:code="9"/>
          <w:pgMar w:top="2380" w:right="2020" w:bottom="2380" w:left="2020" w:header="1900" w:footer="1280" w:gutter="500"/>
          <w:cols w:space="708"/>
          <w:docGrid w:linePitch="360"/>
        </w:sectPr>
      </w:pPr>
    </w:p>
    <w:p w14:paraId="05CC06F4" w14:textId="77777777" w:rsidR="00E76694" w:rsidRPr="00746487" w:rsidRDefault="00F44C00" w:rsidP="002E640F">
      <w:pPr>
        <w:pStyle w:val="ZPNadpis1vodn"/>
      </w:pPr>
      <w:r w:rsidRPr="00746487">
        <w:lastRenderedPageBreak/>
        <w:t>Obsah</w:t>
      </w:r>
    </w:p>
    <w:p w14:paraId="51F5F4B9" w14:textId="681661C8" w:rsidR="00083DFF" w:rsidRDefault="00825A03">
      <w:pPr>
        <w:pStyle w:val="Obsah1"/>
        <w:rPr>
          <w:rFonts w:asciiTheme="minorHAnsi" w:eastAsiaTheme="minorEastAsia" w:hAnsiTheme="minorHAnsi" w:cstheme="minorBidi"/>
          <w:b w:val="0"/>
          <w:color w:val="auto"/>
          <w:kern w:val="2"/>
          <w:sz w:val="22"/>
          <w:szCs w:val="22"/>
          <w14:ligatures w14:val="standardContextual"/>
        </w:rPr>
      </w:pPr>
      <w:r w:rsidRPr="00746487">
        <w:rPr>
          <w:rFonts w:ascii="Arial" w:hAnsi="Arial"/>
          <w:bCs/>
          <w:noProof w:val="0"/>
        </w:rPr>
        <w:fldChar w:fldCharType="begin"/>
      </w:r>
      <w:r w:rsidRPr="00746487">
        <w:rPr>
          <w:noProof w:val="0"/>
        </w:rPr>
        <w:instrText xml:space="preserve"> TOC \o "1-</w:instrText>
      </w:r>
      <w:r w:rsidR="004E0F2F">
        <w:rPr>
          <w:noProof w:val="0"/>
        </w:rPr>
        <w:instrText>2</w:instrText>
      </w:r>
      <w:r w:rsidRPr="00746487">
        <w:rPr>
          <w:noProof w:val="0"/>
        </w:rPr>
        <w:instrText xml:space="preserve">" </w:instrText>
      </w:r>
      <w:r w:rsidRPr="00746487">
        <w:rPr>
          <w:rFonts w:ascii="Arial" w:hAnsi="Arial"/>
          <w:bCs/>
          <w:noProof w:val="0"/>
        </w:rPr>
        <w:fldChar w:fldCharType="separate"/>
      </w:r>
      <w:r w:rsidR="00083DFF">
        <w:t>1</w:t>
      </w:r>
      <w:r w:rsidR="00083DFF">
        <w:rPr>
          <w:rFonts w:asciiTheme="minorHAnsi" w:eastAsiaTheme="minorEastAsia" w:hAnsiTheme="minorHAnsi" w:cstheme="minorBidi"/>
          <w:b w:val="0"/>
          <w:color w:val="auto"/>
          <w:kern w:val="2"/>
          <w:sz w:val="22"/>
          <w:szCs w:val="22"/>
          <w14:ligatures w14:val="standardContextual"/>
        </w:rPr>
        <w:tab/>
      </w:r>
      <w:r w:rsidR="00083DFF">
        <w:t>Úvod</w:t>
      </w:r>
      <w:r w:rsidR="00083DFF">
        <w:tab/>
      </w:r>
      <w:r w:rsidR="00083DFF">
        <w:fldChar w:fldCharType="begin"/>
      </w:r>
      <w:r w:rsidR="00083DFF">
        <w:instrText xml:space="preserve"> PAGEREF _Toc134175252 \h </w:instrText>
      </w:r>
      <w:r w:rsidR="00083DFF">
        <w:fldChar w:fldCharType="separate"/>
      </w:r>
      <w:r w:rsidR="00083DFF">
        <w:t>7</w:t>
      </w:r>
      <w:r w:rsidR="00083DFF">
        <w:fldChar w:fldCharType="end"/>
      </w:r>
    </w:p>
    <w:p w14:paraId="63BA4C19" w14:textId="663BA477" w:rsidR="00083DFF" w:rsidRDefault="00083DFF">
      <w:pPr>
        <w:pStyle w:val="Obsah1"/>
        <w:rPr>
          <w:rFonts w:asciiTheme="minorHAnsi" w:eastAsiaTheme="minorEastAsia" w:hAnsiTheme="minorHAnsi" w:cstheme="minorBidi"/>
          <w:b w:val="0"/>
          <w:color w:val="auto"/>
          <w:kern w:val="2"/>
          <w:sz w:val="22"/>
          <w:szCs w:val="22"/>
          <w14:ligatures w14:val="standardContextual"/>
        </w:rPr>
      </w:pPr>
      <w:r>
        <w:t>2</w:t>
      </w:r>
      <w:r>
        <w:rPr>
          <w:rFonts w:asciiTheme="minorHAnsi" w:eastAsiaTheme="minorEastAsia" w:hAnsiTheme="minorHAnsi" w:cstheme="minorBidi"/>
          <w:b w:val="0"/>
          <w:color w:val="auto"/>
          <w:kern w:val="2"/>
          <w:sz w:val="22"/>
          <w:szCs w:val="22"/>
          <w14:ligatures w14:val="standardContextual"/>
        </w:rPr>
        <w:tab/>
      </w:r>
      <w:r>
        <w:t>Analýza podnikového prostředí</w:t>
      </w:r>
      <w:r>
        <w:tab/>
      </w:r>
      <w:r>
        <w:fldChar w:fldCharType="begin"/>
      </w:r>
      <w:r>
        <w:instrText xml:space="preserve"> PAGEREF _Toc134175253 \h </w:instrText>
      </w:r>
      <w:r>
        <w:fldChar w:fldCharType="separate"/>
      </w:r>
      <w:r>
        <w:t>8</w:t>
      </w:r>
      <w:r>
        <w:fldChar w:fldCharType="end"/>
      </w:r>
    </w:p>
    <w:p w14:paraId="7D0654B0" w14:textId="4A8C9E3B" w:rsidR="00083DFF" w:rsidRDefault="00083DFF">
      <w:pPr>
        <w:pStyle w:val="Obsah2"/>
        <w:rPr>
          <w:rFonts w:asciiTheme="minorHAnsi" w:eastAsiaTheme="minorEastAsia" w:hAnsiTheme="minorHAnsi" w:cstheme="minorBidi"/>
          <w:iCs w:val="0"/>
          <w:kern w:val="2"/>
          <w:sz w:val="22"/>
          <w:szCs w:val="22"/>
          <w14:ligatures w14:val="standardContextual"/>
        </w:rPr>
      </w:pPr>
      <w:r>
        <w:t>2.1</w:t>
      </w:r>
      <w:r>
        <w:rPr>
          <w:rFonts w:asciiTheme="minorHAnsi" w:eastAsiaTheme="minorEastAsia" w:hAnsiTheme="minorHAnsi" w:cstheme="minorBidi"/>
          <w:iCs w:val="0"/>
          <w:kern w:val="2"/>
          <w:sz w:val="22"/>
          <w:szCs w:val="22"/>
          <w14:ligatures w14:val="standardContextual"/>
        </w:rPr>
        <w:tab/>
      </w:r>
      <w:r>
        <w:t>Typologie podniku</w:t>
      </w:r>
      <w:r>
        <w:tab/>
      </w:r>
      <w:r>
        <w:fldChar w:fldCharType="begin"/>
      </w:r>
      <w:r>
        <w:instrText xml:space="preserve"> PAGEREF _Toc134175254 \h </w:instrText>
      </w:r>
      <w:r>
        <w:fldChar w:fldCharType="separate"/>
      </w:r>
      <w:r>
        <w:t>8</w:t>
      </w:r>
      <w:r>
        <w:fldChar w:fldCharType="end"/>
      </w:r>
    </w:p>
    <w:p w14:paraId="76EBDC92" w14:textId="58F932E1" w:rsidR="00083DFF" w:rsidRDefault="00083DFF">
      <w:pPr>
        <w:pStyle w:val="Obsah2"/>
        <w:rPr>
          <w:rFonts w:asciiTheme="minorHAnsi" w:eastAsiaTheme="minorEastAsia" w:hAnsiTheme="minorHAnsi" w:cstheme="minorBidi"/>
          <w:iCs w:val="0"/>
          <w:kern w:val="2"/>
          <w:sz w:val="22"/>
          <w:szCs w:val="22"/>
          <w14:ligatures w14:val="standardContextual"/>
        </w:rPr>
      </w:pPr>
      <w:r>
        <w:t>2.2</w:t>
      </w:r>
      <w:r>
        <w:rPr>
          <w:rFonts w:asciiTheme="minorHAnsi" w:eastAsiaTheme="minorEastAsia" w:hAnsiTheme="minorHAnsi" w:cstheme="minorBidi"/>
          <w:iCs w:val="0"/>
          <w:kern w:val="2"/>
          <w:sz w:val="22"/>
          <w:szCs w:val="22"/>
          <w14:ligatures w14:val="standardContextual"/>
        </w:rPr>
        <w:tab/>
      </w:r>
      <w:r>
        <w:t>Porterův model 5 sil</w:t>
      </w:r>
      <w:r>
        <w:tab/>
      </w:r>
      <w:r>
        <w:fldChar w:fldCharType="begin"/>
      </w:r>
      <w:r>
        <w:instrText xml:space="preserve"> PAGEREF _Toc134175255 \h </w:instrText>
      </w:r>
      <w:r>
        <w:fldChar w:fldCharType="separate"/>
      </w:r>
      <w:r>
        <w:t>14</w:t>
      </w:r>
      <w:r>
        <w:fldChar w:fldCharType="end"/>
      </w:r>
    </w:p>
    <w:p w14:paraId="5179B7F6" w14:textId="49883D6C" w:rsidR="00083DFF" w:rsidRDefault="00083DFF">
      <w:pPr>
        <w:pStyle w:val="Obsah2"/>
        <w:rPr>
          <w:rFonts w:asciiTheme="minorHAnsi" w:eastAsiaTheme="minorEastAsia" w:hAnsiTheme="minorHAnsi" w:cstheme="minorBidi"/>
          <w:iCs w:val="0"/>
          <w:kern w:val="2"/>
          <w:sz w:val="22"/>
          <w:szCs w:val="22"/>
          <w14:ligatures w14:val="standardContextual"/>
        </w:rPr>
      </w:pPr>
      <w:r>
        <w:t>2.3</w:t>
      </w:r>
      <w:r>
        <w:rPr>
          <w:rFonts w:asciiTheme="minorHAnsi" w:eastAsiaTheme="minorEastAsia" w:hAnsiTheme="minorHAnsi" w:cstheme="minorBidi"/>
          <w:iCs w:val="0"/>
          <w:kern w:val="2"/>
          <w:sz w:val="22"/>
          <w:szCs w:val="22"/>
          <w14:ligatures w14:val="standardContextual"/>
        </w:rPr>
        <w:tab/>
      </w:r>
      <w:r>
        <w:t>PESTLE</w:t>
      </w:r>
      <w:r>
        <w:tab/>
      </w:r>
      <w:r>
        <w:fldChar w:fldCharType="begin"/>
      </w:r>
      <w:r>
        <w:instrText xml:space="preserve"> PAGEREF _Toc134175256 \h </w:instrText>
      </w:r>
      <w:r>
        <w:fldChar w:fldCharType="separate"/>
      </w:r>
      <w:r>
        <w:t>15</w:t>
      </w:r>
      <w:r>
        <w:fldChar w:fldCharType="end"/>
      </w:r>
    </w:p>
    <w:p w14:paraId="45933A00" w14:textId="0F3CE156" w:rsidR="00083DFF" w:rsidRDefault="00083DFF">
      <w:pPr>
        <w:pStyle w:val="Obsah2"/>
        <w:rPr>
          <w:rFonts w:asciiTheme="minorHAnsi" w:eastAsiaTheme="minorEastAsia" w:hAnsiTheme="minorHAnsi" w:cstheme="minorBidi"/>
          <w:iCs w:val="0"/>
          <w:kern w:val="2"/>
          <w:sz w:val="22"/>
          <w:szCs w:val="22"/>
          <w14:ligatures w14:val="standardContextual"/>
        </w:rPr>
      </w:pPr>
      <w:r>
        <w:t>2.4</w:t>
      </w:r>
      <w:r>
        <w:rPr>
          <w:rFonts w:asciiTheme="minorHAnsi" w:eastAsiaTheme="minorEastAsia" w:hAnsiTheme="minorHAnsi" w:cstheme="minorBidi"/>
          <w:iCs w:val="0"/>
          <w:kern w:val="2"/>
          <w:sz w:val="22"/>
          <w:szCs w:val="22"/>
          <w14:ligatures w14:val="standardContextual"/>
        </w:rPr>
        <w:tab/>
      </w:r>
      <w:r>
        <w:t>SWOT matice</w:t>
      </w:r>
      <w:r>
        <w:tab/>
      </w:r>
      <w:r>
        <w:fldChar w:fldCharType="begin"/>
      </w:r>
      <w:r>
        <w:instrText xml:space="preserve"> PAGEREF _Toc134175257 \h </w:instrText>
      </w:r>
      <w:r>
        <w:fldChar w:fldCharType="separate"/>
      </w:r>
      <w:r>
        <w:t>19</w:t>
      </w:r>
      <w:r>
        <w:fldChar w:fldCharType="end"/>
      </w:r>
    </w:p>
    <w:p w14:paraId="3C24DF7A" w14:textId="3B8E820A" w:rsidR="00083DFF" w:rsidRDefault="00083DFF">
      <w:pPr>
        <w:pStyle w:val="Obsah1"/>
        <w:rPr>
          <w:rFonts w:asciiTheme="minorHAnsi" w:eastAsiaTheme="minorEastAsia" w:hAnsiTheme="minorHAnsi" w:cstheme="minorBidi"/>
          <w:b w:val="0"/>
          <w:color w:val="auto"/>
          <w:kern w:val="2"/>
          <w:sz w:val="22"/>
          <w:szCs w:val="22"/>
          <w14:ligatures w14:val="standardContextual"/>
        </w:rPr>
      </w:pPr>
      <w:r>
        <w:t>3</w:t>
      </w:r>
      <w:r>
        <w:rPr>
          <w:rFonts w:asciiTheme="minorHAnsi" w:eastAsiaTheme="minorEastAsia" w:hAnsiTheme="minorHAnsi" w:cstheme="minorBidi"/>
          <w:b w:val="0"/>
          <w:color w:val="auto"/>
          <w:kern w:val="2"/>
          <w:sz w:val="22"/>
          <w:szCs w:val="22"/>
          <w14:ligatures w14:val="standardContextual"/>
        </w:rPr>
        <w:tab/>
      </w:r>
      <w:r>
        <w:t>Analýza rozvahy a výkazu zisku a ztrát</w:t>
      </w:r>
      <w:r>
        <w:tab/>
      </w:r>
      <w:r>
        <w:fldChar w:fldCharType="begin"/>
      </w:r>
      <w:r>
        <w:instrText xml:space="preserve"> PAGEREF _Toc134175258 \h </w:instrText>
      </w:r>
      <w:r>
        <w:fldChar w:fldCharType="separate"/>
      </w:r>
      <w:r>
        <w:t>20</w:t>
      </w:r>
      <w:r>
        <w:fldChar w:fldCharType="end"/>
      </w:r>
    </w:p>
    <w:p w14:paraId="6D9E1E1D" w14:textId="720AE742" w:rsidR="00083DFF" w:rsidRDefault="00083DFF">
      <w:pPr>
        <w:pStyle w:val="Obsah2"/>
        <w:rPr>
          <w:rFonts w:asciiTheme="minorHAnsi" w:eastAsiaTheme="minorEastAsia" w:hAnsiTheme="minorHAnsi" w:cstheme="minorBidi"/>
          <w:iCs w:val="0"/>
          <w:kern w:val="2"/>
          <w:sz w:val="22"/>
          <w:szCs w:val="22"/>
          <w14:ligatures w14:val="standardContextual"/>
        </w:rPr>
      </w:pPr>
      <w:r>
        <w:t>3.1</w:t>
      </w:r>
      <w:r>
        <w:rPr>
          <w:rFonts w:asciiTheme="minorHAnsi" w:eastAsiaTheme="minorEastAsia" w:hAnsiTheme="minorHAnsi" w:cstheme="minorBidi"/>
          <w:iCs w:val="0"/>
          <w:kern w:val="2"/>
          <w:sz w:val="22"/>
          <w:szCs w:val="22"/>
          <w14:ligatures w14:val="standardContextual"/>
        </w:rPr>
        <w:tab/>
      </w:r>
      <w:r>
        <w:t>Horizontální a vertikální analýza aktiv</w:t>
      </w:r>
      <w:r>
        <w:tab/>
      </w:r>
      <w:r>
        <w:fldChar w:fldCharType="begin"/>
      </w:r>
      <w:r>
        <w:instrText xml:space="preserve"> PAGEREF _Toc134175259 \h </w:instrText>
      </w:r>
      <w:r>
        <w:fldChar w:fldCharType="separate"/>
      </w:r>
      <w:r>
        <w:t>22</w:t>
      </w:r>
      <w:r>
        <w:fldChar w:fldCharType="end"/>
      </w:r>
    </w:p>
    <w:p w14:paraId="65F633B9" w14:textId="29A1A9C6" w:rsidR="00083DFF" w:rsidRDefault="00083DFF">
      <w:pPr>
        <w:pStyle w:val="Obsah2"/>
        <w:rPr>
          <w:rFonts w:asciiTheme="minorHAnsi" w:eastAsiaTheme="minorEastAsia" w:hAnsiTheme="minorHAnsi" w:cstheme="minorBidi"/>
          <w:iCs w:val="0"/>
          <w:kern w:val="2"/>
          <w:sz w:val="22"/>
          <w:szCs w:val="22"/>
          <w14:ligatures w14:val="standardContextual"/>
        </w:rPr>
      </w:pPr>
      <w:r>
        <w:t>3.2</w:t>
      </w:r>
      <w:r>
        <w:rPr>
          <w:rFonts w:asciiTheme="minorHAnsi" w:eastAsiaTheme="minorEastAsia" w:hAnsiTheme="minorHAnsi" w:cstheme="minorBidi"/>
          <w:iCs w:val="0"/>
          <w:kern w:val="2"/>
          <w:sz w:val="22"/>
          <w:szCs w:val="22"/>
          <w14:ligatures w14:val="standardContextual"/>
        </w:rPr>
        <w:tab/>
      </w:r>
      <w:r>
        <w:t>Horizontální a vertikální analýza pasiv</w:t>
      </w:r>
      <w:r>
        <w:tab/>
      </w:r>
      <w:r>
        <w:fldChar w:fldCharType="begin"/>
      </w:r>
      <w:r>
        <w:instrText xml:space="preserve"> PAGEREF _Toc134175260 \h </w:instrText>
      </w:r>
      <w:r>
        <w:fldChar w:fldCharType="separate"/>
      </w:r>
      <w:r>
        <w:t>23</w:t>
      </w:r>
      <w:r>
        <w:fldChar w:fldCharType="end"/>
      </w:r>
    </w:p>
    <w:p w14:paraId="312B1D58" w14:textId="7C53B908" w:rsidR="00083DFF" w:rsidRDefault="00083DFF">
      <w:pPr>
        <w:pStyle w:val="Obsah2"/>
        <w:rPr>
          <w:rFonts w:asciiTheme="minorHAnsi" w:eastAsiaTheme="minorEastAsia" w:hAnsiTheme="minorHAnsi" w:cstheme="minorBidi"/>
          <w:iCs w:val="0"/>
          <w:kern w:val="2"/>
          <w:sz w:val="22"/>
          <w:szCs w:val="22"/>
          <w14:ligatures w14:val="standardContextual"/>
        </w:rPr>
      </w:pPr>
      <w:r>
        <w:t>3.3</w:t>
      </w:r>
      <w:r>
        <w:rPr>
          <w:rFonts w:asciiTheme="minorHAnsi" w:eastAsiaTheme="minorEastAsia" w:hAnsiTheme="minorHAnsi" w:cstheme="minorBidi"/>
          <w:iCs w:val="0"/>
          <w:kern w:val="2"/>
          <w:sz w:val="22"/>
          <w:szCs w:val="22"/>
          <w14:ligatures w14:val="standardContextual"/>
        </w:rPr>
        <w:tab/>
      </w:r>
      <w:r>
        <w:t>Analýza výnosů (VZZ)</w:t>
      </w:r>
      <w:r>
        <w:tab/>
      </w:r>
      <w:r>
        <w:fldChar w:fldCharType="begin"/>
      </w:r>
      <w:r>
        <w:instrText xml:space="preserve"> PAGEREF _Toc134175261 \h </w:instrText>
      </w:r>
      <w:r>
        <w:fldChar w:fldCharType="separate"/>
      </w:r>
      <w:r>
        <w:t>25</w:t>
      </w:r>
      <w:r>
        <w:fldChar w:fldCharType="end"/>
      </w:r>
    </w:p>
    <w:p w14:paraId="5E118A57" w14:textId="5959FA51" w:rsidR="00083DFF" w:rsidRDefault="00083DFF">
      <w:pPr>
        <w:pStyle w:val="Obsah2"/>
        <w:rPr>
          <w:rFonts w:asciiTheme="minorHAnsi" w:eastAsiaTheme="minorEastAsia" w:hAnsiTheme="minorHAnsi" w:cstheme="minorBidi"/>
          <w:iCs w:val="0"/>
          <w:kern w:val="2"/>
          <w:sz w:val="22"/>
          <w:szCs w:val="22"/>
          <w14:ligatures w14:val="standardContextual"/>
        </w:rPr>
      </w:pPr>
      <w:r>
        <w:t>3.4</w:t>
      </w:r>
      <w:r>
        <w:rPr>
          <w:rFonts w:asciiTheme="minorHAnsi" w:eastAsiaTheme="minorEastAsia" w:hAnsiTheme="minorHAnsi" w:cstheme="minorBidi"/>
          <w:iCs w:val="0"/>
          <w:kern w:val="2"/>
          <w:sz w:val="22"/>
          <w:szCs w:val="22"/>
          <w14:ligatures w14:val="standardContextual"/>
        </w:rPr>
        <w:tab/>
      </w:r>
      <w:r>
        <w:t>Analýza nákladů (VZZ)</w:t>
      </w:r>
      <w:r>
        <w:tab/>
      </w:r>
      <w:r>
        <w:fldChar w:fldCharType="begin"/>
      </w:r>
      <w:r>
        <w:instrText xml:space="preserve"> PAGEREF _Toc134175262 \h </w:instrText>
      </w:r>
      <w:r>
        <w:fldChar w:fldCharType="separate"/>
      </w:r>
      <w:r>
        <w:t>26</w:t>
      </w:r>
      <w:r>
        <w:fldChar w:fldCharType="end"/>
      </w:r>
    </w:p>
    <w:p w14:paraId="61F50F7C" w14:textId="166775C6" w:rsidR="00083DFF" w:rsidRDefault="00083DFF">
      <w:pPr>
        <w:pStyle w:val="Obsah2"/>
        <w:rPr>
          <w:rFonts w:asciiTheme="minorHAnsi" w:eastAsiaTheme="minorEastAsia" w:hAnsiTheme="minorHAnsi" w:cstheme="minorBidi"/>
          <w:iCs w:val="0"/>
          <w:kern w:val="2"/>
          <w:sz w:val="22"/>
          <w:szCs w:val="22"/>
          <w14:ligatures w14:val="standardContextual"/>
        </w:rPr>
      </w:pPr>
      <w:r>
        <w:t>3.5</w:t>
      </w:r>
      <w:r>
        <w:rPr>
          <w:rFonts w:asciiTheme="minorHAnsi" w:eastAsiaTheme="minorEastAsia" w:hAnsiTheme="minorHAnsi" w:cstheme="minorBidi"/>
          <w:iCs w:val="0"/>
          <w:kern w:val="2"/>
          <w:sz w:val="22"/>
          <w:szCs w:val="22"/>
          <w14:ligatures w14:val="standardContextual"/>
        </w:rPr>
        <w:tab/>
      </w:r>
      <w:r>
        <w:t>Výsledky hospodaření</w:t>
      </w:r>
      <w:r>
        <w:tab/>
      </w:r>
      <w:r>
        <w:fldChar w:fldCharType="begin"/>
      </w:r>
      <w:r>
        <w:instrText xml:space="preserve"> PAGEREF _Toc134175263 \h </w:instrText>
      </w:r>
      <w:r>
        <w:fldChar w:fldCharType="separate"/>
      </w:r>
      <w:r>
        <w:t>29</w:t>
      </w:r>
      <w:r>
        <w:fldChar w:fldCharType="end"/>
      </w:r>
    </w:p>
    <w:p w14:paraId="115FE6C2" w14:textId="553E48CE" w:rsidR="00083DFF" w:rsidRDefault="00083DFF">
      <w:pPr>
        <w:pStyle w:val="Obsah2"/>
        <w:rPr>
          <w:rFonts w:asciiTheme="minorHAnsi" w:eastAsiaTheme="minorEastAsia" w:hAnsiTheme="minorHAnsi" w:cstheme="minorBidi"/>
          <w:iCs w:val="0"/>
          <w:kern w:val="2"/>
          <w:sz w:val="22"/>
          <w:szCs w:val="22"/>
          <w14:ligatures w14:val="standardContextual"/>
        </w:rPr>
      </w:pPr>
      <w:r>
        <w:t>3.6</w:t>
      </w:r>
      <w:r>
        <w:rPr>
          <w:rFonts w:asciiTheme="minorHAnsi" w:eastAsiaTheme="minorEastAsia" w:hAnsiTheme="minorHAnsi" w:cstheme="minorBidi"/>
          <w:iCs w:val="0"/>
          <w:kern w:val="2"/>
          <w:sz w:val="22"/>
          <w:szCs w:val="22"/>
          <w14:ligatures w14:val="standardContextual"/>
        </w:rPr>
        <w:tab/>
      </w:r>
      <w:r>
        <w:t>SWOT matice vycházející z vertikální a horizontální analýzy</w:t>
      </w:r>
      <w:r>
        <w:tab/>
      </w:r>
      <w:r>
        <w:fldChar w:fldCharType="begin"/>
      </w:r>
      <w:r>
        <w:instrText xml:space="preserve"> PAGEREF _Toc134175264 \h </w:instrText>
      </w:r>
      <w:r>
        <w:fldChar w:fldCharType="separate"/>
      </w:r>
      <w:r>
        <w:t>30</w:t>
      </w:r>
      <w:r>
        <w:fldChar w:fldCharType="end"/>
      </w:r>
    </w:p>
    <w:p w14:paraId="27246ABB" w14:textId="492FCBFC" w:rsidR="00083DFF" w:rsidRDefault="00083DFF">
      <w:pPr>
        <w:pStyle w:val="Obsah2"/>
        <w:rPr>
          <w:rFonts w:asciiTheme="minorHAnsi" w:eastAsiaTheme="minorEastAsia" w:hAnsiTheme="minorHAnsi" w:cstheme="minorBidi"/>
          <w:iCs w:val="0"/>
          <w:kern w:val="2"/>
          <w:sz w:val="22"/>
          <w:szCs w:val="22"/>
          <w14:ligatures w14:val="standardContextual"/>
        </w:rPr>
      </w:pPr>
      <w:r>
        <w:t>3.7</w:t>
      </w:r>
      <w:r>
        <w:rPr>
          <w:rFonts w:asciiTheme="minorHAnsi" w:eastAsiaTheme="minorEastAsia" w:hAnsiTheme="minorHAnsi" w:cstheme="minorBidi"/>
          <w:iCs w:val="0"/>
          <w:kern w:val="2"/>
          <w:sz w:val="22"/>
          <w:szCs w:val="22"/>
          <w14:ligatures w14:val="standardContextual"/>
        </w:rPr>
        <w:tab/>
      </w:r>
      <w:r>
        <w:t>Závěr kapitoly</w:t>
      </w:r>
      <w:r>
        <w:tab/>
      </w:r>
      <w:r>
        <w:fldChar w:fldCharType="begin"/>
      </w:r>
      <w:r>
        <w:instrText xml:space="preserve"> PAGEREF _Toc134175265 \h </w:instrText>
      </w:r>
      <w:r>
        <w:fldChar w:fldCharType="separate"/>
      </w:r>
      <w:r>
        <w:t>30</w:t>
      </w:r>
      <w:r>
        <w:fldChar w:fldCharType="end"/>
      </w:r>
    </w:p>
    <w:p w14:paraId="3B1F61FF" w14:textId="53136FF5" w:rsidR="00083DFF" w:rsidRDefault="00083DFF">
      <w:pPr>
        <w:pStyle w:val="Obsah1"/>
        <w:rPr>
          <w:rFonts w:asciiTheme="minorHAnsi" w:eastAsiaTheme="minorEastAsia" w:hAnsiTheme="minorHAnsi" w:cstheme="minorBidi"/>
          <w:b w:val="0"/>
          <w:color w:val="auto"/>
          <w:kern w:val="2"/>
          <w:sz w:val="22"/>
          <w:szCs w:val="22"/>
          <w14:ligatures w14:val="standardContextual"/>
        </w:rPr>
      </w:pPr>
      <w:r>
        <w:t>4</w:t>
      </w:r>
      <w:r>
        <w:rPr>
          <w:rFonts w:asciiTheme="minorHAnsi" w:eastAsiaTheme="minorEastAsia" w:hAnsiTheme="minorHAnsi" w:cstheme="minorBidi"/>
          <w:b w:val="0"/>
          <w:color w:val="auto"/>
          <w:kern w:val="2"/>
          <w:sz w:val="22"/>
          <w:szCs w:val="22"/>
          <w14:ligatures w14:val="standardContextual"/>
        </w:rPr>
        <w:tab/>
      </w:r>
      <w:r>
        <w:t>Poměrové ukazatele</w:t>
      </w:r>
      <w:r>
        <w:tab/>
      </w:r>
      <w:r>
        <w:fldChar w:fldCharType="begin"/>
      </w:r>
      <w:r>
        <w:instrText xml:space="preserve"> PAGEREF _Toc134175266 \h </w:instrText>
      </w:r>
      <w:r>
        <w:fldChar w:fldCharType="separate"/>
      </w:r>
      <w:r>
        <w:t>31</w:t>
      </w:r>
      <w:r>
        <w:fldChar w:fldCharType="end"/>
      </w:r>
    </w:p>
    <w:p w14:paraId="3DFF5A37" w14:textId="4F8DA83B" w:rsidR="00083DFF" w:rsidRDefault="00083DFF">
      <w:pPr>
        <w:pStyle w:val="Obsah2"/>
        <w:rPr>
          <w:rFonts w:asciiTheme="minorHAnsi" w:eastAsiaTheme="minorEastAsia" w:hAnsiTheme="minorHAnsi" w:cstheme="minorBidi"/>
          <w:iCs w:val="0"/>
          <w:kern w:val="2"/>
          <w:sz w:val="22"/>
          <w:szCs w:val="22"/>
          <w14:ligatures w14:val="standardContextual"/>
        </w:rPr>
      </w:pPr>
      <w:r>
        <w:t>4.1</w:t>
      </w:r>
      <w:r>
        <w:rPr>
          <w:rFonts w:asciiTheme="minorHAnsi" w:eastAsiaTheme="minorEastAsia" w:hAnsiTheme="minorHAnsi" w:cstheme="minorBidi"/>
          <w:iCs w:val="0"/>
          <w:kern w:val="2"/>
          <w:sz w:val="22"/>
          <w:szCs w:val="22"/>
          <w14:ligatures w14:val="standardContextual"/>
        </w:rPr>
        <w:tab/>
      </w:r>
      <w:r>
        <w:t>Rentabilita</w:t>
      </w:r>
      <w:r>
        <w:tab/>
      </w:r>
      <w:r>
        <w:fldChar w:fldCharType="begin"/>
      </w:r>
      <w:r>
        <w:instrText xml:space="preserve"> PAGEREF _Toc134175267 \h </w:instrText>
      </w:r>
      <w:r>
        <w:fldChar w:fldCharType="separate"/>
      </w:r>
      <w:r>
        <w:t>31</w:t>
      </w:r>
      <w:r>
        <w:fldChar w:fldCharType="end"/>
      </w:r>
    </w:p>
    <w:p w14:paraId="0834BD03" w14:textId="46F2F788" w:rsidR="00083DFF" w:rsidRDefault="00083DFF">
      <w:pPr>
        <w:pStyle w:val="Obsah2"/>
        <w:rPr>
          <w:rFonts w:asciiTheme="minorHAnsi" w:eastAsiaTheme="minorEastAsia" w:hAnsiTheme="minorHAnsi" w:cstheme="minorBidi"/>
          <w:iCs w:val="0"/>
          <w:kern w:val="2"/>
          <w:sz w:val="22"/>
          <w:szCs w:val="22"/>
          <w14:ligatures w14:val="standardContextual"/>
        </w:rPr>
      </w:pPr>
      <w:r>
        <w:t>4.2</w:t>
      </w:r>
      <w:r>
        <w:rPr>
          <w:rFonts w:asciiTheme="minorHAnsi" w:eastAsiaTheme="minorEastAsia" w:hAnsiTheme="minorHAnsi" w:cstheme="minorBidi"/>
          <w:iCs w:val="0"/>
          <w:kern w:val="2"/>
          <w:sz w:val="22"/>
          <w:szCs w:val="22"/>
          <w14:ligatures w14:val="standardContextual"/>
        </w:rPr>
        <w:tab/>
      </w:r>
      <w:r>
        <w:t>Aktivita</w:t>
      </w:r>
      <w:r>
        <w:tab/>
      </w:r>
      <w:r>
        <w:fldChar w:fldCharType="begin"/>
      </w:r>
      <w:r>
        <w:instrText xml:space="preserve"> PAGEREF _Toc134175268 \h </w:instrText>
      </w:r>
      <w:r>
        <w:fldChar w:fldCharType="separate"/>
      </w:r>
      <w:r>
        <w:t>33</w:t>
      </w:r>
      <w:r>
        <w:fldChar w:fldCharType="end"/>
      </w:r>
    </w:p>
    <w:p w14:paraId="6A43C513" w14:textId="6B3B31CE" w:rsidR="00083DFF" w:rsidRDefault="00083DFF">
      <w:pPr>
        <w:pStyle w:val="Obsah2"/>
        <w:rPr>
          <w:rFonts w:asciiTheme="minorHAnsi" w:eastAsiaTheme="minorEastAsia" w:hAnsiTheme="minorHAnsi" w:cstheme="minorBidi"/>
          <w:iCs w:val="0"/>
          <w:kern w:val="2"/>
          <w:sz w:val="22"/>
          <w:szCs w:val="22"/>
          <w14:ligatures w14:val="standardContextual"/>
        </w:rPr>
      </w:pPr>
      <w:r>
        <w:t>4.3</w:t>
      </w:r>
      <w:r>
        <w:rPr>
          <w:rFonts w:asciiTheme="minorHAnsi" w:eastAsiaTheme="minorEastAsia" w:hAnsiTheme="minorHAnsi" w:cstheme="minorBidi"/>
          <w:iCs w:val="0"/>
          <w:kern w:val="2"/>
          <w:sz w:val="22"/>
          <w:szCs w:val="22"/>
          <w14:ligatures w14:val="standardContextual"/>
        </w:rPr>
        <w:tab/>
      </w:r>
      <w:r>
        <w:t>Poměrové ukazatele související se zaměstnanci</w:t>
      </w:r>
      <w:r>
        <w:tab/>
      </w:r>
      <w:r>
        <w:fldChar w:fldCharType="begin"/>
      </w:r>
      <w:r>
        <w:instrText xml:space="preserve"> PAGEREF _Toc134175269 \h </w:instrText>
      </w:r>
      <w:r>
        <w:fldChar w:fldCharType="separate"/>
      </w:r>
      <w:r>
        <w:t>35</w:t>
      </w:r>
      <w:r>
        <w:fldChar w:fldCharType="end"/>
      </w:r>
    </w:p>
    <w:p w14:paraId="44EC5174" w14:textId="457B99C3" w:rsidR="00083DFF" w:rsidRDefault="00083DFF">
      <w:pPr>
        <w:pStyle w:val="Obsah2"/>
        <w:rPr>
          <w:rFonts w:asciiTheme="minorHAnsi" w:eastAsiaTheme="minorEastAsia" w:hAnsiTheme="minorHAnsi" w:cstheme="minorBidi"/>
          <w:iCs w:val="0"/>
          <w:kern w:val="2"/>
          <w:sz w:val="22"/>
          <w:szCs w:val="22"/>
          <w14:ligatures w14:val="standardContextual"/>
        </w:rPr>
      </w:pPr>
      <w:r>
        <w:t>4.4</w:t>
      </w:r>
      <w:r>
        <w:rPr>
          <w:rFonts w:asciiTheme="minorHAnsi" w:eastAsiaTheme="minorEastAsia" w:hAnsiTheme="minorHAnsi" w:cstheme="minorBidi"/>
          <w:iCs w:val="0"/>
          <w:kern w:val="2"/>
          <w:sz w:val="22"/>
          <w:szCs w:val="22"/>
          <w14:ligatures w14:val="standardContextual"/>
        </w:rPr>
        <w:tab/>
      </w:r>
      <w:r>
        <w:t>Zadluženost</w:t>
      </w:r>
      <w:r>
        <w:tab/>
      </w:r>
      <w:r>
        <w:fldChar w:fldCharType="begin"/>
      </w:r>
      <w:r>
        <w:instrText xml:space="preserve"> PAGEREF _Toc134175270 \h </w:instrText>
      </w:r>
      <w:r>
        <w:fldChar w:fldCharType="separate"/>
      </w:r>
      <w:r>
        <w:t>36</w:t>
      </w:r>
      <w:r>
        <w:fldChar w:fldCharType="end"/>
      </w:r>
    </w:p>
    <w:p w14:paraId="38FDAA08" w14:textId="4502DDBC" w:rsidR="00083DFF" w:rsidRDefault="00083DFF">
      <w:pPr>
        <w:pStyle w:val="Obsah2"/>
        <w:rPr>
          <w:rFonts w:asciiTheme="minorHAnsi" w:eastAsiaTheme="minorEastAsia" w:hAnsiTheme="minorHAnsi" w:cstheme="minorBidi"/>
          <w:iCs w:val="0"/>
          <w:kern w:val="2"/>
          <w:sz w:val="22"/>
          <w:szCs w:val="22"/>
          <w14:ligatures w14:val="standardContextual"/>
        </w:rPr>
      </w:pPr>
      <w:r>
        <w:t>4.5</w:t>
      </w:r>
      <w:r>
        <w:rPr>
          <w:rFonts w:asciiTheme="minorHAnsi" w:eastAsiaTheme="minorEastAsia" w:hAnsiTheme="minorHAnsi" w:cstheme="minorBidi"/>
          <w:iCs w:val="0"/>
          <w:kern w:val="2"/>
          <w:sz w:val="22"/>
          <w:szCs w:val="22"/>
          <w14:ligatures w14:val="standardContextual"/>
        </w:rPr>
        <w:tab/>
      </w:r>
      <w:r>
        <w:t>Likvidita</w:t>
      </w:r>
      <w:r>
        <w:tab/>
      </w:r>
      <w:r>
        <w:fldChar w:fldCharType="begin"/>
      </w:r>
      <w:r>
        <w:instrText xml:space="preserve"> PAGEREF _Toc134175271 \h </w:instrText>
      </w:r>
      <w:r>
        <w:fldChar w:fldCharType="separate"/>
      </w:r>
      <w:r>
        <w:t>38</w:t>
      </w:r>
      <w:r>
        <w:fldChar w:fldCharType="end"/>
      </w:r>
    </w:p>
    <w:p w14:paraId="7670B50B" w14:textId="355EF98F" w:rsidR="00083DFF" w:rsidRDefault="00083DFF">
      <w:pPr>
        <w:pStyle w:val="Obsah2"/>
        <w:rPr>
          <w:rFonts w:asciiTheme="minorHAnsi" w:eastAsiaTheme="minorEastAsia" w:hAnsiTheme="minorHAnsi" w:cstheme="minorBidi"/>
          <w:iCs w:val="0"/>
          <w:kern w:val="2"/>
          <w:sz w:val="22"/>
          <w:szCs w:val="22"/>
          <w14:ligatures w14:val="standardContextual"/>
        </w:rPr>
      </w:pPr>
      <w:r>
        <w:t>4.6</w:t>
      </w:r>
      <w:r>
        <w:rPr>
          <w:rFonts w:asciiTheme="minorHAnsi" w:eastAsiaTheme="minorEastAsia" w:hAnsiTheme="minorHAnsi" w:cstheme="minorBidi"/>
          <w:iCs w:val="0"/>
          <w:kern w:val="2"/>
          <w:sz w:val="22"/>
          <w:szCs w:val="22"/>
          <w14:ligatures w14:val="standardContextual"/>
        </w:rPr>
        <w:tab/>
      </w:r>
      <w:r>
        <w:t>SWOT matice vycházející z analýzy poměrových ukazatelů</w:t>
      </w:r>
      <w:r>
        <w:tab/>
      </w:r>
      <w:r>
        <w:fldChar w:fldCharType="begin"/>
      </w:r>
      <w:r>
        <w:instrText xml:space="preserve"> PAGEREF _Toc134175272 \h </w:instrText>
      </w:r>
      <w:r>
        <w:fldChar w:fldCharType="separate"/>
      </w:r>
      <w:r>
        <w:t>40</w:t>
      </w:r>
      <w:r>
        <w:fldChar w:fldCharType="end"/>
      </w:r>
    </w:p>
    <w:p w14:paraId="5CDE536A" w14:textId="77150C6F" w:rsidR="00083DFF" w:rsidRDefault="00083DFF">
      <w:pPr>
        <w:pStyle w:val="Obsah2"/>
        <w:rPr>
          <w:rFonts w:asciiTheme="minorHAnsi" w:eastAsiaTheme="minorEastAsia" w:hAnsiTheme="minorHAnsi" w:cstheme="minorBidi"/>
          <w:iCs w:val="0"/>
          <w:kern w:val="2"/>
          <w:sz w:val="22"/>
          <w:szCs w:val="22"/>
          <w14:ligatures w14:val="standardContextual"/>
        </w:rPr>
      </w:pPr>
      <w:r>
        <w:t>4.7</w:t>
      </w:r>
      <w:r>
        <w:rPr>
          <w:rFonts w:asciiTheme="minorHAnsi" w:eastAsiaTheme="minorEastAsia" w:hAnsiTheme="minorHAnsi" w:cstheme="minorBidi"/>
          <w:iCs w:val="0"/>
          <w:kern w:val="2"/>
          <w:sz w:val="22"/>
          <w:szCs w:val="22"/>
          <w14:ligatures w14:val="standardContextual"/>
        </w:rPr>
        <w:tab/>
      </w:r>
      <w:r>
        <w:t>Závěr kapitoly</w:t>
      </w:r>
      <w:r>
        <w:tab/>
      </w:r>
      <w:r>
        <w:fldChar w:fldCharType="begin"/>
      </w:r>
      <w:r>
        <w:instrText xml:space="preserve"> PAGEREF _Toc134175273 \h </w:instrText>
      </w:r>
      <w:r>
        <w:fldChar w:fldCharType="separate"/>
      </w:r>
      <w:r>
        <w:t>40</w:t>
      </w:r>
      <w:r>
        <w:fldChar w:fldCharType="end"/>
      </w:r>
    </w:p>
    <w:p w14:paraId="5833036A" w14:textId="17D5F17B" w:rsidR="00083DFF" w:rsidRDefault="00083DFF">
      <w:pPr>
        <w:pStyle w:val="Obsah1"/>
        <w:rPr>
          <w:rFonts w:asciiTheme="minorHAnsi" w:eastAsiaTheme="minorEastAsia" w:hAnsiTheme="minorHAnsi" w:cstheme="minorBidi"/>
          <w:b w:val="0"/>
          <w:color w:val="auto"/>
          <w:kern w:val="2"/>
          <w:sz w:val="22"/>
          <w:szCs w:val="22"/>
          <w14:ligatures w14:val="standardContextual"/>
        </w:rPr>
      </w:pPr>
      <w:r>
        <w:t>5</w:t>
      </w:r>
      <w:r>
        <w:rPr>
          <w:rFonts w:asciiTheme="minorHAnsi" w:eastAsiaTheme="minorEastAsia" w:hAnsiTheme="minorHAnsi" w:cstheme="minorBidi"/>
          <w:b w:val="0"/>
          <w:color w:val="auto"/>
          <w:kern w:val="2"/>
          <w:sz w:val="22"/>
          <w:szCs w:val="22"/>
          <w14:ligatures w14:val="standardContextual"/>
        </w:rPr>
        <w:tab/>
      </w:r>
      <w:r>
        <w:t>Finanční a provozní páka, pyramidové rozklady</w:t>
      </w:r>
      <w:r>
        <w:tab/>
      </w:r>
      <w:r>
        <w:fldChar w:fldCharType="begin"/>
      </w:r>
      <w:r>
        <w:instrText xml:space="preserve"> PAGEREF _Toc134175274 \h </w:instrText>
      </w:r>
      <w:r>
        <w:fldChar w:fldCharType="separate"/>
      </w:r>
      <w:r>
        <w:t>42</w:t>
      </w:r>
      <w:r>
        <w:fldChar w:fldCharType="end"/>
      </w:r>
    </w:p>
    <w:p w14:paraId="3816E7A7" w14:textId="50F76CDC" w:rsidR="00083DFF" w:rsidRDefault="00083DFF">
      <w:pPr>
        <w:pStyle w:val="Obsah2"/>
        <w:rPr>
          <w:rFonts w:asciiTheme="minorHAnsi" w:eastAsiaTheme="minorEastAsia" w:hAnsiTheme="minorHAnsi" w:cstheme="minorBidi"/>
          <w:iCs w:val="0"/>
          <w:kern w:val="2"/>
          <w:sz w:val="22"/>
          <w:szCs w:val="22"/>
          <w14:ligatures w14:val="standardContextual"/>
        </w:rPr>
      </w:pPr>
      <w:r>
        <w:t>5.1</w:t>
      </w:r>
      <w:r>
        <w:rPr>
          <w:rFonts w:asciiTheme="minorHAnsi" w:eastAsiaTheme="minorEastAsia" w:hAnsiTheme="minorHAnsi" w:cstheme="minorBidi"/>
          <w:iCs w:val="0"/>
          <w:kern w:val="2"/>
          <w:sz w:val="22"/>
          <w:szCs w:val="22"/>
          <w14:ligatures w14:val="standardContextual"/>
        </w:rPr>
        <w:tab/>
      </w:r>
      <w:r>
        <w:t>Finanční a provozní páka</w:t>
      </w:r>
      <w:r>
        <w:tab/>
      </w:r>
      <w:r>
        <w:fldChar w:fldCharType="begin"/>
      </w:r>
      <w:r>
        <w:instrText xml:space="preserve"> PAGEREF _Toc134175275 \h </w:instrText>
      </w:r>
      <w:r>
        <w:fldChar w:fldCharType="separate"/>
      </w:r>
      <w:r>
        <w:t>42</w:t>
      </w:r>
      <w:r>
        <w:fldChar w:fldCharType="end"/>
      </w:r>
    </w:p>
    <w:p w14:paraId="61C1CBF4" w14:textId="56AB5FEB" w:rsidR="00083DFF" w:rsidRDefault="00083DFF">
      <w:pPr>
        <w:pStyle w:val="Obsah2"/>
        <w:rPr>
          <w:rFonts w:asciiTheme="minorHAnsi" w:eastAsiaTheme="minorEastAsia" w:hAnsiTheme="minorHAnsi" w:cstheme="minorBidi"/>
          <w:iCs w:val="0"/>
          <w:kern w:val="2"/>
          <w:sz w:val="22"/>
          <w:szCs w:val="22"/>
          <w14:ligatures w14:val="standardContextual"/>
        </w:rPr>
      </w:pPr>
      <w:r>
        <w:t>5.2</w:t>
      </w:r>
      <w:r>
        <w:rPr>
          <w:rFonts w:asciiTheme="minorHAnsi" w:eastAsiaTheme="minorEastAsia" w:hAnsiTheme="minorHAnsi" w:cstheme="minorBidi"/>
          <w:iCs w:val="0"/>
          <w:kern w:val="2"/>
          <w:sz w:val="22"/>
          <w:szCs w:val="22"/>
          <w14:ligatures w14:val="standardContextual"/>
        </w:rPr>
        <w:tab/>
      </w:r>
      <w:r>
        <w:t>Pyramidové rozklady</w:t>
      </w:r>
      <w:r>
        <w:tab/>
      </w:r>
      <w:r>
        <w:fldChar w:fldCharType="begin"/>
      </w:r>
      <w:r>
        <w:instrText xml:space="preserve"> PAGEREF _Toc134175276 \h </w:instrText>
      </w:r>
      <w:r>
        <w:fldChar w:fldCharType="separate"/>
      </w:r>
      <w:r>
        <w:t>45</w:t>
      </w:r>
      <w:r>
        <w:fldChar w:fldCharType="end"/>
      </w:r>
    </w:p>
    <w:p w14:paraId="62BA4B1F" w14:textId="5305F1EC" w:rsidR="00083DFF" w:rsidRDefault="00083DFF">
      <w:pPr>
        <w:pStyle w:val="Obsah2"/>
        <w:rPr>
          <w:rFonts w:asciiTheme="minorHAnsi" w:eastAsiaTheme="minorEastAsia" w:hAnsiTheme="minorHAnsi" w:cstheme="minorBidi"/>
          <w:iCs w:val="0"/>
          <w:kern w:val="2"/>
          <w:sz w:val="22"/>
          <w:szCs w:val="22"/>
          <w14:ligatures w14:val="standardContextual"/>
        </w:rPr>
      </w:pPr>
      <w:r>
        <w:t>5.3</w:t>
      </w:r>
      <w:r>
        <w:rPr>
          <w:rFonts w:asciiTheme="minorHAnsi" w:eastAsiaTheme="minorEastAsia" w:hAnsiTheme="minorHAnsi" w:cstheme="minorBidi"/>
          <w:iCs w:val="0"/>
          <w:kern w:val="2"/>
          <w:sz w:val="22"/>
          <w:szCs w:val="22"/>
          <w14:ligatures w14:val="standardContextual"/>
        </w:rPr>
        <w:tab/>
      </w:r>
      <w:r>
        <w:t>SWOT analýza</w:t>
      </w:r>
      <w:r>
        <w:tab/>
      </w:r>
      <w:r>
        <w:fldChar w:fldCharType="begin"/>
      </w:r>
      <w:r>
        <w:instrText xml:space="preserve"> PAGEREF _Toc134175277 \h </w:instrText>
      </w:r>
      <w:r>
        <w:fldChar w:fldCharType="separate"/>
      </w:r>
      <w:r>
        <w:t>48</w:t>
      </w:r>
      <w:r>
        <w:fldChar w:fldCharType="end"/>
      </w:r>
    </w:p>
    <w:p w14:paraId="1FE0CB4A" w14:textId="0EF58977" w:rsidR="00083DFF" w:rsidRDefault="00083DFF">
      <w:pPr>
        <w:pStyle w:val="Obsah2"/>
        <w:rPr>
          <w:rFonts w:asciiTheme="minorHAnsi" w:eastAsiaTheme="minorEastAsia" w:hAnsiTheme="minorHAnsi" w:cstheme="minorBidi"/>
          <w:iCs w:val="0"/>
          <w:kern w:val="2"/>
          <w:sz w:val="22"/>
          <w:szCs w:val="22"/>
          <w14:ligatures w14:val="standardContextual"/>
        </w:rPr>
      </w:pPr>
      <w:r>
        <w:lastRenderedPageBreak/>
        <w:t>5.4</w:t>
      </w:r>
      <w:r>
        <w:rPr>
          <w:rFonts w:asciiTheme="minorHAnsi" w:eastAsiaTheme="minorEastAsia" w:hAnsiTheme="minorHAnsi" w:cstheme="minorBidi"/>
          <w:iCs w:val="0"/>
          <w:kern w:val="2"/>
          <w:sz w:val="22"/>
          <w:szCs w:val="22"/>
          <w14:ligatures w14:val="standardContextual"/>
        </w:rPr>
        <w:tab/>
      </w:r>
      <w:r>
        <w:t>Závěr kapitoly</w:t>
      </w:r>
      <w:r>
        <w:tab/>
      </w:r>
      <w:r>
        <w:fldChar w:fldCharType="begin"/>
      </w:r>
      <w:r>
        <w:instrText xml:space="preserve"> PAGEREF _Toc134175278 \h </w:instrText>
      </w:r>
      <w:r>
        <w:fldChar w:fldCharType="separate"/>
      </w:r>
      <w:r>
        <w:t>49</w:t>
      </w:r>
      <w:r>
        <w:fldChar w:fldCharType="end"/>
      </w:r>
    </w:p>
    <w:p w14:paraId="0DE3A65C" w14:textId="095452CD" w:rsidR="00083DFF" w:rsidRDefault="00083DFF">
      <w:pPr>
        <w:pStyle w:val="Obsah1"/>
        <w:rPr>
          <w:rFonts w:asciiTheme="minorHAnsi" w:eastAsiaTheme="minorEastAsia" w:hAnsiTheme="minorHAnsi" w:cstheme="minorBidi"/>
          <w:b w:val="0"/>
          <w:color w:val="auto"/>
          <w:kern w:val="2"/>
          <w:sz w:val="22"/>
          <w:szCs w:val="22"/>
          <w14:ligatures w14:val="standardContextual"/>
        </w:rPr>
      </w:pPr>
      <w:r>
        <w:t>6</w:t>
      </w:r>
      <w:r>
        <w:rPr>
          <w:rFonts w:asciiTheme="minorHAnsi" w:eastAsiaTheme="minorEastAsia" w:hAnsiTheme="minorHAnsi" w:cstheme="minorBidi"/>
          <w:b w:val="0"/>
          <w:color w:val="auto"/>
          <w:kern w:val="2"/>
          <w:sz w:val="22"/>
          <w:szCs w:val="22"/>
          <w14:ligatures w14:val="standardContextual"/>
        </w:rPr>
        <w:tab/>
      </w:r>
      <w:r>
        <w:t>WACC a ukazatel EVA</w:t>
      </w:r>
      <w:r>
        <w:tab/>
      </w:r>
      <w:r>
        <w:fldChar w:fldCharType="begin"/>
      </w:r>
      <w:r>
        <w:instrText xml:space="preserve"> PAGEREF _Toc134175279 \h </w:instrText>
      </w:r>
      <w:r>
        <w:fldChar w:fldCharType="separate"/>
      </w:r>
      <w:r>
        <w:t>50</w:t>
      </w:r>
      <w:r>
        <w:fldChar w:fldCharType="end"/>
      </w:r>
    </w:p>
    <w:p w14:paraId="7171CE0B" w14:textId="72365320" w:rsidR="00083DFF" w:rsidRDefault="00083DFF">
      <w:pPr>
        <w:pStyle w:val="Obsah2"/>
        <w:rPr>
          <w:rFonts w:asciiTheme="minorHAnsi" w:eastAsiaTheme="minorEastAsia" w:hAnsiTheme="minorHAnsi" w:cstheme="minorBidi"/>
          <w:iCs w:val="0"/>
          <w:kern w:val="2"/>
          <w:sz w:val="22"/>
          <w:szCs w:val="22"/>
          <w14:ligatures w14:val="standardContextual"/>
        </w:rPr>
      </w:pPr>
      <w:r>
        <w:t>6.1</w:t>
      </w:r>
      <w:r>
        <w:rPr>
          <w:rFonts w:asciiTheme="minorHAnsi" w:eastAsiaTheme="minorEastAsia" w:hAnsiTheme="minorHAnsi" w:cstheme="minorBidi"/>
          <w:iCs w:val="0"/>
          <w:kern w:val="2"/>
          <w:sz w:val="22"/>
          <w:szCs w:val="22"/>
          <w14:ligatures w14:val="standardContextual"/>
        </w:rPr>
        <w:tab/>
      </w:r>
      <w:r>
        <w:t>Průměrné vážené náklady kapitálu WACC</w:t>
      </w:r>
      <w:r>
        <w:tab/>
      </w:r>
      <w:r>
        <w:fldChar w:fldCharType="begin"/>
      </w:r>
      <w:r>
        <w:instrText xml:space="preserve"> PAGEREF _Toc134175280 \h </w:instrText>
      </w:r>
      <w:r>
        <w:fldChar w:fldCharType="separate"/>
      </w:r>
      <w:r>
        <w:t>50</w:t>
      </w:r>
      <w:r>
        <w:fldChar w:fldCharType="end"/>
      </w:r>
    </w:p>
    <w:p w14:paraId="35FA65CC" w14:textId="5B6D19F5" w:rsidR="00083DFF" w:rsidRDefault="00083DFF">
      <w:pPr>
        <w:pStyle w:val="Obsah2"/>
        <w:rPr>
          <w:rFonts w:asciiTheme="minorHAnsi" w:eastAsiaTheme="minorEastAsia" w:hAnsiTheme="minorHAnsi" w:cstheme="minorBidi"/>
          <w:iCs w:val="0"/>
          <w:kern w:val="2"/>
          <w:sz w:val="22"/>
          <w:szCs w:val="22"/>
          <w14:ligatures w14:val="standardContextual"/>
        </w:rPr>
      </w:pPr>
      <w:r>
        <w:t>6.2</w:t>
      </w:r>
      <w:r>
        <w:rPr>
          <w:rFonts w:asciiTheme="minorHAnsi" w:eastAsiaTheme="minorEastAsia" w:hAnsiTheme="minorHAnsi" w:cstheme="minorBidi"/>
          <w:iCs w:val="0"/>
          <w:kern w:val="2"/>
          <w:sz w:val="22"/>
          <w:szCs w:val="22"/>
          <w14:ligatures w14:val="standardContextual"/>
        </w:rPr>
        <w:tab/>
      </w:r>
      <w:r>
        <w:t>Ekonomická přidaná hodnota EVA</w:t>
      </w:r>
      <w:r>
        <w:tab/>
      </w:r>
      <w:r>
        <w:fldChar w:fldCharType="begin"/>
      </w:r>
      <w:r>
        <w:instrText xml:space="preserve"> PAGEREF _Toc134175281 \h </w:instrText>
      </w:r>
      <w:r>
        <w:fldChar w:fldCharType="separate"/>
      </w:r>
      <w:r>
        <w:t>53</w:t>
      </w:r>
      <w:r>
        <w:fldChar w:fldCharType="end"/>
      </w:r>
    </w:p>
    <w:p w14:paraId="622008DE" w14:textId="3BAB59A3" w:rsidR="00083DFF" w:rsidRDefault="00083DFF">
      <w:pPr>
        <w:pStyle w:val="Obsah2"/>
        <w:rPr>
          <w:rFonts w:asciiTheme="minorHAnsi" w:eastAsiaTheme="minorEastAsia" w:hAnsiTheme="minorHAnsi" w:cstheme="minorBidi"/>
          <w:iCs w:val="0"/>
          <w:kern w:val="2"/>
          <w:sz w:val="22"/>
          <w:szCs w:val="22"/>
          <w14:ligatures w14:val="standardContextual"/>
        </w:rPr>
      </w:pPr>
      <w:r>
        <w:t>6.3</w:t>
      </w:r>
      <w:r>
        <w:rPr>
          <w:rFonts w:asciiTheme="minorHAnsi" w:eastAsiaTheme="minorEastAsia" w:hAnsiTheme="minorHAnsi" w:cstheme="minorBidi"/>
          <w:iCs w:val="0"/>
          <w:kern w:val="2"/>
          <w:sz w:val="22"/>
          <w:szCs w:val="22"/>
          <w14:ligatures w14:val="standardContextual"/>
        </w:rPr>
        <w:tab/>
      </w:r>
      <w:r>
        <w:t>SWOT matice</w:t>
      </w:r>
      <w:r>
        <w:tab/>
      </w:r>
      <w:r>
        <w:fldChar w:fldCharType="begin"/>
      </w:r>
      <w:r>
        <w:instrText xml:space="preserve"> PAGEREF _Toc134175282 \h </w:instrText>
      </w:r>
      <w:r>
        <w:fldChar w:fldCharType="separate"/>
      </w:r>
      <w:r>
        <w:t>56</w:t>
      </w:r>
      <w:r>
        <w:fldChar w:fldCharType="end"/>
      </w:r>
    </w:p>
    <w:p w14:paraId="02010A9D" w14:textId="249B8B9B" w:rsidR="00083DFF" w:rsidRDefault="00083DFF">
      <w:pPr>
        <w:pStyle w:val="Obsah2"/>
        <w:rPr>
          <w:rFonts w:asciiTheme="minorHAnsi" w:eastAsiaTheme="minorEastAsia" w:hAnsiTheme="minorHAnsi" w:cstheme="minorBidi"/>
          <w:iCs w:val="0"/>
          <w:kern w:val="2"/>
          <w:sz w:val="22"/>
          <w:szCs w:val="22"/>
          <w14:ligatures w14:val="standardContextual"/>
        </w:rPr>
      </w:pPr>
      <w:r>
        <w:t>6.4</w:t>
      </w:r>
      <w:r>
        <w:rPr>
          <w:rFonts w:asciiTheme="minorHAnsi" w:eastAsiaTheme="minorEastAsia" w:hAnsiTheme="minorHAnsi" w:cstheme="minorBidi"/>
          <w:iCs w:val="0"/>
          <w:kern w:val="2"/>
          <w:sz w:val="22"/>
          <w:szCs w:val="22"/>
          <w14:ligatures w14:val="standardContextual"/>
        </w:rPr>
        <w:tab/>
      </w:r>
      <w:r>
        <w:t>Závěr</w:t>
      </w:r>
      <w:r>
        <w:tab/>
      </w:r>
      <w:r>
        <w:fldChar w:fldCharType="begin"/>
      </w:r>
      <w:r>
        <w:instrText xml:space="preserve"> PAGEREF _Toc134175283 \h </w:instrText>
      </w:r>
      <w:r>
        <w:fldChar w:fldCharType="separate"/>
      </w:r>
      <w:r>
        <w:t>56</w:t>
      </w:r>
      <w:r>
        <w:fldChar w:fldCharType="end"/>
      </w:r>
    </w:p>
    <w:p w14:paraId="7D00D3F7" w14:textId="0930E778" w:rsidR="00083DFF" w:rsidRDefault="00083DFF">
      <w:pPr>
        <w:pStyle w:val="Obsah1"/>
        <w:rPr>
          <w:rFonts w:asciiTheme="minorHAnsi" w:eastAsiaTheme="minorEastAsia" w:hAnsiTheme="minorHAnsi" w:cstheme="minorBidi"/>
          <w:b w:val="0"/>
          <w:color w:val="auto"/>
          <w:kern w:val="2"/>
          <w:sz w:val="22"/>
          <w:szCs w:val="22"/>
          <w14:ligatures w14:val="standardContextual"/>
        </w:rPr>
      </w:pPr>
      <w:r>
        <w:t>7</w:t>
      </w:r>
      <w:r>
        <w:rPr>
          <w:rFonts w:asciiTheme="minorHAnsi" w:eastAsiaTheme="minorEastAsia" w:hAnsiTheme="minorHAnsi" w:cstheme="minorBidi"/>
          <w:b w:val="0"/>
          <w:color w:val="auto"/>
          <w:kern w:val="2"/>
          <w:sz w:val="22"/>
          <w:szCs w:val="22"/>
          <w14:ligatures w14:val="standardContextual"/>
        </w:rPr>
        <w:tab/>
      </w:r>
      <w:r>
        <w:t>Bonitní a bankrotní modely</w:t>
      </w:r>
      <w:r>
        <w:tab/>
      </w:r>
      <w:r>
        <w:fldChar w:fldCharType="begin"/>
      </w:r>
      <w:r>
        <w:instrText xml:space="preserve"> PAGEREF _Toc134175284 \h </w:instrText>
      </w:r>
      <w:r>
        <w:fldChar w:fldCharType="separate"/>
      </w:r>
      <w:r>
        <w:t>58</w:t>
      </w:r>
      <w:r>
        <w:fldChar w:fldCharType="end"/>
      </w:r>
    </w:p>
    <w:p w14:paraId="23D0AE02" w14:textId="09905BC1" w:rsidR="00083DFF" w:rsidRDefault="00083DFF">
      <w:pPr>
        <w:pStyle w:val="Obsah2"/>
        <w:rPr>
          <w:rFonts w:asciiTheme="minorHAnsi" w:eastAsiaTheme="minorEastAsia" w:hAnsiTheme="minorHAnsi" w:cstheme="minorBidi"/>
          <w:iCs w:val="0"/>
          <w:kern w:val="2"/>
          <w:sz w:val="22"/>
          <w:szCs w:val="22"/>
          <w14:ligatures w14:val="standardContextual"/>
        </w:rPr>
      </w:pPr>
      <w:r>
        <w:t>7.1</w:t>
      </w:r>
      <w:r>
        <w:rPr>
          <w:rFonts w:asciiTheme="minorHAnsi" w:eastAsiaTheme="minorEastAsia" w:hAnsiTheme="minorHAnsi" w:cstheme="minorBidi"/>
          <w:iCs w:val="0"/>
          <w:kern w:val="2"/>
          <w:sz w:val="22"/>
          <w:szCs w:val="22"/>
          <w14:ligatures w14:val="standardContextual"/>
        </w:rPr>
        <w:tab/>
      </w:r>
      <w:r>
        <w:t>Grünwaldův bonitní model</w:t>
      </w:r>
      <w:r>
        <w:tab/>
      </w:r>
      <w:r>
        <w:fldChar w:fldCharType="begin"/>
      </w:r>
      <w:r>
        <w:instrText xml:space="preserve"> PAGEREF _Toc134175285 \h </w:instrText>
      </w:r>
      <w:r>
        <w:fldChar w:fldCharType="separate"/>
      </w:r>
      <w:r>
        <w:t>58</w:t>
      </w:r>
      <w:r>
        <w:fldChar w:fldCharType="end"/>
      </w:r>
    </w:p>
    <w:p w14:paraId="17B05646" w14:textId="0A4E2F10" w:rsidR="00083DFF" w:rsidRDefault="00083DFF">
      <w:pPr>
        <w:pStyle w:val="Obsah2"/>
        <w:rPr>
          <w:rFonts w:asciiTheme="minorHAnsi" w:eastAsiaTheme="minorEastAsia" w:hAnsiTheme="minorHAnsi" w:cstheme="minorBidi"/>
          <w:iCs w:val="0"/>
          <w:kern w:val="2"/>
          <w:sz w:val="22"/>
          <w:szCs w:val="22"/>
          <w14:ligatures w14:val="standardContextual"/>
        </w:rPr>
      </w:pPr>
      <w:r>
        <w:t>7.2</w:t>
      </w:r>
      <w:r>
        <w:rPr>
          <w:rFonts w:asciiTheme="minorHAnsi" w:eastAsiaTheme="minorEastAsia" w:hAnsiTheme="minorHAnsi" w:cstheme="minorBidi"/>
          <w:iCs w:val="0"/>
          <w:kern w:val="2"/>
          <w:sz w:val="22"/>
          <w:szCs w:val="22"/>
          <w14:ligatures w14:val="standardContextual"/>
        </w:rPr>
        <w:tab/>
      </w:r>
      <w:r>
        <w:t>Index bonity</w:t>
      </w:r>
      <w:r>
        <w:tab/>
      </w:r>
      <w:r>
        <w:fldChar w:fldCharType="begin"/>
      </w:r>
      <w:r>
        <w:instrText xml:space="preserve"> PAGEREF _Toc134175286 \h </w:instrText>
      </w:r>
      <w:r>
        <w:fldChar w:fldCharType="separate"/>
      </w:r>
      <w:r>
        <w:t>60</w:t>
      </w:r>
      <w:r>
        <w:fldChar w:fldCharType="end"/>
      </w:r>
    </w:p>
    <w:p w14:paraId="62EA8336" w14:textId="589D31A0" w:rsidR="00083DFF" w:rsidRDefault="00083DFF">
      <w:pPr>
        <w:pStyle w:val="Obsah2"/>
        <w:rPr>
          <w:rFonts w:asciiTheme="minorHAnsi" w:eastAsiaTheme="minorEastAsia" w:hAnsiTheme="minorHAnsi" w:cstheme="minorBidi"/>
          <w:iCs w:val="0"/>
          <w:kern w:val="2"/>
          <w:sz w:val="22"/>
          <w:szCs w:val="22"/>
          <w14:ligatures w14:val="standardContextual"/>
        </w:rPr>
      </w:pPr>
      <w:r>
        <w:t>7.3</w:t>
      </w:r>
      <w:r>
        <w:rPr>
          <w:rFonts w:asciiTheme="minorHAnsi" w:eastAsiaTheme="minorEastAsia" w:hAnsiTheme="minorHAnsi" w:cstheme="minorBidi"/>
          <w:iCs w:val="0"/>
          <w:kern w:val="2"/>
          <w:sz w:val="22"/>
          <w:szCs w:val="22"/>
          <w14:ligatures w14:val="standardContextual"/>
        </w:rPr>
        <w:tab/>
      </w:r>
      <w:r>
        <w:t>Index IN a Altmanův index</w:t>
      </w:r>
      <w:r>
        <w:tab/>
      </w:r>
      <w:r>
        <w:fldChar w:fldCharType="begin"/>
      </w:r>
      <w:r>
        <w:instrText xml:space="preserve"> PAGEREF _Toc134175287 \h </w:instrText>
      </w:r>
      <w:r>
        <w:fldChar w:fldCharType="separate"/>
      </w:r>
      <w:r>
        <w:t>62</w:t>
      </w:r>
      <w:r>
        <w:fldChar w:fldCharType="end"/>
      </w:r>
    </w:p>
    <w:p w14:paraId="59B888E8" w14:textId="01684AEE" w:rsidR="00083DFF" w:rsidRDefault="00083DFF">
      <w:pPr>
        <w:pStyle w:val="Obsah2"/>
        <w:rPr>
          <w:rFonts w:asciiTheme="minorHAnsi" w:eastAsiaTheme="minorEastAsia" w:hAnsiTheme="minorHAnsi" w:cstheme="minorBidi"/>
          <w:iCs w:val="0"/>
          <w:kern w:val="2"/>
          <w:sz w:val="22"/>
          <w:szCs w:val="22"/>
          <w14:ligatures w14:val="standardContextual"/>
        </w:rPr>
      </w:pPr>
      <w:r>
        <w:t>7.4</w:t>
      </w:r>
      <w:r>
        <w:rPr>
          <w:rFonts w:asciiTheme="minorHAnsi" w:eastAsiaTheme="minorEastAsia" w:hAnsiTheme="minorHAnsi" w:cstheme="minorBidi"/>
          <w:iCs w:val="0"/>
          <w:kern w:val="2"/>
          <w:sz w:val="22"/>
          <w:szCs w:val="22"/>
          <w14:ligatures w14:val="standardContextual"/>
        </w:rPr>
        <w:tab/>
      </w:r>
      <w:r>
        <w:t>SWOT matice</w:t>
      </w:r>
      <w:r>
        <w:tab/>
      </w:r>
      <w:r>
        <w:fldChar w:fldCharType="begin"/>
      </w:r>
      <w:r>
        <w:instrText xml:space="preserve"> PAGEREF _Toc134175288 \h </w:instrText>
      </w:r>
      <w:r>
        <w:fldChar w:fldCharType="separate"/>
      </w:r>
      <w:r>
        <w:t>65</w:t>
      </w:r>
      <w:r>
        <w:fldChar w:fldCharType="end"/>
      </w:r>
    </w:p>
    <w:p w14:paraId="17690167" w14:textId="2B75544E" w:rsidR="00083DFF" w:rsidRDefault="00083DFF">
      <w:pPr>
        <w:pStyle w:val="Obsah2"/>
        <w:rPr>
          <w:rFonts w:asciiTheme="minorHAnsi" w:eastAsiaTheme="minorEastAsia" w:hAnsiTheme="minorHAnsi" w:cstheme="minorBidi"/>
          <w:iCs w:val="0"/>
          <w:kern w:val="2"/>
          <w:sz w:val="22"/>
          <w:szCs w:val="22"/>
          <w14:ligatures w14:val="standardContextual"/>
        </w:rPr>
      </w:pPr>
      <w:r>
        <w:t>7.5</w:t>
      </w:r>
      <w:r>
        <w:rPr>
          <w:rFonts w:asciiTheme="minorHAnsi" w:eastAsiaTheme="minorEastAsia" w:hAnsiTheme="minorHAnsi" w:cstheme="minorBidi"/>
          <w:iCs w:val="0"/>
          <w:kern w:val="2"/>
          <w:sz w:val="22"/>
          <w:szCs w:val="22"/>
          <w14:ligatures w14:val="standardContextual"/>
        </w:rPr>
        <w:tab/>
      </w:r>
      <w:r>
        <w:t>Závěr</w:t>
      </w:r>
      <w:r>
        <w:tab/>
      </w:r>
      <w:r>
        <w:fldChar w:fldCharType="begin"/>
      </w:r>
      <w:r>
        <w:instrText xml:space="preserve"> PAGEREF _Toc134175289 \h </w:instrText>
      </w:r>
      <w:r>
        <w:fldChar w:fldCharType="separate"/>
      </w:r>
      <w:r>
        <w:t>65</w:t>
      </w:r>
      <w:r>
        <w:fldChar w:fldCharType="end"/>
      </w:r>
    </w:p>
    <w:p w14:paraId="32678D15" w14:textId="2EBF911D" w:rsidR="00083DFF" w:rsidRDefault="00083DFF">
      <w:pPr>
        <w:pStyle w:val="Obsah1"/>
        <w:rPr>
          <w:rFonts w:asciiTheme="minorHAnsi" w:eastAsiaTheme="minorEastAsia" w:hAnsiTheme="minorHAnsi" w:cstheme="minorBidi"/>
          <w:b w:val="0"/>
          <w:color w:val="auto"/>
          <w:kern w:val="2"/>
          <w:sz w:val="22"/>
          <w:szCs w:val="22"/>
          <w14:ligatures w14:val="standardContextual"/>
        </w:rPr>
      </w:pPr>
      <w:r>
        <w:t>8</w:t>
      </w:r>
      <w:r>
        <w:rPr>
          <w:rFonts w:asciiTheme="minorHAnsi" w:eastAsiaTheme="minorEastAsia" w:hAnsiTheme="minorHAnsi" w:cstheme="minorBidi"/>
          <w:b w:val="0"/>
          <w:color w:val="auto"/>
          <w:kern w:val="2"/>
          <w:sz w:val="22"/>
          <w:szCs w:val="22"/>
          <w14:ligatures w14:val="standardContextual"/>
        </w:rPr>
        <w:tab/>
      </w:r>
      <w:r>
        <w:t>Závěr</w:t>
      </w:r>
      <w:r>
        <w:tab/>
      </w:r>
      <w:r>
        <w:fldChar w:fldCharType="begin"/>
      </w:r>
      <w:r>
        <w:instrText xml:space="preserve"> PAGEREF _Toc134175290 \h </w:instrText>
      </w:r>
      <w:r>
        <w:fldChar w:fldCharType="separate"/>
      </w:r>
      <w:r>
        <w:t>66</w:t>
      </w:r>
      <w:r>
        <w:fldChar w:fldCharType="end"/>
      </w:r>
    </w:p>
    <w:p w14:paraId="499C2F1A" w14:textId="42FF3FDE" w:rsidR="00083DFF" w:rsidRDefault="00083DFF">
      <w:pPr>
        <w:pStyle w:val="Obsah1"/>
        <w:rPr>
          <w:rFonts w:asciiTheme="minorHAnsi" w:eastAsiaTheme="minorEastAsia" w:hAnsiTheme="minorHAnsi" w:cstheme="minorBidi"/>
          <w:b w:val="0"/>
          <w:color w:val="auto"/>
          <w:kern w:val="2"/>
          <w:sz w:val="22"/>
          <w:szCs w:val="22"/>
          <w14:ligatures w14:val="standardContextual"/>
        </w:rPr>
      </w:pPr>
      <w:r>
        <w:t>Použité zdroje</w:t>
      </w:r>
      <w:r>
        <w:tab/>
      </w:r>
      <w:r>
        <w:fldChar w:fldCharType="begin"/>
      </w:r>
      <w:r>
        <w:instrText xml:space="preserve"> PAGEREF _Toc134175291 \h </w:instrText>
      </w:r>
      <w:r>
        <w:fldChar w:fldCharType="separate"/>
      </w:r>
      <w:r>
        <w:t>67</w:t>
      </w:r>
      <w:r>
        <w:fldChar w:fldCharType="end"/>
      </w:r>
    </w:p>
    <w:p w14:paraId="07C7D56F" w14:textId="46941BD6" w:rsidR="00083DFF" w:rsidRDefault="00083DFF">
      <w:pPr>
        <w:pStyle w:val="Obsah1"/>
        <w:tabs>
          <w:tab w:val="left" w:pos="1440"/>
        </w:tabs>
        <w:rPr>
          <w:rFonts w:asciiTheme="minorHAnsi" w:eastAsiaTheme="minorEastAsia" w:hAnsiTheme="minorHAnsi" w:cstheme="minorBidi"/>
          <w:b w:val="0"/>
          <w:color w:val="auto"/>
          <w:kern w:val="2"/>
          <w:sz w:val="22"/>
          <w:szCs w:val="22"/>
          <w14:ligatures w14:val="standardContextual"/>
        </w:rPr>
      </w:pPr>
      <w:r>
        <w:t>Příloha A</w:t>
      </w:r>
      <w:r>
        <w:rPr>
          <w:rFonts w:asciiTheme="minorHAnsi" w:eastAsiaTheme="minorEastAsia" w:hAnsiTheme="minorHAnsi" w:cstheme="minorBidi"/>
          <w:b w:val="0"/>
          <w:color w:val="auto"/>
          <w:kern w:val="2"/>
          <w:sz w:val="22"/>
          <w:szCs w:val="22"/>
          <w14:ligatures w14:val="standardContextual"/>
        </w:rPr>
        <w:tab/>
      </w:r>
      <w:r w:rsidRPr="001D1C7B">
        <w:rPr>
          <w:color w:val="808080"/>
        </w:rPr>
        <w:t>[Název přílohy]</w:t>
      </w:r>
      <w:r>
        <w:tab/>
      </w:r>
      <w:r>
        <w:fldChar w:fldCharType="begin"/>
      </w:r>
      <w:r>
        <w:instrText xml:space="preserve"> PAGEREF _Toc134175292 \h </w:instrText>
      </w:r>
      <w:r>
        <w:fldChar w:fldCharType="separate"/>
      </w:r>
      <w:r>
        <w:t>68</w:t>
      </w:r>
      <w:r>
        <w:fldChar w:fldCharType="end"/>
      </w:r>
    </w:p>
    <w:p w14:paraId="262DA324" w14:textId="1853C6C3" w:rsidR="00F5609F" w:rsidRPr="00746487" w:rsidRDefault="00825A03" w:rsidP="00A2558D">
      <w:pPr>
        <w:pStyle w:val="Dalodstavce"/>
      </w:pPr>
      <w:r w:rsidRPr="00746487">
        <w:fldChar w:fldCharType="end"/>
      </w:r>
    </w:p>
    <w:p w14:paraId="3FD869C7" w14:textId="77777777" w:rsidR="00A639A6" w:rsidRPr="00746487" w:rsidRDefault="00A639A6" w:rsidP="00A2558D">
      <w:pPr>
        <w:pStyle w:val="Dalodstavce"/>
        <w:sectPr w:rsidR="00A639A6" w:rsidRPr="00746487" w:rsidSect="009D3C27">
          <w:headerReference w:type="even" r:id="rId20"/>
          <w:headerReference w:type="default" r:id="rId21"/>
          <w:footerReference w:type="default" r:id="rId22"/>
          <w:type w:val="oddPage"/>
          <w:pgSz w:w="11906" w:h="16838" w:code="9"/>
          <w:pgMar w:top="2380" w:right="2020" w:bottom="2380" w:left="2020" w:header="1900" w:footer="1280" w:gutter="500"/>
          <w:cols w:space="708"/>
          <w:docGrid w:linePitch="360"/>
        </w:sectPr>
      </w:pPr>
    </w:p>
    <w:p w14:paraId="1BA8473C" w14:textId="77777777" w:rsidR="009D3C27" w:rsidRDefault="009D3C27" w:rsidP="00B46270">
      <w:pPr>
        <w:pStyle w:val="Nadpis1"/>
        <w:numPr>
          <w:ilvl w:val="0"/>
          <w:numId w:val="16"/>
        </w:numPr>
        <w:spacing w:after="160"/>
      </w:pPr>
      <w:bookmarkStart w:id="1" w:name="_Toc381564257"/>
      <w:bookmarkStart w:id="2" w:name="_Toc20320070"/>
      <w:bookmarkStart w:id="3" w:name="_Toc134175252"/>
      <w:r w:rsidRPr="00EE252F">
        <w:lastRenderedPageBreak/>
        <w:t>Úvod</w:t>
      </w:r>
      <w:bookmarkEnd w:id="1"/>
      <w:bookmarkEnd w:id="2"/>
      <w:bookmarkEnd w:id="3"/>
    </w:p>
    <w:p w14:paraId="59D87DD2" w14:textId="19383718" w:rsidR="001B6E6F" w:rsidRDefault="004532CC" w:rsidP="00B46270">
      <w:pPr>
        <w:pStyle w:val="Odstavec1"/>
        <w:spacing w:after="0"/>
      </w:pPr>
      <w:r>
        <w:t>„Finanční analýza slouží ke komplexnímu zhodnocení finanční situace po</w:t>
      </w:r>
      <w:r w:rsidR="00C215A3">
        <w:t xml:space="preserve">dniku. </w:t>
      </w:r>
      <w:r w:rsidR="001B6E6F">
        <w:t xml:space="preserve">Pomáhá odhalit, </w:t>
      </w:r>
      <w:r w:rsidR="005905BA">
        <w:t>z</w:t>
      </w:r>
      <w:r w:rsidR="001B6E6F">
        <w:t>da je podnik dostatečně ziskový, zda má vhodnou kapitálovou strukturu, zda využívá</w:t>
      </w:r>
      <w:r w:rsidR="005905BA">
        <w:t xml:space="preserve"> efektivně svých aktiv</w:t>
      </w:r>
      <w:r w:rsidR="00F67051">
        <w:t>, zda je schopen včas splácet své závazky a celou řadu dalších významných skutečností.</w:t>
      </w:r>
      <w:r w:rsidR="009E11EF">
        <w:rPr>
          <w:rStyle w:val="Znakapoznpodarou"/>
        </w:rPr>
        <w:footnoteReference w:id="2"/>
      </w:r>
      <w:r w:rsidR="00F67051">
        <w:t>“</w:t>
      </w:r>
      <w:r w:rsidR="005D2695">
        <w:t xml:space="preserve"> K finanční analýze se používá velká řada nástrojů a metod, které budou v rámci této seminární práce </w:t>
      </w:r>
      <w:r w:rsidR="00232E9E">
        <w:t xml:space="preserve">kombinovány tak, aby bylo možné objektivně a komplexně posoudit finanční zdraví podniku. </w:t>
      </w:r>
    </w:p>
    <w:p w14:paraId="558537C9" w14:textId="7AA94047" w:rsidR="00232E9E" w:rsidRDefault="00232E9E" w:rsidP="00B46270">
      <w:pPr>
        <w:pStyle w:val="Dalodstavce"/>
        <w:spacing w:before="80" w:after="0"/>
      </w:pPr>
      <w:r>
        <w:t xml:space="preserve">Pro účely této práce </w:t>
      </w:r>
      <w:r w:rsidR="007964EC">
        <w:t>byl vybrán podnik Disting s.r.o., ve kterém oba z autorů v minulosti pracovali a mají tedy vhled i do vnitřního fungování společnosti</w:t>
      </w:r>
      <w:r w:rsidR="00F05D8B">
        <w:t xml:space="preserve"> díky osobní zkušenosti. Cílem práce je proto provést finanční analýzu podniku</w:t>
      </w:r>
      <w:r w:rsidR="008C07EC">
        <w:t xml:space="preserve"> Disting s.r.o, </w:t>
      </w:r>
      <w:r w:rsidR="004B2487">
        <w:t>a zhodnotit vývoj společnosti a současnou finanční situaci.</w:t>
      </w:r>
      <w:r w:rsidR="009C45FF">
        <w:t xml:space="preserve"> K naplnění cíle si autoři stanovili </w:t>
      </w:r>
      <w:r w:rsidR="00B46270">
        <w:t>tři</w:t>
      </w:r>
      <w:r w:rsidR="009C45FF">
        <w:t xml:space="preserve"> výzkumné otázky: </w:t>
      </w:r>
    </w:p>
    <w:p w14:paraId="332A987B" w14:textId="5722CB8B" w:rsidR="009C45FF" w:rsidRDefault="009C45FF" w:rsidP="00B46270">
      <w:pPr>
        <w:pStyle w:val="Dalodstavce"/>
        <w:numPr>
          <w:ilvl w:val="6"/>
          <w:numId w:val="16"/>
        </w:numPr>
        <w:spacing w:before="80" w:after="0"/>
      </w:pPr>
      <w:r>
        <w:t>Jaké bylo finanční zdraví podniku ve sledovaném období</w:t>
      </w:r>
      <w:r w:rsidR="00F17A85">
        <w:t xml:space="preserve">? </w:t>
      </w:r>
      <w:r w:rsidR="00856944">
        <w:t>Ve kterých ukazatelích</w:t>
      </w:r>
      <w:r w:rsidR="00E13293">
        <w:t xml:space="preserve"> vykazuje podnik nedostatečné hodnoty v porovnání s doporučenými hodnotami? </w:t>
      </w:r>
    </w:p>
    <w:p w14:paraId="5637CDDE" w14:textId="2B04EB39" w:rsidR="00B46270" w:rsidRDefault="00B46270" w:rsidP="00B46270">
      <w:pPr>
        <w:pStyle w:val="Dalodstavce"/>
        <w:numPr>
          <w:ilvl w:val="6"/>
          <w:numId w:val="16"/>
        </w:numPr>
        <w:spacing w:before="0" w:after="0"/>
      </w:pPr>
      <w:r w:rsidRPr="00B46270">
        <w:t>Jaké faktory hrály roli ve změnách finančních ukazatelů ve sledovaném období</w:t>
      </w:r>
      <w:r>
        <w:t>?</w:t>
      </w:r>
    </w:p>
    <w:p w14:paraId="071EB8A4" w14:textId="03D165B6" w:rsidR="00D3181A" w:rsidRDefault="00D3181A" w:rsidP="00B46270">
      <w:pPr>
        <w:pStyle w:val="Dalodstavce"/>
        <w:numPr>
          <w:ilvl w:val="6"/>
          <w:numId w:val="16"/>
        </w:numPr>
        <w:spacing w:before="0" w:after="0"/>
      </w:pPr>
      <w:r>
        <w:t>Jak</w:t>
      </w:r>
      <w:r w:rsidR="00747BD7">
        <w:t>á opatření by měla firma přijmout, aby zlepšila své finanční postavení</w:t>
      </w:r>
      <w:r w:rsidR="003C4046">
        <w:t>/ zdraví?</w:t>
      </w:r>
    </w:p>
    <w:p w14:paraId="6CB1CA59" w14:textId="0268A642" w:rsidR="000E41C6" w:rsidRDefault="000E41C6" w:rsidP="00B46270">
      <w:pPr>
        <w:pStyle w:val="Dalodstavce"/>
        <w:spacing w:before="80"/>
      </w:pPr>
      <w:r>
        <w:t>Pro tvorbu finanční analýzy budou použity zveřejněné účetní výkazy, především tedy rozvahy a výkazy zisků a ztrát.</w:t>
      </w:r>
      <w:r w:rsidR="00854963">
        <w:t xml:space="preserve"> Dále budou využívány informace zveřejněné společností na jejích webových stránkách </w:t>
      </w:r>
      <w:r w:rsidR="00D52C50">
        <w:t xml:space="preserve">a další dostupné informace včetně vědeckých zdrojů. </w:t>
      </w:r>
    </w:p>
    <w:p w14:paraId="21FD6A44" w14:textId="2D971A81" w:rsidR="001153F9" w:rsidRDefault="003C4046" w:rsidP="001153F9">
      <w:pPr>
        <w:pStyle w:val="Dalodstavce"/>
      </w:pPr>
      <w:r>
        <w:t>Práce bude mít hlavní přínos především pro autory práce, kteří budou mít příležitost hloubkově analyzovat finanční situaci známého podniku</w:t>
      </w:r>
      <w:r w:rsidR="00E75FB0">
        <w:t xml:space="preserve"> a</w:t>
      </w:r>
      <w:r>
        <w:t xml:space="preserve"> odůvodnit si některá opatření, která firma </w:t>
      </w:r>
      <w:r w:rsidR="00E75FB0">
        <w:t xml:space="preserve">v minulosti přijímala. </w:t>
      </w:r>
      <w:r w:rsidR="00EB7E89">
        <w:t>V případě, že analýza prokáže zásadní nedostatky a autoři budou schopni formulovat reálná doporučení</w:t>
      </w:r>
      <w:r w:rsidR="0042696F">
        <w:t xml:space="preserve">, mohou je poskytnout firmě, která z nich může čerpat v rámci svého finančního řízení. V takovém případě by firma </w:t>
      </w:r>
      <w:r w:rsidR="006B56B5">
        <w:t xml:space="preserve">získala nejen relevantní informace o svém fungování, ale mohla by také odhalit problematická místa, které dosud neregistrovala. Navíc analýza pochází od </w:t>
      </w:r>
      <w:r w:rsidR="003806F6">
        <w:t xml:space="preserve">nezávislých subjektů, takže mají informace pro firmu přidanou hodnotu i v nezávislosti </w:t>
      </w:r>
      <w:r w:rsidR="006B5811">
        <w:t xml:space="preserve">autorů. </w:t>
      </w:r>
    </w:p>
    <w:p w14:paraId="18086CC0" w14:textId="055015F8" w:rsidR="009D3C27" w:rsidRDefault="00A83D84" w:rsidP="000D7EF4">
      <w:pPr>
        <w:pStyle w:val="Nadpis1"/>
        <w:numPr>
          <w:ilvl w:val="0"/>
          <w:numId w:val="16"/>
        </w:numPr>
      </w:pPr>
      <w:bookmarkStart w:id="4" w:name="_Toc134175253"/>
      <w:r w:rsidRPr="004C2ED7">
        <w:lastRenderedPageBreak/>
        <w:t>Analýza podnikového prostředí</w:t>
      </w:r>
      <w:bookmarkEnd w:id="4"/>
    </w:p>
    <w:p w14:paraId="4D337D82" w14:textId="2AA3DF62" w:rsidR="00BE4689" w:rsidRPr="00BE4689" w:rsidRDefault="00DD3C63" w:rsidP="00B15399">
      <w:pPr>
        <w:pStyle w:val="Odstavec1"/>
      </w:pPr>
      <w:r w:rsidRPr="00AF2099">
        <w:t>První</w:t>
      </w:r>
      <w:r w:rsidR="00BE4689" w:rsidRPr="00AF2099">
        <w:t xml:space="preserve"> kapitola</w:t>
      </w:r>
      <w:r w:rsidR="001153F9" w:rsidRPr="00AF2099">
        <w:t xml:space="preserve"> seminární prác</w:t>
      </w:r>
      <w:r w:rsidRPr="00AF2099">
        <w:t>e bude věnována analýze podnikového pr</w:t>
      </w:r>
      <w:r w:rsidR="00522F07" w:rsidRPr="00AF2099">
        <w:t xml:space="preserve">ostředí. </w:t>
      </w:r>
      <w:r w:rsidR="00C26080">
        <w:t xml:space="preserve">Nejprve bude představen podnik a jeho podnikatelské činnosti budou zařazeny podle typologie CZ NACE. </w:t>
      </w:r>
      <w:r w:rsidR="007F1857">
        <w:t>Dále bude popsáno vnitřní prostředí společnosti</w:t>
      </w:r>
      <w:r w:rsidR="00B15399">
        <w:t>, které je</w:t>
      </w:r>
      <w:r w:rsidR="007F1857">
        <w:t xml:space="preserve"> tvořeno majiteli a zaměstnanci podniku. </w:t>
      </w:r>
      <w:r w:rsidR="003541A3">
        <w:t>V návaznosti bude popsán zbytek mikroprostředí podniku podle Porterova modelu pěti sil</w:t>
      </w:r>
      <w:r w:rsidR="00B15399">
        <w:t xml:space="preserve"> a makroprostředí bude představeno pomocí PESTLE analýzy. </w:t>
      </w:r>
    </w:p>
    <w:p w14:paraId="1B1E7085" w14:textId="77777777" w:rsidR="008419DB" w:rsidRDefault="00A83D84" w:rsidP="000D7EF4">
      <w:pPr>
        <w:pStyle w:val="Nadpis2"/>
        <w:numPr>
          <w:ilvl w:val="1"/>
          <w:numId w:val="16"/>
        </w:numPr>
      </w:pPr>
      <w:bookmarkStart w:id="5" w:name="_Toc134175254"/>
      <w:bookmarkStart w:id="6" w:name="_Toc20320072"/>
      <w:r>
        <w:t>Typologie podniku</w:t>
      </w:r>
      <w:bookmarkEnd w:id="5"/>
      <w:r>
        <w:t xml:space="preserve"> </w:t>
      </w:r>
    </w:p>
    <w:p w14:paraId="1314D989" w14:textId="021A3286" w:rsidR="00E07316" w:rsidRDefault="00321F48" w:rsidP="00321F48">
      <w:pPr>
        <w:pStyle w:val="Odstavec1"/>
      </w:pPr>
      <w:r>
        <w:t xml:space="preserve">Společnost </w:t>
      </w:r>
      <w:r w:rsidR="00A616CC">
        <w:t>DISTING</w:t>
      </w:r>
      <w:r>
        <w:t xml:space="preserve"> </w:t>
      </w:r>
      <w:r w:rsidR="00250646">
        <w:t xml:space="preserve">s.r.o </w:t>
      </w:r>
      <w:r w:rsidR="00A616CC">
        <w:t xml:space="preserve">(dále jen Disting) </w:t>
      </w:r>
      <w:r w:rsidR="00250646">
        <w:t>byla založena v roce 1995</w:t>
      </w:r>
      <w:r w:rsidR="00F8596D">
        <w:t xml:space="preserve"> a sídlí v</w:t>
      </w:r>
      <w:r w:rsidR="004C2C75">
        <w:t> </w:t>
      </w:r>
      <w:r w:rsidR="00F8596D">
        <w:t>Du</w:t>
      </w:r>
      <w:r w:rsidR="004C2C75">
        <w:t>kovanech v kraji Vysočina. V roce 2006 se změnil název společnosti z </w:t>
      </w:r>
      <w:r w:rsidR="001C07DC">
        <w:t>původního</w:t>
      </w:r>
      <w:r w:rsidR="004C2C75">
        <w:t xml:space="preserve"> Odívání Dukovany, s.r.o na DISTING s.r.o. a došlo také k</w:t>
      </w:r>
      <w:r w:rsidR="00E07316">
        <w:t xml:space="preserve"> diverzifikaci podnikatelských aktivit. </w:t>
      </w:r>
    </w:p>
    <w:p w14:paraId="12C00708" w14:textId="7EFCBED4" w:rsidR="00321F48" w:rsidRDefault="001C07DC" w:rsidP="00E07316">
      <w:pPr>
        <w:pStyle w:val="Dalodstavce"/>
      </w:pPr>
      <w:r>
        <w:t>Společnost</w:t>
      </w:r>
      <w:r w:rsidR="00E07316">
        <w:t xml:space="preserve"> má dva zakladatele, </w:t>
      </w:r>
      <w:r w:rsidR="00996B76">
        <w:t>kteří společnost vedou po celou dobu od jejího založení</w:t>
      </w:r>
      <w:r w:rsidR="003D35FF">
        <w:t xml:space="preserve"> a oba mají poloviční podíl ve společnosti. Základní kapitál </w:t>
      </w:r>
      <w:r w:rsidR="003F455C">
        <w:t xml:space="preserve">společnosti je 100 000 Kč. </w:t>
      </w:r>
      <w:r w:rsidR="003D35FF">
        <w:t xml:space="preserve"> </w:t>
      </w:r>
      <w:r w:rsidR="004C2C75">
        <w:t xml:space="preserve"> </w:t>
      </w:r>
    </w:p>
    <w:p w14:paraId="656EAC9F" w14:textId="3B24AC61" w:rsidR="003F455C" w:rsidRDefault="003F455C" w:rsidP="00E07316">
      <w:pPr>
        <w:pStyle w:val="Dalodstavce"/>
      </w:pPr>
      <w:r>
        <w:t xml:space="preserve">Jelikož </w:t>
      </w:r>
      <w:r w:rsidR="005A1464">
        <w:t>měla společnost v roce 2021 celkem</w:t>
      </w:r>
      <w:r>
        <w:t xml:space="preserve"> </w:t>
      </w:r>
      <w:r w:rsidR="005A1464">
        <w:t>121 zaměstnanců</w:t>
      </w:r>
      <w:r w:rsidR="00062C3F">
        <w:t>, roční bilanční suma činila 47 mil. Kč</w:t>
      </w:r>
      <w:r w:rsidR="005A1464">
        <w:t xml:space="preserve"> a </w:t>
      </w:r>
      <w:r w:rsidR="00835890">
        <w:t xml:space="preserve">čistý </w:t>
      </w:r>
      <w:r w:rsidR="005A1464">
        <w:t xml:space="preserve">obrat </w:t>
      </w:r>
      <w:r w:rsidR="00BA7316">
        <w:t xml:space="preserve">51 </w:t>
      </w:r>
      <w:r w:rsidR="007A06E7">
        <w:t>mil.</w:t>
      </w:r>
      <w:r w:rsidR="00BA7316">
        <w:t xml:space="preserve"> korun, což odpovídá </w:t>
      </w:r>
      <w:r w:rsidR="00952564">
        <w:t xml:space="preserve">přibližně 2 </w:t>
      </w:r>
      <w:r w:rsidR="007A06E7">
        <w:t>mil.</w:t>
      </w:r>
      <w:r w:rsidR="00952564">
        <w:t xml:space="preserve"> eur, řadíme podnik</w:t>
      </w:r>
      <w:r w:rsidR="00E315C0">
        <w:t xml:space="preserve"> dle evropského rozdělení (viz Obr. 1)</w:t>
      </w:r>
      <w:r w:rsidR="00952564">
        <w:t xml:space="preserve"> mezi</w:t>
      </w:r>
      <w:r w:rsidR="00E315C0">
        <w:t xml:space="preserve"> střední podniky. </w:t>
      </w:r>
      <w:r w:rsidR="00952564">
        <w:t xml:space="preserve"> </w:t>
      </w:r>
      <w:r w:rsidR="005A1464">
        <w:t xml:space="preserve"> </w:t>
      </w:r>
    </w:p>
    <w:p w14:paraId="08F5EA65" w14:textId="0E9B4CD4" w:rsidR="007A06E7" w:rsidRDefault="00EC3BAA" w:rsidP="00362D52">
      <w:pPr>
        <w:pStyle w:val="Dalodstavce"/>
        <w:spacing w:before="240"/>
      </w:pPr>
      <w:r>
        <w:rPr>
          <w:noProof/>
        </w:rPr>
        <w:drawing>
          <wp:inline distT="0" distB="0" distL="0" distR="0" wp14:anchorId="279C999E" wp14:editId="4B42EA30">
            <wp:extent cx="3705225" cy="2223135"/>
            <wp:effectExtent l="0" t="0" r="9525" b="5715"/>
            <wp:docPr id="29" name="Obrázek 29" descr="Ukázka závěrečné prá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kázka závěrečné prá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2223135"/>
                    </a:xfrm>
                    <a:prstGeom prst="rect">
                      <a:avLst/>
                    </a:prstGeom>
                    <a:noFill/>
                    <a:ln>
                      <a:noFill/>
                    </a:ln>
                  </pic:spPr>
                </pic:pic>
              </a:graphicData>
            </a:graphic>
          </wp:inline>
        </w:drawing>
      </w:r>
    </w:p>
    <w:p w14:paraId="4B6B05B5" w14:textId="605F38D2" w:rsidR="007A06E7" w:rsidRDefault="007A06E7" w:rsidP="00E07316">
      <w:pPr>
        <w:pStyle w:val="Dalodstavce"/>
      </w:pPr>
      <w:r>
        <w:t>O</w:t>
      </w:r>
      <w:r w:rsidR="00EC3BAA">
        <w:t xml:space="preserve">br. 1: </w:t>
      </w:r>
      <w:r w:rsidR="00362D52">
        <w:t>Rozdělení společností podle velikosti</w:t>
      </w:r>
    </w:p>
    <w:p w14:paraId="6F9BA480" w14:textId="6905C3C3" w:rsidR="007A06E7" w:rsidRDefault="007A06E7" w:rsidP="00BF5BFB">
      <w:pPr>
        <w:pStyle w:val="Dalodstavce"/>
        <w:spacing w:before="360"/>
      </w:pPr>
      <w:r>
        <w:lastRenderedPageBreak/>
        <w:t xml:space="preserve">Společnosti Disting </w:t>
      </w:r>
      <w:r w:rsidR="00AD178F">
        <w:t xml:space="preserve">má svou podnikatelskou činnost diverzifikovanou do dvou hlavních oblastí, kterými jsou </w:t>
      </w:r>
      <w:r w:rsidR="00AD178F" w:rsidRPr="00AD178F">
        <w:t>montáž dílů pro automobilový průmysl a výrob</w:t>
      </w:r>
      <w:r w:rsidR="00AD178F">
        <w:t>a</w:t>
      </w:r>
      <w:r w:rsidR="00AD178F" w:rsidRPr="00AD178F">
        <w:t xml:space="preserve"> pracovních oděvů</w:t>
      </w:r>
      <w:r w:rsidR="001C07DC">
        <w:t xml:space="preserve">. </w:t>
      </w:r>
    </w:p>
    <w:p w14:paraId="5F7912C9" w14:textId="1D20F14E" w:rsidR="00EE2C07" w:rsidRDefault="00776425" w:rsidP="00776425">
      <w:pPr>
        <w:pStyle w:val="Dalodstavce"/>
      </w:pPr>
      <w:r>
        <w:t xml:space="preserve">Společnost na svých webových stránkách uvádí: </w:t>
      </w:r>
      <w:r w:rsidR="00DA10D4">
        <w:t>„</w:t>
      </w:r>
      <w:r w:rsidR="00694463" w:rsidRPr="00694463">
        <w:t>Šitím oděvů se firma zabývá od počátku své existence. Oděvní výroba byla hlavní a téměř 100% výrobní náplní firmy v letech 1996-1998. Zaměřujeme se převážně na výrobu pracovních oděvů, nicméně jsme schopni pro naše klienty navrhnout řešení pro zpracování textilií i pro automobilový průmysl.</w:t>
      </w:r>
      <w:r w:rsidR="00694463">
        <w:t>“</w:t>
      </w:r>
      <w:r w:rsidR="000412DB">
        <w:t xml:space="preserve"> Dokonce již od roku 1998 </w:t>
      </w:r>
      <w:r>
        <w:t>společnost Disting navázala</w:t>
      </w:r>
      <w:r w:rsidR="000412DB">
        <w:t xml:space="preserve"> spolupráci s</w:t>
      </w:r>
      <w:r w:rsidR="00E16844">
        <w:t xml:space="preserve"> jadernou elektrárnou Dukovany, jejichž pracovníkům </w:t>
      </w:r>
      <w:r w:rsidR="00362D52">
        <w:t>vyrábí</w:t>
      </w:r>
      <w:r w:rsidR="00E16844">
        <w:t xml:space="preserve"> speciální ochranné oděvy (viz Obr. </w:t>
      </w:r>
      <w:r>
        <w:t>2)</w:t>
      </w:r>
      <w:r w:rsidR="00FA4B0D">
        <w:t>. Společnost také uvádí: „</w:t>
      </w:r>
      <w:r w:rsidR="00FA4B0D" w:rsidRPr="00FA4B0D">
        <w:t>Ve spolupráci s jadernými elektrárnami a jejich bezpečnostním technikem se aktivně zaměřujeme na neustálý vývoj a inovace oděvů pro primární okruh (tzv. kontrolované pásmo)</w:t>
      </w:r>
      <w:r w:rsidR="00FA4B0D">
        <w:t>.“</w:t>
      </w:r>
    </w:p>
    <w:p w14:paraId="1D304486" w14:textId="38DFDB9D" w:rsidR="0094635E" w:rsidRDefault="0094635E" w:rsidP="00E07316">
      <w:pPr>
        <w:pStyle w:val="Dalodstavce"/>
      </w:pPr>
      <w:r>
        <w:rPr>
          <w:noProof/>
        </w:rPr>
        <w:drawing>
          <wp:inline distT="0" distB="0" distL="0" distR="0" wp14:anchorId="5C3EF4E5" wp14:editId="5B2F1906">
            <wp:extent cx="4495800" cy="3371850"/>
            <wp:effectExtent l="0" t="0" r="0" b="0"/>
            <wp:docPr id="28" name="Obrázek 28" descr="Speciální ochranné odě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eciální ochranné oděv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14:paraId="74741D19" w14:textId="4612957F" w:rsidR="00776425" w:rsidRDefault="00776425" w:rsidP="00E07316">
      <w:pPr>
        <w:pStyle w:val="Dalodstavce"/>
      </w:pPr>
      <w:r>
        <w:t xml:space="preserve">Obr. 2: </w:t>
      </w:r>
      <w:r w:rsidR="00480E24" w:rsidRPr="00480E24">
        <w:t>Speciální oděvy</w:t>
      </w:r>
      <w:r w:rsidR="00480E24">
        <w:t xml:space="preserve"> pro pracovníky jaderných elektráre</w:t>
      </w:r>
      <w:r w:rsidR="00AC31B5">
        <w:t>n</w:t>
      </w:r>
    </w:p>
    <w:p w14:paraId="781C547B" w14:textId="3FD8BD8D" w:rsidR="00AC31B5" w:rsidRPr="00AC31B5" w:rsidRDefault="00394561" w:rsidP="00BF5BFB">
      <w:pPr>
        <w:pStyle w:val="Dalodstavce"/>
        <w:spacing w:before="240"/>
      </w:pPr>
      <w:r>
        <w:t xml:space="preserve">V oblasti automobilového průmyslu se firma specializuje na </w:t>
      </w:r>
      <w:r w:rsidR="00AE596A">
        <w:t>montáž autodílů a těsnění</w:t>
      </w:r>
      <w:r w:rsidR="000253EB">
        <w:t xml:space="preserve"> </w:t>
      </w:r>
      <w:r w:rsidR="000253EB" w:rsidRPr="000253EB">
        <w:t>na desítky typů kabelů především pro rozvody automobilů</w:t>
      </w:r>
      <w:r w:rsidR="000253EB">
        <w:t xml:space="preserve"> </w:t>
      </w:r>
      <w:r>
        <w:t>(viz Obr. 3)</w:t>
      </w:r>
      <w:r w:rsidR="000253EB">
        <w:t xml:space="preserve">. Kromě toho se společnost </w:t>
      </w:r>
      <w:r w:rsidR="008357D0">
        <w:t xml:space="preserve">nově vybudovala také Školící středisko, kde firmy </w:t>
      </w:r>
      <w:r w:rsidR="0069703A">
        <w:t xml:space="preserve">mohou využít prostory </w:t>
      </w:r>
      <w:r w:rsidR="00D43DFD">
        <w:t xml:space="preserve">k uspořádání školení. </w:t>
      </w:r>
      <w:r w:rsidR="00D43DFD">
        <w:lastRenderedPageBreak/>
        <w:t xml:space="preserve">Poslední nově vzniklou aktivitou je otevření </w:t>
      </w:r>
      <w:r w:rsidR="001A0669">
        <w:t xml:space="preserve">Vývojového střediska, které mohou využít firmy i OSVČ na </w:t>
      </w:r>
      <w:r w:rsidR="00B20B01">
        <w:t xml:space="preserve">vlastní projekty. Více zde: </w:t>
      </w:r>
      <w:hyperlink r:id="rId25" w:history="1">
        <w:r w:rsidR="00B20B01" w:rsidRPr="00404BBB">
          <w:rPr>
            <w:rStyle w:val="Hypertextovodkaz"/>
          </w:rPr>
          <w:t>https://www.disting.cz/vyvojove-stredisko/</w:t>
        </w:r>
      </w:hyperlink>
      <w:r w:rsidR="00B20B01">
        <w:t xml:space="preserve">. </w:t>
      </w:r>
      <w:r w:rsidR="00D43DFD">
        <w:t xml:space="preserve"> </w:t>
      </w:r>
    </w:p>
    <w:p w14:paraId="211534D7" w14:textId="2C1EF029" w:rsidR="00DE3B39" w:rsidRDefault="00833D6B" w:rsidP="00E07316">
      <w:pPr>
        <w:pStyle w:val="Dalodstavce"/>
      </w:pPr>
      <w:r>
        <w:rPr>
          <w:noProof/>
        </w:rPr>
        <w:drawing>
          <wp:inline distT="0" distB="0" distL="0" distR="0" wp14:anchorId="72FF5604" wp14:editId="640843D3">
            <wp:extent cx="4495800" cy="2990850"/>
            <wp:effectExtent l="0" t="0" r="0" b="0"/>
            <wp:docPr id="27" name="Obrázek 27" descr="Montáž autodílů a těsn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ntáž autodílů a těsnění"/>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0" cy="2990850"/>
                    </a:xfrm>
                    <a:prstGeom prst="rect">
                      <a:avLst/>
                    </a:prstGeom>
                    <a:noFill/>
                    <a:ln>
                      <a:noFill/>
                    </a:ln>
                  </pic:spPr>
                </pic:pic>
              </a:graphicData>
            </a:graphic>
          </wp:inline>
        </w:drawing>
      </w:r>
    </w:p>
    <w:p w14:paraId="52E67ED0" w14:textId="7D451FF1" w:rsidR="00833D6B" w:rsidRDefault="00394561" w:rsidP="00E07316">
      <w:pPr>
        <w:pStyle w:val="Dalodstavce"/>
      </w:pPr>
      <w:r>
        <w:t xml:space="preserve">Obr. 3: </w:t>
      </w:r>
      <w:r w:rsidR="00537CA9" w:rsidRPr="00537CA9">
        <w:t>Montáž autodílů a těsnění</w:t>
      </w:r>
    </w:p>
    <w:p w14:paraId="57813B1C" w14:textId="7253684A" w:rsidR="001076D1" w:rsidRDefault="007C4D3B" w:rsidP="00BF5BFB">
      <w:pPr>
        <w:pStyle w:val="Odstavec1"/>
        <w:spacing w:before="240"/>
      </w:pPr>
      <w:r>
        <w:t xml:space="preserve">Popisu výše odpovídá i </w:t>
      </w:r>
      <w:r w:rsidR="001E6186">
        <w:t xml:space="preserve">klasifikace ekonomických činností dle CZ-NACE a OKEČ: </w:t>
      </w:r>
    </w:p>
    <w:p w14:paraId="6F3FE7B2" w14:textId="41FA31C8" w:rsidR="001076D1" w:rsidRDefault="001076D1" w:rsidP="000D7EF4">
      <w:pPr>
        <w:pStyle w:val="Dalodstavce"/>
        <w:numPr>
          <w:ilvl w:val="0"/>
          <w:numId w:val="20"/>
        </w:numPr>
        <w:spacing w:before="20" w:after="20"/>
        <w:ind w:left="360"/>
      </w:pPr>
      <w:r>
        <w:t>NACE</w:t>
      </w:r>
    </w:p>
    <w:p w14:paraId="01A89B8B" w14:textId="278DCB7B" w:rsidR="001076D1" w:rsidRDefault="001076D1" w:rsidP="000D7EF4">
      <w:pPr>
        <w:pStyle w:val="Dalodstavce"/>
        <w:numPr>
          <w:ilvl w:val="1"/>
          <w:numId w:val="20"/>
        </w:numPr>
        <w:spacing w:before="20" w:after="20"/>
      </w:pPr>
      <w:r>
        <w:t>Hlavní NACE CZ: 261000 - Výroba elektronických součástek a desek</w:t>
      </w:r>
    </w:p>
    <w:p w14:paraId="3C63CAFC" w14:textId="5A80769E" w:rsidR="001076D1" w:rsidRDefault="001076D1" w:rsidP="000D7EF4">
      <w:pPr>
        <w:pStyle w:val="Dalodstavce"/>
        <w:numPr>
          <w:ilvl w:val="2"/>
          <w:numId w:val="20"/>
        </w:numPr>
        <w:spacing w:before="20" w:after="20"/>
      </w:pPr>
      <w:r>
        <w:t>Vedlejší NACE CZ :141300 - Výroba ostatních svrchních oděvů</w:t>
      </w:r>
    </w:p>
    <w:p w14:paraId="5B6EF4D2" w14:textId="0D5379FF" w:rsidR="001076D1" w:rsidRDefault="001076D1" w:rsidP="000D7EF4">
      <w:pPr>
        <w:pStyle w:val="Dalodstavce"/>
        <w:numPr>
          <w:ilvl w:val="2"/>
          <w:numId w:val="20"/>
        </w:numPr>
        <w:spacing w:before="20" w:after="20"/>
      </w:pPr>
      <w:r>
        <w:t>Vedlejší NACE CZ :310000 - Výroba nábytku</w:t>
      </w:r>
    </w:p>
    <w:p w14:paraId="4AB30856" w14:textId="567BE302" w:rsidR="001076D1" w:rsidRDefault="001076D1" w:rsidP="000D7EF4">
      <w:pPr>
        <w:pStyle w:val="Dalodstavce"/>
        <w:numPr>
          <w:ilvl w:val="2"/>
          <w:numId w:val="20"/>
        </w:numPr>
        <w:spacing w:before="20" w:after="20"/>
      </w:pPr>
      <w:r>
        <w:t>Vedlejší NACE CZ :469000 - Nespecializovaný velkoobchod</w:t>
      </w:r>
    </w:p>
    <w:p w14:paraId="5153A23C" w14:textId="69C0A67B" w:rsidR="001076D1" w:rsidRDefault="001076D1" w:rsidP="000D7EF4">
      <w:pPr>
        <w:pStyle w:val="Dalodstavce"/>
        <w:numPr>
          <w:ilvl w:val="2"/>
          <w:numId w:val="20"/>
        </w:numPr>
        <w:spacing w:before="20" w:after="20"/>
      </w:pPr>
      <w:r>
        <w:t>Vedlejší NACE CZ :551000 - Ubytování v hotelích a podobných ubytovacích zařízeních</w:t>
      </w:r>
    </w:p>
    <w:p w14:paraId="1083AD38" w14:textId="1EBFA5F6" w:rsidR="001076D1" w:rsidRDefault="001076D1" w:rsidP="000D7EF4">
      <w:pPr>
        <w:pStyle w:val="Dalodstavce"/>
        <w:numPr>
          <w:ilvl w:val="2"/>
          <w:numId w:val="20"/>
        </w:numPr>
        <w:spacing w:before="20" w:after="20"/>
      </w:pPr>
      <w:r>
        <w:t>Vedlejší NACE CZ :721900 - Ostatní výzkum a vývoj v oblasti přírodních a technických věd</w:t>
      </w:r>
    </w:p>
    <w:p w14:paraId="2698F385" w14:textId="394E89B6" w:rsidR="001076D1" w:rsidRDefault="001076D1" w:rsidP="000D7EF4">
      <w:pPr>
        <w:pStyle w:val="Dalodstavce"/>
        <w:numPr>
          <w:ilvl w:val="2"/>
          <w:numId w:val="20"/>
        </w:numPr>
        <w:spacing w:before="20" w:after="20"/>
      </w:pPr>
      <w:r>
        <w:t>Vedlejší NACE CZ :722000 - Výzkum a vývoj v oblasti společenských a humanitních věd</w:t>
      </w:r>
    </w:p>
    <w:p w14:paraId="4DF3B16D" w14:textId="1E9CB529" w:rsidR="001076D1" w:rsidRDefault="001076D1" w:rsidP="000D7EF4">
      <w:pPr>
        <w:pStyle w:val="Dalodstavce"/>
        <w:numPr>
          <w:ilvl w:val="0"/>
          <w:numId w:val="20"/>
        </w:numPr>
        <w:spacing w:after="20"/>
        <w:ind w:left="360"/>
      </w:pPr>
      <w:r>
        <w:t>OKEČ</w:t>
      </w:r>
    </w:p>
    <w:p w14:paraId="18EA880E" w14:textId="1D5E65FD" w:rsidR="001076D1" w:rsidRDefault="001076D1" w:rsidP="000D7EF4">
      <w:pPr>
        <w:pStyle w:val="Dalodstavce"/>
        <w:numPr>
          <w:ilvl w:val="1"/>
          <w:numId w:val="20"/>
        </w:numPr>
        <w:spacing w:before="20" w:after="20"/>
      </w:pPr>
      <w:r>
        <w:lastRenderedPageBreak/>
        <w:t>Hlavní OKEČ :192000 - Výroba brašnářských, sedlářských a podobných výrobků</w:t>
      </w:r>
    </w:p>
    <w:p w14:paraId="78723250" w14:textId="497B6A1C" w:rsidR="001076D1" w:rsidRDefault="001076D1" w:rsidP="000D7EF4">
      <w:pPr>
        <w:pStyle w:val="Dalodstavce"/>
        <w:numPr>
          <w:ilvl w:val="2"/>
          <w:numId w:val="20"/>
        </w:numPr>
        <w:spacing w:before="20" w:after="20"/>
      </w:pPr>
      <w:r>
        <w:t>Vedlejší OKEČ :182200 - Výroba jiných svrchních oděvů</w:t>
      </w:r>
    </w:p>
    <w:p w14:paraId="50010DDD" w14:textId="1EA28DCA" w:rsidR="001076D1" w:rsidRDefault="001076D1" w:rsidP="000D7EF4">
      <w:pPr>
        <w:pStyle w:val="Dalodstavce"/>
        <w:numPr>
          <w:ilvl w:val="2"/>
          <w:numId w:val="20"/>
        </w:numPr>
        <w:spacing w:before="20" w:after="20"/>
      </w:pPr>
      <w:r>
        <w:t>Vedlejší OKEČ :321000 - Výroba elektronek a jiných elektronických součástek</w:t>
      </w:r>
    </w:p>
    <w:p w14:paraId="537DB937" w14:textId="5D263B26" w:rsidR="001076D1" w:rsidRDefault="001076D1" w:rsidP="000D7EF4">
      <w:pPr>
        <w:pStyle w:val="Dalodstavce"/>
        <w:numPr>
          <w:ilvl w:val="2"/>
          <w:numId w:val="20"/>
        </w:numPr>
        <w:spacing w:before="20" w:after="20"/>
      </w:pPr>
      <w:r>
        <w:t>Vedlejší OKEČ :361000 - Výroba nábytku</w:t>
      </w:r>
    </w:p>
    <w:p w14:paraId="19375C55" w14:textId="1EB8068F" w:rsidR="001076D1" w:rsidRDefault="001076D1" w:rsidP="000D7EF4">
      <w:pPr>
        <w:pStyle w:val="Dalodstavce"/>
        <w:numPr>
          <w:ilvl w:val="2"/>
          <w:numId w:val="20"/>
        </w:numPr>
        <w:spacing w:before="20" w:after="20"/>
      </w:pPr>
      <w:r>
        <w:t>Vedlejší OKEČ :519000 - Ostatní velkoobchod</w:t>
      </w:r>
    </w:p>
    <w:p w14:paraId="7BDDEB30" w14:textId="14E0690E" w:rsidR="001076D1" w:rsidRDefault="001076D1" w:rsidP="000D7EF4">
      <w:pPr>
        <w:pStyle w:val="Dalodstavce"/>
        <w:numPr>
          <w:ilvl w:val="2"/>
          <w:numId w:val="20"/>
        </w:numPr>
        <w:spacing w:before="20" w:after="20"/>
      </w:pPr>
      <w:r>
        <w:t>Vedlejší OKEČ :551000 - Hotely a podobná ubytovací zařízení</w:t>
      </w:r>
    </w:p>
    <w:p w14:paraId="0B948721" w14:textId="002AEE0B" w:rsidR="001076D1" w:rsidRDefault="001076D1" w:rsidP="000D7EF4">
      <w:pPr>
        <w:pStyle w:val="Dalodstavce"/>
        <w:numPr>
          <w:ilvl w:val="2"/>
          <w:numId w:val="20"/>
        </w:numPr>
        <w:spacing w:before="20" w:after="20"/>
      </w:pPr>
      <w:r>
        <w:t>Vedlejší OKEČ :731000 - Výzkum a vývoj v oblasti přírodních a technických věd</w:t>
      </w:r>
    </w:p>
    <w:p w14:paraId="200EFFB9" w14:textId="09FAD911" w:rsidR="001076D1" w:rsidRDefault="001076D1" w:rsidP="000D7EF4">
      <w:pPr>
        <w:pStyle w:val="Dalodstavce"/>
        <w:numPr>
          <w:ilvl w:val="2"/>
          <w:numId w:val="20"/>
        </w:numPr>
        <w:spacing w:before="20" w:after="20"/>
      </w:pPr>
      <w:r>
        <w:t>Vedlejší OKEČ :732000 - Výzkum a vývoj v oblasti společenských a humanitních věd</w:t>
      </w:r>
    </w:p>
    <w:p w14:paraId="262CABF9" w14:textId="77777777" w:rsidR="0059269E" w:rsidRDefault="0059269E" w:rsidP="0059269E">
      <w:pPr>
        <w:pStyle w:val="Dalodstavce"/>
        <w:spacing w:before="20" w:after="20"/>
        <w:ind w:left="1069" w:firstLine="0"/>
      </w:pPr>
    </w:p>
    <w:p w14:paraId="636EAAFF" w14:textId="240B84DA" w:rsidR="0059269E" w:rsidRDefault="0059269E" w:rsidP="0059269E">
      <w:pPr>
        <w:pStyle w:val="Dalodstavce"/>
        <w:ind w:firstLine="0"/>
      </w:pPr>
      <w:r>
        <w:t xml:space="preserve">Společnost také využívá dotací a </w:t>
      </w:r>
      <w:r w:rsidR="00CF6E8F">
        <w:t>realizovala</w:t>
      </w:r>
      <w:r>
        <w:t xml:space="preserve"> projekty podpořené z fondů EU</w:t>
      </w:r>
      <w:r w:rsidR="00CF6E8F">
        <w:t xml:space="preserve">, mezi které patří: </w:t>
      </w:r>
    </w:p>
    <w:p w14:paraId="27A2DD31" w14:textId="77777777" w:rsidR="0059269E" w:rsidRDefault="0059269E" w:rsidP="000D7EF4">
      <w:pPr>
        <w:pStyle w:val="Dalodstavce"/>
        <w:numPr>
          <w:ilvl w:val="0"/>
          <w:numId w:val="22"/>
        </w:numPr>
        <w:spacing w:before="20" w:after="20"/>
      </w:pPr>
      <w:r>
        <w:t>Pořízení výrobních technologií - DISTING s.r.o.</w:t>
      </w:r>
    </w:p>
    <w:p w14:paraId="2E0C7180" w14:textId="77777777" w:rsidR="0059269E" w:rsidRDefault="0059269E" w:rsidP="000D7EF4">
      <w:pPr>
        <w:pStyle w:val="Dalodstavce"/>
        <w:numPr>
          <w:ilvl w:val="1"/>
          <w:numId w:val="22"/>
        </w:numPr>
        <w:spacing w:before="20" w:after="20"/>
      </w:pPr>
      <w:r>
        <w:t>OP Podnikání a inovace pro konkurenceschopnost (EFRR)</w:t>
      </w:r>
    </w:p>
    <w:p w14:paraId="2E6B0707" w14:textId="77777777" w:rsidR="0059269E" w:rsidRDefault="0059269E" w:rsidP="000D7EF4">
      <w:pPr>
        <w:pStyle w:val="Dalodstavce"/>
        <w:numPr>
          <w:ilvl w:val="1"/>
          <w:numId w:val="22"/>
        </w:numPr>
        <w:spacing w:before="20" w:after="20"/>
      </w:pPr>
      <w:r>
        <w:t>Datum alokace: 9.3.2020 - PP42 Projekt finančně ukončen ze strany MF-PCO</w:t>
      </w:r>
      <w:r>
        <w:tab/>
      </w:r>
    </w:p>
    <w:p w14:paraId="5AF974FA" w14:textId="77777777" w:rsidR="0059269E" w:rsidRDefault="0059269E" w:rsidP="000D7EF4">
      <w:pPr>
        <w:pStyle w:val="Dalodstavce"/>
        <w:numPr>
          <w:ilvl w:val="0"/>
          <w:numId w:val="22"/>
        </w:numPr>
        <w:spacing w:before="20" w:after="20"/>
      </w:pPr>
      <w:r>
        <w:t>Rozšíření stávajících výzkumně-vývojových aktivit - vybudování výzkumného a vývojového centra společnosti DISTING s.r.o.</w:t>
      </w:r>
    </w:p>
    <w:p w14:paraId="2F098811" w14:textId="77777777" w:rsidR="0059269E" w:rsidRDefault="0059269E" w:rsidP="000D7EF4">
      <w:pPr>
        <w:pStyle w:val="Dalodstavce"/>
        <w:numPr>
          <w:ilvl w:val="1"/>
          <w:numId w:val="22"/>
        </w:numPr>
        <w:spacing w:before="20" w:after="20"/>
      </w:pPr>
      <w:r>
        <w:t>OP Podnikání a inovace pro konkurenceschopnost (EFRR)</w:t>
      </w:r>
    </w:p>
    <w:p w14:paraId="1BB5C793" w14:textId="77777777" w:rsidR="0059269E" w:rsidRDefault="0059269E" w:rsidP="000D7EF4">
      <w:pPr>
        <w:pStyle w:val="Dalodstavce"/>
        <w:numPr>
          <w:ilvl w:val="1"/>
          <w:numId w:val="22"/>
        </w:numPr>
        <w:spacing w:before="20" w:after="20"/>
      </w:pPr>
      <w:r>
        <w:t>Datum alokace: 2.10.2017 - PP42 Projekt finančně ukončen ze strany MF-PCO</w:t>
      </w:r>
      <w:r>
        <w:tab/>
      </w:r>
    </w:p>
    <w:p w14:paraId="27B60C40" w14:textId="77777777" w:rsidR="0059269E" w:rsidRDefault="0059269E" w:rsidP="000D7EF4">
      <w:pPr>
        <w:pStyle w:val="Dalodstavce"/>
        <w:numPr>
          <w:ilvl w:val="0"/>
          <w:numId w:val="22"/>
        </w:numPr>
        <w:spacing w:before="20" w:after="20"/>
      </w:pPr>
      <w:r>
        <w:t>Školicí středisko společnosti DISTING s.r.o.</w:t>
      </w:r>
    </w:p>
    <w:p w14:paraId="0E00AF6C" w14:textId="77777777" w:rsidR="0059269E" w:rsidRDefault="0059269E" w:rsidP="000D7EF4">
      <w:pPr>
        <w:pStyle w:val="Dalodstavce"/>
        <w:numPr>
          <w:ilvl w:val="1"/>
          <w:numId w:val="22"/>
        </w:numPr>
        <w:spacing w:before="20" w:after="20"/>
      </w:pPr>
      <w:r>
        <w:t>OP Podnikání a inovace pro konkurenceschopnost (EFRR)</w:t>
      </w:r>
    </w:p>
    <w:p w14:paraId="4B56703D" w14:textId="77777777" w:rsidR="0059269E" w:rsidRDefault="0059269E" w:rsidP="000D7EF4">
      <w:pPr>
        <w:pStyle w:val="Dalodstavce"/>
        <w:numPr>
          <w:ilvl w:val="1"/>
          <w:numId w:val="22"/>
        </w:numPr>
        <w:spacing w:before="20" w:after="20"/>
      </w:pPr>
      <w:r>
        <w:t>Datum alokace: 2.10.2017 - PP42 Projekt finančně ukončen ze strany MF-PCO</w:t>
      </w:r>
      <w:r>
        <w:tab/>
      </w:r>
    </w:p>
    <w:p w14:paraId="4E1CC23B" w14:textId="77777777" w:rsidR="0059269E" w:rsidRDefault="0059269E" w:rsidP="000D7EF4">
      <w:pPr>
        <w:pStyle w:val="Dalodstavce"/>
        <w:numPr>
          <w:ilvl w:val="0"/>
          <w:numId w:val="22"/>
        </w:numPr>
        <w:spacing w:before="20" w:after="20"/>
      </w:pPr>
      <w:r>
        <w:t>Inovace produktu v DISTING s.r.o.</w:t>
      </w:r>
    </w:p>
    <w:p w14:paraId="405424C1" w14:textId="77777777" w:rsidR="0059269E" w:rsidRDefault="0059269E" w:rsidP="000D7EF4">
      <w:pPr>
        <w:pStyle w:val="Dalodstavce"/>
        <w:numPr>
          <w:ilvl w:val="1"/>
          <w:numId w:val="22"/>
        </w:numPr>
        <w:spacing w:before="20" w:after="20"/>
      </w:pPr>
      <w:r>
        <w:t>OP Podnikání a inovace (ERDF)</w:t>
      </w:r>
    </w:p>
    <w:p w14:paraId="1E57F3B5" w14:textId="7712D95A" w:rsidR="0059269E" w:rsidRDefault="0059269E" w:rsidP="000D7EF4">
      <w:pPr>
        <w:pStyle w:val="Dalodstavce"/>
        <w:numPr>
          <w:ilvl w:val="1"/>
          <w:numId w:val="22"/>
        </w:numPr>
        <w:spacing w:before="20" w:after="20"/>
      </w:pPr>
      <w:r>
        <w:t>Datum alokace: 20.8.2013 - Projekt dokončen</w:t>
      </w:r>
    </w:p>
    <w:p w14:paraId="0366039E" w14:textId="73BBA782" w:rsidR="00D1649C" w:rsidRDefault="00D1649C" w:rsidP="002B4E2A">
      <w:pPr>
        <w:pStyle w:val="Dalodstavce"/>
      </w:pPr>
    </w:p>
    <w:p w14:paraId="5D459EC3" w14:textId="0DC17F49" w:rsidR="00C4714D" w:rsidRDefault="001507E3" w:rsidP="00C4714D">
      <w:pPr>
        <w:pStyle w:val="Dalodstavce"/>
        <w:ind w:firstLine="0"/>
      </w:pPr>
      <w:r>
        <w:t>V roce 2021 společnost zaměstnává 121 zaměstnanců</w:t>
      </w:r>
      <w:r w:rsidR="00C4714D">
        <w:t xml:space="preserve">. Počet zaměstnanců se výrazně měnil v historii společnost. Na Grafu 1 můžeme vidět vývoj počtu zaměstnanců v jednotlivých letech. </w:t>
      </w:r>
      <w:r w:rsidR="00D948AD">
        <w:t xml:space="preserve">K největšímu propadu došlo během let 2009, za který nemáme data a </w:t>
      </w:r>
      <w:r w:rsidR="0002099A">
        <w:t xml:space="preserve">2010. Hlavním důvodem </w:t>
      </w:r>
      <w:r w:rsidR="0002099A">
        <w:lastRenderedPageBreak/>
        <w:t xml:space="preserve">tohoto rapidního snížení byla </w:t>
      </w:r>
      <w:r w:rsidR="00C147E7">
        <w:t xml:space="preserve">ekonomická krize, která se výrazně projevila v automobilovém průmyslu. </w:t>
      </w:r>
    </w:p>
    <w:p w14:paraId="19EE3515" w14:textId="55B92159" w:rsidR="00C4714D" w:rsidRDefault="00C4714D" w:rsidP="00C4714D">
      <w:pPr>
        <w:pStyle w:val="Dalodstavce"/>
        <w:ind w:firstLine="0"/>
      </w:pPr>
      <w:r>
        <w:rPr>
          <w:noProof/>
        </w:rPr>
        <w:drawing>
          <wp:inline distT="0" distB="0" distL="0" distR="0" wp14:anchorId="3A412D06" wp14:editId="7E98AA0B">
            <wp:extent cx="4733925" cy="2686050"/>
            <wp:effectExtent l="0" t="0" r="9525" b="0"/>
            <wp:docPr id="36" name="Graf 36">
              <a:extLst xmlns:a="http://schemas.openxmlformats.org/drawingml/2006/main">
                <a:ext uri="{FF2B5EF4-FFF2-40B4-BE49-F238E27FC236}">
                  <a16:creationId xmlns:a16="http://schemas.microsoft.com/office/drawing/2014/main" id="{FB567FA0-C4A1-86F3-4D9A-AEE36EF25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F8588F" w14:textId="2E339D87" w:rsidR="00677E39" w:rsidRDefault="00C4714D" w:rsidP="00C4714D">
      <w:pPr>
        <w:pStyle w:val="Dalodstavce"/>
        <w:ind w:left="842" w:firstLine="0"/>
      </w:pPr>
      <w:r>
        <w:t>Graf 1: Vývoj počtu zaměstnanců</w:t>
      </w:r>
    </w:p>
    <w:p w14:paraId="5F535A6F" w14:textId="77777777" w:rsidR="00BE3357" w:rsidRDefault="00BE3357" w:rsidP="00BE3357">
      <w:pPr>
        <w:pStyle w:val="Dalodstavce"/>
      </w:pPr>
    </w:p>
    <w:p w14:paraId="13BC5AFB" w14:textId="708EEEFD" w:rsidR="00BE3357" w:rsidRDefault="0078234F" w:rsidP="00BE3357">
      <w:pPr>
        <w:pStyle w:val="Dalodstavce"/>
      </w:pPr>
      <w:r>
        <w:t>M</w:t>
      </w:r>
      <w:r w:rsidR="00C147E7">
        <w:t>ikroprostředí</w:t>
      </w:r>
      <w:r>
        <w:t xml:space="preserve"> však netvoří jenom zaměstnanci, ale také další subjekty, se kterými firma spolupracuje nebo kteří j</w:t>
      </w:r>
      <w:r w:rsidR="00A01107">
        <w:t>í konkurují. Patří sem</w:t>
      </w:r>
      <w:r w:rsidR="003A1217">
        <w:t xml:space="preserve"> dodavatelé, odběratelé, zákazníci, distributoři, veřejnost, konkurence, finanční instituce, partneři, zprostředkovatelé a další</w:t>
      </w:r>
      <w:r w:rsidR="00B55A21">
        <w:t xml:space="preserve"> (viz Obr. 4)</w:t>
      </w:r>
      <w:r w:rsidR="003A1217">
        <w:t>. T</w:t>
      </w:r>
      <w:r w:rsidR="00A01107">
        <w:t>y</w:t>
      </w:r>
      <w:r w:rsidR="003A1217">
        <w:t>to subjekty</w:t>
      </w:r>
      <w:r w:rsidR="00A01107">
        <w:t xml:space="preserve"> budou popsány v následující podkapitole</w:t>
      </w:r>
      <w:r w:rsidR="009A7DA9">
        <w:t xml:space="preserve">. V další podkapitole bude vytvořena analýza </w:t>
      </w:r>
      <w:r w:rsidR="000D7065">
        <w:t xml:space="preserve">makroprostředí. Celá analýza potom bude shrnuta ve SWOT matici. </w:t>
      </w:r>
    </w:p>
    <w:p w14:paraId="586495CE" w14:textId="069008C6" w:rsidR="009A7DA9" w:rsidRDefault="009A7DA9" w:rsidP="00BE3357">
      <w:pPr>
        <w:pStyle w:val="Dalodstavce"/>
      </w:pPr>
    </w:p>
    <w:p w14:paraId="0BF6A2D0" w14:textId="22552FE7" w:rsidR="009A7DA9" w:rsidRDefault="009A7DA9" w:rsidP="00BE3357">
      <w:pPr>
        <w:pStyle w:val="Dalodstavce"/>
      </w:pPr>
      <w:r>
        <w:rPr>
          <w:b/>
          <w:bCs/>
          <w:noProof/>
          <w:color w:val="000000"/>
          <w:sz w:val="22"/>
          <w:szCs w:val="22"/>
          <w:bdr w:val="none" w:sz="0" w:space="0" w:color="auto" w:frame="1"/>
        </w:rPr>
        <w:lastRenderedPageBreak/>
        <w:drawing>
          <wp:inline distT="0" distB="0" distL="0" distR="0" wp14:anchorId="7D4D419E" wp14:editId="6CAD73ED">
            <wp:extent cx="4363696" cy="24574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8594" cy="2460208"/>
                    </a:xfrm>
                    <a:prstGeom prst="rect">
                      <a:avLst/>
                    </a:prstGeom>
                    <a:noFill/>
                    <a:ln>
                      <a:noFill/>
                    </a:ln>
                  </pic:spPr>
                </pic:pic>
              </a:graphicData>
            </a:graphic>
          </wp:inline>
        </w:drawing>
      </w:r>
    </w:p>
    <w:p w14:paraId="256EADB3" w14:textId="4254E83B" w:rsidR="00B55A21" w:rsidRDefault="00B55A21" w:rsidP="00BE3357">
      <w:pPr>
        <w:pStyle w:val="Dalodstavce"/>
      </w:pPr>
      <w:r>
        <w:t xml:space="preserve">Obr. 4: </w:t>
      </w:r>
      <w:r w:rsidR="00230C70">
        <w:t>Rozdělení podnikového prostředí</w:t>
      </w:r>
    </w:p>
    <w:p w14:paraId="322331ED" w14:textId="68287DCB" w:rsidR="002B4E2A" w:rsidRPr="001076D1" w:rsidRDefault="002B4E2A" w:rsidP="003A1217">
      <w:pPr>
        <w:pStyle w:val="Dalodstavce"/>
        <w:ind w:firstLine="0"/>
      </w:pPr>
    </w:p>
    <w:p w14:paraId="65A62F2E" w14:textId="179B3C45" w:rsidR="008419DB" w:rsidRDefault="00A83D84" w:rsidP="000D7EF4">
      <w:pPr>
        <w:pStyle w:val="Nadpis2"/>
        <w:numPr>
          <w:ilvl w:val="1"/>
          <w:numId w:val="16"/>
        </w:numPr>
      </w:pPr>
      <w:bookmarkStart w:id="7" w:name="_Toc134175255"/>
      <w:r>
        <w:lastRenderedPageBreak/>
        <w:t>Porter</w:t>
      </w:r>
      <w:r w:rsidR="00B15399">
        <w:t>ův model 5 sil</w:t>
      </w:r>
      <w:bookmarkEnd w:id="7"/>
      <w:r>
        <w:t xml:space="preserve"> </w:t>
      </w:r>
    </w:p>
    <w:p w14:paraId="701E2FDD" w14:textId="24604567" w:rsidR="00B55A21" w:rsidRDefault="00230C70" w:rsidP="00405AE8">
      <w:pPr>
        <w:pStyle w:val="Odstavec1"/>
      </w:pPr>
      <w:r>
        <w:rPr>
          <w:noProof/>
          <w:bdr w:val="none" w:sz="0" w:space="0" w:color="auto" w:frame="1"/>
        </w:rPr>
        <w:drawing>
          <wp:anchor distT="0" distB="0" distL="114300" distR="114300" simplePos="0" relativeHeight="251658240" behindDoc="0" locked="0" layoutInCell="1" allowOverlap="1" wp14:anchorId="4536A2AC" wp14:editId="3B92F993">
            <wp:simplePos x="0" y="0"/>
            <wp:positionH relativeFrom="margin">
              <wp:align>center</wp:align>
            </wp:positionH>
            <wp:positionV relativeFrom="paragraph">
              <wp:posOffset>511175</wp:posOffset>
            </wp:positionV>
            <wp:extent cx="3498850" cy="3505200"/>
            <wp:effectExtent l="0" t="0" r="6350" b="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b="15736"/>
                    <a:stretch/>
                  </pic:blipFill>
                  <pic:spPr bwMode="auto">
                    <a:xfrm>
                      <a:off x="0" y="0"/>
                      <a:ext cx="3498850"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AE8">
        <w:t>Analýza mikroprostředí bude vytvořena na základě Porterov</w:t>
      </w:r>
      <w:r w:rsidR="00B55A21">
        <w:t>a modelu 5 sil (viz Obr.</w:t>
      </w:r>
      <w:r>
        <w:t xml:space="preserve"> 5</w:t>
      </w:r>
      <w:r w:rsidR="00B55A21">
        <w:t>)</w:t>
      </w:r>
      <w:r>
        <w:t>.</w:t>
      </w:r>
    </w:p>
    <w:p w14:paraId="3366EBCC" w14:textId="2198280B" w:rsidR="00405AE8" w:rsidRDefault="00405AE8" w:rsidP="00405AE8">
      <w:pPr>
        <w:pStyle w:val="Odstavec1"/>
      </w:pPr>
      <w:r>
        <w:t xml:space="preserve"> </w:t>
      </w:r>
      <w:r w:rsidR="00230C70">
        <w:tab/>
        <w:t>Obr. 5: Porterův model 5 sil</w:t>
      </w:r>
    </w:p>
    <w:p w14:paraId="063958A1" w14:textId="52D310F4" w:rsidR="00230C70" w:rsidRDefault="000835ED" w:rsidP="000835ED">
      <w:pPr>
        <w:pStyle w:val="Dalodstavce"/>
        <w:spacing w:before="360"/>
      </w:pPr>
      <w:r>
        <w:t xml:space="preserve">Mezi zákazníky a odběratele společnosti Disting </w:t>
      </w:r>
      <w:r w:rsidR="00FE5F19">
        <w:t>patří automobilové společnosti</w:t>
      </w:r>
      <w:r w:rsidR="00506A3F">
        <w:t xml:space="preserve"> a</w:t>
      </w:r>
      <w:r w:rsidR="00FE5F19">
        <w:t xml:space="preserve"> </w:t>
      </w:r>
      <w:r w:rsidR="00506A3F">
        <w:t xml:space="preserve">strojírenské firmy, které odebírají jejich </w:t>
      </w:r>
      <w:r w:rsidR="00506A3F" w:rsidRPr="00537CA9">
        <w:t>autodíl</w:t>
      </w:r>
      <w:r w:rsidR="00506A3F">
        <w:t>y</w:t>
      </w:r>
      <w:r w:rsidR="00506A3F" w:rsidRPr="00537CA9">
        <w:t xml:space="preserve"> a těsnění</w:t>
      </w:r>
      <w:r w:rsidR="00506A3F">
        <w:t xml:space="preserve">. Další skupinou zákazníků jsou </w:t>
      </w:r>
      <w:r w:rsidR="003951A6">
        <w:t>výrobní společnosti, které odebírají jejich pracovní oděvy, dále to jsou hasič</w:t>
      </w:r>
      <w:r w:rsidR="00302069">
        <w:t>i, pro které vyrábí specifické pracovní oděvy</w:t>
      </w:r>
      <w:r w:rsidR="00DA790A">
        <w:t xml:space="preserve"> odolné vůči chemikáliím</w:t>
      </w:r>
      <w:r w:rsidR="003951A6">
        <w:t xml:space="preserve"> a také</w:t>
      </w:r>
      <w:r w:rsidR="00B831C7">
        <w:t xml:space="preserve"> české a slovenské</w:t>
      </w:r>
      <w:r w:rsidR="003951A6">
        <w:t xml:space="preserve"> jaderné elektrárny</w:t>
      </w:r>
      <w:r w:rsidR="00DA790A">
        <w:t>, které</w:t>
      </w:r>
      <w:r w:rsidR="00B831C7">
        <w:t xml:space="preserve"> odebírají s</w:t>
      </w:r>
      <w:r w:rsidR="00B831C7" w:rsidRPr="00480E24">
        <w:t xml:space="preserve">peciální </w:t>
      </w:r>
      <w:r w:rsidR="00B831C7">
        <w:t xml:space="preserve">ochranné </w:t>
      </w:r>
      <w:r w:rsidR="00B831C7" w:rsidRPr="00480E24">
        <w:t>oděvy</w:t>
      </w:r>
      <w:r w:rsidR="00B831C7">
        <w:t xml:space="preserve">. </w:t>
      </w:r>
      <w:r w:rsidR="00160D1F">
        <w:t xml:space="preserve">Konkrétně mezi nejdůležitější partnery patří společnosti </w:t>
      </w:r>
      <w:r w:rsidR="000C5229" w:rsidRPr="000C5229">
        <w:t>TE Connectivity</w:t>
      </w:r>
      <w:r w:rsidR="000C5229">
        <w:t xml:space="preserve">, </w:t>
      </w:r>
      <w:r w:rsidR="000C5229" w:rsidRPr="000C5229">
        <w:t>Skupina ČEZ</w:t>
      </w:r>
      <w:r w:rsidR="000C5229">
        <w:t xml:space="preserve"> a </w:t>
      </w:r>
      <w:r w:rsidR="002936FB" w:rsidRPr="002936FB">
        <w:t>Slovenské elektrárne</w:t>
      </w:r>
      <w:r w:rsidR="002936FB">
        <w:t xml:space="preserve">. </w:t>
      </w:r>
    </w:p>
    <w:p w14:paraId="656295B6" w14:textId="7B576280" w:rsidR="00015306" w:rsidRDefault="00015306" w:rsidP="002700E0">
      <w:pPr>
        <w:pStyle w:val="Dalodstavce"/>
      </w:pPr>
      <w:r>
        <w:t xml:space="preserve">Mezi dodavatele společnosti patří společnosti dodávající součástky a komponenty nutné pro montáž </w:t>
      </w:r>
      <w:r w:rsidRPr="00537CA9">
        <w:t>autodíl</w:t>
      </w:r>
      <w:r>
        <w:t>ů</w:t>
      </w:r>
      <w:r w:rsidRPr="00537CA9">
        <w:t xml:space="preserve"> a těsnění</w:t>
      </w:r>
      <w:r>
        <w:t xml:space="preserve"> a také společnosti dodávající textilní materiál. Dodavateli jsou také firmy vyrábějící stroje pro montáž výrobků a š</w:t>
      </w:r>
      <w:r w:rsidR="00EB4C04">
        <w:t xml:space="preserve">icí stroje. </w:t>
      </w:r>
    </w:p>
    <w:p w14:paraId="6F26696C" w14:textId="77777777" w:rsidR="00701A88" w:rsidRDefault="00EB4C04" w:rsidP="00701A88">
      <w:pPr>
        <w:pStyle w:val="Dalodstavce"/>
      </w:pPr>
      <w:r>
        <w:lastRenderedPageBreak/>
        <w:t>Mezi h</w:t>
      </w:r>
      <w:r w:rsidR="00544064">
        <w:t xml:space="preserve">lavní konkurenty v oblasti montáže autodílů patří </w:t>
      </w:r>
      <w:r w:rsidR="0092210C">
        <w:t>pražská</w:t>
      </w:r>
      <w:r w:rsidR="00AF03BD">
        <w:t xml:space="preserve"> </w:t>
      </w:r>
      <w:r w:rsidR="00544064">
        <w:t xml:space="preserve">společnost </w:t>
      </w:r>
      <w:r w:rsidR="00544064" w:rsidRPr="00544064">
        <w:t>INCAREX s.r.o.</w:t>
      </w:r>
      <w:r w:rsidR="00544064">
        <w:t xml:space="preserve">, která se věnuje </w:t>
      </w:r>
      <w:r w:rsidR="00326F22">
        <w:t xml:space="preserve">montáži autodílů </w:t>
      </w:r>
      <w:r w:rsidR="00326F22" w:rsidRPr="00326F22">
        <w:t xml:space="preserve">BMW </w:t>
      </w:r>
      <w:r w:rsidR="00125214">
        <w:t>a</w:t>
      </w:r>
      <w:r w:rsidR="00326F22" w:rsidRPr="00326F22">
        <w:t xml:space="preserve"> MINI</w:t>
      </w:r>
      <w:r w:rsidR="00125214">
        <w:t xml:space="preserve">. </w:t>
      </w:r>
      <w:r w:rsidR="0092210C">
        <w:t xml:space="preserve">Konkurenci podle hlavní </w:t>
      </w:r>
      <w:r w:rsidR="00281708">
        <w:t>oblasti společnosti dle klasifikace NACE 26100</w:t>
      </w:r>
      <w:r w:rsidR="00693A74">
        <w:t xml:space="preserve"> – Výroba elektronických součástek a desek tvoří společnosti</w:t>
      </w:r>
      <w:r w:rsidR="00701A88">
        <w:t xml:space="preserve"> </w:t>
      </w:r>
      <w:r w:rsidR="00701A88" w:rsidRPr="00701A88">
        <w:t>Comac System s.r.o.</w:t>
      </w:r>
      <w:r w:rsidR="00701A88">
        <w:t xml:space="preserve">, </w:t>
      </w:r>
      <w:r w:rsidR="00701A88" w:rsidRPr="00701A88">
        <w:t>FIRMCONNECTION s.r.o.</w:t>
      </w:r>
      <w:r w:rsidR="00701A88">
        <w:t xml:space="preserve">, </w:t>
      </w:r>
      <w:r w:rsidR="00701A88" w:rsidRPr="00701A88">
        <w:t>FEW Žandov, s.r.o.</w:t>
      </w:r>
      <w:r w:rsidR="00701A88">
        <w:t xml:space="preserve"> a </w:t>
      </w:r>
      <w:r w:rsidR="00701A88" w:rsidRPr="00701A88">
        <w:t>PIKATRON CZ s.r.o.</w:t>
      </w:r>
      <w:r w:rsidR="00693A74">
        <w:t xml:space="preserve"> </w:t>
      </w:r>
      <w:r w:rsidR="00281708">
        <w:t xml:space="preserve"> </w:t>
      </w:r>
    </w:p>
    <w:p w14:paraId="4F950414" w14:textId="0E019E66" w:rsidR="00E1418D" w:rsidRDefault="00976268" w:rsidP="00701A88">
      <w:pPr>
        <w:pStyle w:val="Dalodstavce"/>
      </w:pPr>
      <w:r>
        <w:t xml:space="preserve">V oblasti výroby pracovních oděvů hlavními konkurenty jsou </w:t>
      </w:r>
      <w:r w:rsidR="00551D43">
        <w:t>společnosti Grand – pracovní oděvy s.r.o.</w:t>
      </w:r>
      <w:r w:rsidR="00551D43">
        <w:rPr>
          <w:rStyle w:val="Znakapoznpodarou"/>
        </w:rPr>
        <w:footnoteReference w:id="3"/>
      </w:r>
      <w:r w:rsidR="009921E6">
        <w:t xml:space="preserve">, </w:t>
      </w:r>
      <w:r w:rsidR="009921E6" w:rsidRPr="009921E6">
        <w:t>PROFIMEX, spol.s r.o.</w:t>
      </w:r>
      <w:r w:rsidR="009921E6">
        <w:rPr>
          <w:rStyle w:val="Znakapoznpodarou"/>
        </w:rPr>
        <w:footnoteReference w:id="4"/>
      </w:r>
      <w:r w:rsidR="00A44CFF">
        <w:t xml:space="preserve">, </w:t>
      </w:r>
      <w:r w:rsidR="00A44CFF" w:rsidRPr="00A44CFF">
        <w:t>TOMIS CZ, s.r.o.</w:t>
      </w:r>
      <w:r w:rsidR="00A44CFF">
        <w:rPr>
          <w:rStyle w:val="Znakapoznpodarou"/>
        </w:rPr>
        <w:footnoteReference w:id="5"/>
      </w:r>
      <w:r w:rsidR="00A86756">
        <w:t xml:space="preserve">, </w:t>
      </w:r>
      <w:r w:rsidR="00A86756" w:rsidRPr="00A86756">
        <w:t>Engelbert Strauss s.r.o.</w:t>
      </w:r>
      <w:r w:rsidR="00A86756">
        <w:rPr>
          <w:rStyle w:val="Znakapoznpodarou"/>
        </w:rPr>
        <w:footnoteReference w:id="6"/>
      </w:r>
      <w:r w:rsidR="0085114E">
        <w:t xml:space="preserve">, </w:t>
      </w:r>
      <w:r w:rsidR="0085114E" w:rsidRPr="0085114E">
        <w:t>DENIMAR TAILORING s.r.o.</w:t>
      </w:r>
      <w:r w:rsidR="0085114E">
        <w:rPr>
          <w:rStyle w:val="Znakapoznpodarou"/>
        </w:rPr>
        <w:footnoteReference w:id="7"/>
      </w:r>
      <w:r w:rsidR="002700E0">
        <w:t xml:space="preserve">, a další. </w:t>
      </w:r>
      <w:r w:rsidR="00E1418D">
        <w:t>V oblasti speciálních ochranných oděvů pro jaderné elektrárny jsme nenalezli současnou konkurenci firmy Disting</w:t>
      </w:r>
      <w:r w:rsidR="002700E0">
        <w:t>, proto věříme, že v této oblasti má společnost Disting zásadní konkurenční výhodu.</w:t>
      </w:r>
    </w:p>
    <w:p w14:paraId="17BC6514" w14:textId="612BDDA6" w:rsidR="00CD7EDC" w:rsidRDefault="00CD7EDC" w:rsidP="002700E0">
      <w:pPr>
        <w:pStyle w:val="Dalodstavce"/>
      </w:pPr>
      <w:r>
        <w:t xml:space="preserve">Mezi potenciální konkurenci firmy Disting patří především rozvoj nových technologií v oblasti montáže autodílů a robotizace </w:t>
      </w:r>
      <w:r w:rsidR="00696B2B">
        <w:t xml:space="preserve">a automatizace výrobních linek. </w:t>
      </w:r>
      <w:r w:rsidR="00D538CA" w:rsidRPr="00D538CA">
        <w:t>Společnost TMT</w:t>
      </w:r>
      <w:r w:rsidR="00D538CA">
        <w:t xml:space="preserve"> a.s. z Chrudimi dokončila </w:t>
      </w:r>
      <w:r w:rsidR="00907C3F">
        <w:t xml:space="preserve">výrobu automatické linky pro montáž autodílů, což v budoucnu může </w:t>
      </w:r>
      <w:r w:rsidR="00267625">
        <w:t>vytvořit konkurenty pro společnost Disting</w:t>
      </w:r>
      <w:r w:rsidR="00425DAE">
        <w:rPr>
          <w:rStyle w:val="Znakapoznpodarou"/>
        </w:rPr>
        <w:footnoteReference w:id="8"/>
      </w:r>
      <w:r w:rsidR="00125214">
        <w:t>.</w:t>
      </w:r>
    </w:p>
    <w:p w14:paraId="427F9939" w14:textId="68C3791A" w:rsidR="008419DB" w:rsidRDefault="008419DB" w:rsidP="000D7EF4">
      <w:pPr>
        <w:pStyle w:val="Nadpis2"/>
        <w:numPr>
          <w:ilvl w:val="1"/>
          <w:numId w:val="16"/>
        </w:numPr>
      </w:pPr>
      <w:bookmarkStart w:id="8" w:name="_Toc134175256"/>
      <w:r>
        <w:t>PESTL</w:t>
      </w:r>
      <w:r w:rsidR="001B6723">
        <w:t>E</w:t>
      </w:r>
      <w:bookmarkEnd w:id="8"/>
    </w:p>
    <w:p w14:paraId="0ED7062D" w14:textId="2140B272" w:rsidR="002700E0" w:rsidRDefault="002700E0" w:rsidP="002700E0">
      <w:pPr>
        <w:pStyle w:val="Odstavec1"/>
      </w:pPr>
      <w:r>
        <w:t xml:space="preserve">Analýza makroprostředí bude vytvořena na základě </w:t>
      </w:r>
      <w:r w:rsidR="004C2ED7">
        <w:t>Pestle</w:t>
      </w:r>
      <w:r>
        <w:t xml:space="preserve"> modelu (viz Obr. </w:t>
      </w:r>
      <w:r w:rsidR="004C2ED7">
        <w:t>6).</w:t>
      </w:r>
    </w:p>
    <w:p w14:paraId="764546E0" w14:textId="0B6DDF2A" w:rsidR="004C2ED7" w:rsidRPr="004C2ED7" w:rsidRDefault="004C2ED7" w:rsidP="000565B2">
      <w:pPr>
        <w:pStyle w:val="Dalodstavce"/>
        <w:jc w:val="right"/>
      </w:pPr>
      <w:r>
        <w:rPr>
          <w:noProof/>
          <w:bdr w:val="none" w:sz="0" w:space="0" w:color="auto" w:frame="1"/>
        </w:rPr>
        <w:lastRenderedPageBreak/>
        <w:drawing>
          <wp:anchor distT="0" distB="0" distL="114300" distR="114300" simplePos="0" relativeHeight="251658241" behindDoc="0" locked="0" layoutInCell="1" allowOverlap="1" wp14:anchorId="2E062764" wp14:editId="307BB3C9">
            <wp:simplePos x="0" y="0"/>
            <wp:positionH relativeFrom="margin">
              <wp:align>right</wp:align>
            </wp:positionH>
            <wp:positionV relativeFrom="paragraph">
              <wp:posOffset>0</wp:posOffset>
            </wp:positionV>
            <wp:extent cx="4676775" cy="2012950"/>
            <wp:effectExtent l="0" t="0" r="9525" b="6350"/>
            <wp:wrapTopAndBottom/>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Obr. </w:t>
      </w:r>
      <w:r w:rsidR="006B37FA">
        <w:t>6</w:t>
      </w:r>
      <w:r>
        <w:t>: PESTLE model</w:t>
      </w:r>
    </w:p>
    <w:p w14:paraId="12F4F111" w14:textId="6361A0A4" w:rsidR="00DC0DB7" w:rsidRDefault="00DC0DB7" w:rsidP="00DC0DB7">
      <w:pPr>
        <w:pStyle w:val="Dalodstavce"/>
        <w:ind w:firstLine="709"/>
      </w:pPr>
      <w:r>
        <w:t xml:space="preserve">Politické a legislativní prostředí je v ČR stabilní a podporující významné odvětví české ekonomiky, včetně automobilového průmyslu. Jak automobilový, tak oděvní průmysl jsou </w:t>
      </w:r>
      <w:r w:rsidR="00137895">
        <w:t>ovlivňovány legislativou regulující podnikání</w:t>
      </w:r>
      <w:r w:rsidR="00AE7A2F">
        <w:t>, daňov</w:t>
      </w:r>
      <w:r w:rsidR="009351BA">
        <w:t xml:space="preserve">ými regulacemi </w:t>
      </w:r>
      <w:r w:rsidR="00AE7A2F">
        <w:t xml:space="preserve">ale také zahraniční politikou ovlivňující </w:t>
      </w:r>
      <w:r w:rsidR="009351BA">
        <w:t xml:space="preserve">mezinárodní obchod a </w:t>
      </w:r>
      <w:r w:rsidR="00AE7A2F">
        <w:t xml:space="preserve">export výrobků. </w:t>
      </w:r>
      <w:r w:rsidR="009351BA">
        <w:t xml:space="preserve">Společnost Disting se </w:t>
      </w:r>
      <w:r w:rsidR="0062183D">
        <w:t>snaží</w:t>
      </w:r>
      <w:r w:rsidR="009351BA">
        <w:t xml:space="preserve"> všem </w:t>
      </w:r>
      <w:r w:rsidR="00006E3F">
        <w:t xml:space="preserve">legislativním pravidlům přizpůsobit a implementovat veškeré normy. Což také uvádí </w:t>
      </w:r>
      <w:r>
        <w:t>na svých stránkách: „</w:t>
      </w:r>
      <w:r w:rsidRPr="000915D1">
        <w:t>Všechny oděvy pro pracovníky jaderné elektrárny se řídí přísnými zdravotními i bezpečnostními normami a splňují veškerá kritéria pro tento typ oděvu.</w:t>
      </w:r>
      <w:r>
        <w:t xml:space="preserve">“ </w:t>
      </w:r>
    </w:p>
    <w:p w14:paraId="75EDED7E" w14:textId="66DB96D2" w:rsidR="005569D4" w:rsidRDefault="0025030E" w:rsidP="00006E3F">
      <w:pPr>
        <w:pStyle w:val="Odstavec1"/>
        <w:ind w:firstLine="482"/>
      </w:pPr>
      <w:r>
        <w:t xml:space="preserve">Vznik společnosti Tatra v roce 1850 můžeme považovat za počátek </w:t>
      </w:r>
      <w:r w:rsidR="00D3582F">
        <w:t xml:space="preserve">automobilového průmyslu na území České republiky. </w:t>
      </w:r>
      <w:r w:rsidR="00D74242">
        <w:t>Dnes je automobilový průmysl jednou z nejdůležitějších součástí české ekonomiky a produkce autoprůmyslu tvoří 26 % průmyslové výroby</w:t>
      </w:r>
      <w:r w:rsidR="00E7178C">
        <w:t xml:space="preserve"> a 23 % exportu ČR</w:t>
      </w:r>
      <w:r w:rsidR="00B6600B">
        <w:t xml:space="preserve"> </w:t>
      </w:r>
      <w:r w:rsidR="00B6600B">
        <w:rPr>
          <w:rStyle w:val="Znakapoznpodarou"/>
        </w:rPr>
        <w:footnoteReference w:id="9"/>
      </w:r>
      <w:r w:rsidR="00E7178C">
        <w:t xml:space="preserve">. </w:t>
      </w:r>
      <w:r w:rsidR="005569D4">
        <w:t xml:space="preserve"> </w:t>
      </w:r>
      <w:r w:rsidR="009C2206">
        <w:t>Přestože je a</w:t>
      </w:r>
      <w:r w:rsidR="00DC3F1A">
        <w:t xml:space="preserve">utomobilový průmysl </w:t>
      </w:r>
      <w:r w:rsidR="009C2206">
        <w:t>pilířem mnoha vyspělých zemí, nedá se o něm hovořit jako o stabilním odvětví. Automobilový průmysl je</w:t>
      </w:r>
      <w:r w:rsidR="00DC3F1A">
        <w:t xml:space="preserve"> silně ovlivněn ekonomickým cyklem</w:t>
      </w:r>
      <w:r w:rsidR="009C2206">
        <w:t>, jelikož a</w:t>
      </w:r>
      <w:r w:rsidR="00DC3F1A">
        <w:t>uta jsou pro spoustu lidí luxusní statek a proto v období recese dochází k výraznému poklesu jejich nákupu.</w:t>
      </w:r>
      <w:r w:rsidR="009C2206">
        <w:t xml:space="preserve"> To můžeme vidět i na Obr. 7</w:t>
      </w:r>
      <w:r w:rsidR="0080444B">
        <w:t xml:space="preserve"> vytvořeného Sdružením</w:t>
      </w:r>
      <w:r w:rsidR="00A270BE">
        <w:t xml:space="preserve"> automobilového průmyslu (AutoSAP)</w:t>
      </w:r>
      <w:r w:rsidR="0080444B">
        <w:t xml:space="preserve">, který ukazuje vývoj tržeb automobilových firem </w:t>
      </w:r>
      <w:r w:rsidR="00A270BE">
        <w:t xml:space="preserve">v průběhu let. </w:t>
      </w:r>
      <w:r w:rsidR="00D757FC">
        <w:t xml:space="preserve">Nejvýraznější pokles můžeme vidět v roce 2009, v době </w:t>
      </w:r>
      <w:r w:rsidR="00E80422">
        <w:t xml:space="preserve">Velké recese a ekonomické krize, která výrazně dopadla nejen na automobilový průmysl. Dalšími </w:t>
      </w:r>
      <w:r w:rsidR="007032E8">
        <w:t xml:space="preserve">problémy, se kterými se automobilový průmysl potýkal je pandemie </w:t>
      </w:r>
      <w:r w:rsidR="00BA3200">
        <w:t>koronaviru</w:t>
      </w:r>
      <w:r w:rsidR="00872BE0">
        <w:t xml:space="preserve"> a finanční nejistoty s tím spojené</w:t>
      </w:r>
      <w:r w:rsidR="00877C54">
        <w:t xml:space="preserve">, dále také Brexit, přetrvávající nedostatek polovodičových čipů </w:t>
      </w:r>
      <w:r w:rsidR="00877C54">
        <w:lastRenderedPageBreak/>
        <w:t>s ekonomické důsledky války na Ukrajině</w:t>
      </w:r>
      <w:r w:rsidR="00872BE0">
        <w:rPr>
          <w:rStyle w:val="Znakapoznpodarou"/>
        </w:rPr>
        <w:footnoteReference w:id="10"/>
      </w:r>
      <w:r w:rsidR="00877C54">
        <w:rPr>
          <w:vertAlign w:val="superscript"/>
        </w:rPr>
        <w:t>,</w:t>
      </w:r>
      <w:r w:rsidR="00877C54">
        <w:rPr>
          <w:rStyle w:val="Znakapoznpodarou"/>
        </w:rPr>
        <w:footnoteReference w:id="11"/>
      </w:r>
      <w:r w:rsidR="006D0672">
        <w:rPr>
          <w:vertAlign w:val="superscript"/>
        </w:rPr>
        <w:t>,</w:t>
      </w:r>
      <w:r w:rsidR="006D0672">
        <w:rPr>
          <w:rStyle w:val="Znakapoznpodarou"/>
        </w:rPr>
        <w:footnoteReference w:id="12"/>
      </w:r>
      <w:r w:rsidR="00872BE0">
        <w:t xml:space="preserve">. Největšími hrozbami </w:t>
      </w:r>
      <w:r w:rsidR="00877C54">
        <w:t xml:space="preserve">pro autoprůmysl </w:t>
      </w:r>
      <w:r w:rsidR="00872BE0">
        <w:t xml:space="preserve">do budoucna je </w:t>
      </w:r>
      <w:r w:rsidR="0068296E">
        <w:t xml:space="preserve">pokles poptávky po tradičních vozidlech, </w:t>
      </w:r>
      <w:r w:rsidR="00877C54">
        <w:t>přechod na zelenou energii</w:t>
      </w:r>
      <w:r w:rsidR="0068296E">
        <w:t xml:space="preserve"> a</w:t>
      </w:r>
      <w:r w:rsidR="00877C54">
        <w:t xml:space="preserve"> přesun </w:t>
      </w:r>
      <w:r w:rsidR="0068296E">
        <w:t xml:space="preserve">výrazné části </w:t>
      </w:r>
      <w:r w:rsidR="00877C54">
        <w:t>výroby</w:t>
      </w:r>
      <w:r w:rsidR="00D75F3B">
        <w:t xml:space="preserve"> automobilů do Asie</w:t>
      </w:r>
      <w:r w:rsidR="0068296E">
        <w:t>.</w:t>
      </w:r>
      <w:r w:rsidR="00D75F3B">
        <w:t xml:space="preserve"> </w:t>
      </w:r>
    </w:p>
    <w:p w14:paraId="3B87ADDF" w14:textId="1B087F21" w:rsidR="00911DEC" w:rsidRPr="00911DEC" w:rsidRDefault="006B37FA" w:rsidP="00911DEC">
      <w:pPr>
        <w:pStyle w:val="Dalodstavce"/>
      </w:pPr>
      <w:r>
        <w:rPr>
          <w:noProof/>
        </w:rPr>
        <w:drawing>
          <wp:anchor distT="0" distB="0" distL="114300" distR="114300" simplePos="0" relativeHeight="251658242" behindDoc="0" locked="0" layoutInCell="1" allowOverlap="1" wp14:anchorId="1C39D178" wp14:editId="3C8C4E3C">
            <wp:simplePos x="0" y="0"/>
            <wp:positionH relativeFrom="margin">
              <wp:align>left</wp:align>
            </wp:positionH>
            <wp:positionV relativeFrom="paragraph">
              <wp:posOffset>222250</wp:posOffset>
            </wp:positionV>
            <wp:extent cx="4657090" cy="2628900"/>
            <wp:effectExtent l="0" t="0" r="0" b="0"/>
            <wp:wrapTopAndBottom/>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709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0B009" w14:textId="292810C4" w:rsidR="005569D4" w:rsidRPr="005569D4" w:rsidRDefault="006B37FA" w:rsidP="005569D4">
      <w:pPr>
        <w:pStyle w:val="Dalodstavce"/>
      </w:pPr>
      <w:r>
        <w:t>Obr. 7: V</w:t>
      </w:r>
      <w:r w:rsidR="00DC3F1A">
        <w:t>ývoj tržeb automobilového průmyslu ČR</w:t>
      </w:r>
    </w:p>
    <w:p w14:paraId="0919E6AA" w14:textId="77777777" w:rsidR="00DC3F1A" w:rsidRDefault="00DC3F1A" w:rsidP="00FB3540">
      <w:pPr>
        <w:pStyle w:val="Odstavec1"/>
      </w:pPr>
    </w:p>
    <w:p w14:paraId="3D38D71B" w14:textId="0CECE8B8" w:rsidR="006F5C56" w:rsidRDefault="0068296E" w:rsidP="006F5C56">
      <w:pPr>
        <w:pStyle w:val="Dalodstavce"/>
      </w:pPr>
      <w:r>
        <w:t>P</w:t>
      </w:r>
      <w:r w:rsidR="00AA40A8">
        <w:t xml:space="preserve">rostředí </w:t>
      </w:r>
      <w:r>
        <w:t xml:space="preserve">automobilového průmyslu </w:t>
      </w:r>
      <w:r w:rsidR="00AA40A8">
        <w:t xml:space="preserve">je pro společnost Disting velice rizikové, jelikož je těžké </w:t>
      </w:r>
      <w:r w:rsidR="00792309">
        <w:t>stabilizovat</w:t>
      </w:r>
      <w:r w:rsidR="00AA40A8">
        <w:t xml:space="preserve"> společnost v </w:t>
      </w:r>
      <w:r w:rsidR="00792309">
        <w:t>nestabilní</w:t>
      </w:r>
      <w:r w:rsidR="00AA40A8">
        <w:t xml:space="preserve"> době. </w:t>
      </w:r>
      <w:r w:rsidR="00CD7BC9">
        <w:t>Ekonomické krize v automobilovém průmyslu se výrazně projevily i na fungování společnosti</w:t>
      </w:r>
      <w:r w:rsidR="00792309">
        <w:t xml:space="preserve"> Disting</w:t>
      </w:r>
      <w:r w:rsidR="00CD7BC9">
        <w:t xml:space="preserve">. Největší </w:t>
      </w:r>
      <w:r w:rsidR="00792309">
        <w:t>k</w:t>
      </w:r>
      <w:r w:rsidR="00CD7BC9">
        <w:t xml:space="preserve">rizi společnost zažila v roce </w:t>
      </w:r>
      <w:r w:rsidR="00A22F8E">
        <w:t>2004, kdy jí hrozila exekuce</w:t>
      </w:r>
      <w:r>
        <w:t xml:space="preserve"> a výrazný propad </w:t>
      </w:r>
      <w:r w:rsidR="00C5237C">
        <w:t>zisku, tržeb i počtu zaměstnanců společnosti</w:t>
      </w:r>
      <w:r w:rsidR="006F5C56">
        <w:t>.</w:t>
      </w:r>
      <w:r w:rsidR="00792309">
        <w:t xml:space="preserve"> Propad můžeme vidět také v letech 2</w:t>
      </w:r>
      <w:r w:rsidR="00E207B1">
        <w:t xml:space="preserve">008-2010 a během covidové pandemie, která způsobila výpadek v produkci společnosti. </w:t>
      </w:r>
    </w:p>
    <w:p w14:paraId="7E0F3138" w14:textId="1FDDC033" w:rsidR="00A22F8E" w:rsidRPr="00F93AA1" w:rsidRDefault="00A22F8E" w:rsidP="00F93AA1">
      <w:pPr>
        <w:pStyle w:val="Dalodstavce"/>
      </w:pPr>
      <w:r>
        <w:lastRenderedPageBreak/>
        <w:t>Společnost však diverzifikuje své podnikatelské aktivity i na oblast výroby pracovních oděvů, která je poměrně stabilní a díky tomu vyrovnává rizikovější</w:t>
      </w:r>
      <w:r w:rsidR="00E207B1">
        <w:t xml:space="preserve">, ale výnosnější </w:t>
      </w:r>
      <w:r>
        <w:t xml:space="preserve">oblast automobilového průmyslu. </w:t>
      </w:r>
    </w:p>
    <w:p w14:paraId="21E4A343" w14:textId="220AE5D9" w:rsidR="004E5CA3" w:rsidRPr="00F93AA1" w:rsidRDefault="001502EF" w:rsidP="004E5CA3">
      <w:pPr>
        <w:pStyle w:val="Dalodstavce"/>
      </w:pPr>
      <w:r>
        <w:tab/>
      </w:r>
      <w:r w:rsidR="004E5CA3">
        <w:t>V obou oblastech dochází k </w:t>
      </w:r>
      <w:r w:rsidR="004D61E3">
        <w:t>velkým</w:t>
      </w:r>
      <w:r w:rsidR="004E5CA3">
        <w:t xml:space="preserve"> investicím a technologickému rozvoji. To pro společnost může být jak příležitost v oblasti získávání dotací, ale taky požadavek neustálého růstu, </w:t>
      </w:r>
      <w:r w:rsidR="004D61E3">
        <w:t>přizpůsobování</w:t>
      </w:r>
      <w:r w:rsidR="004E5CA3">
        <w:t xml:space="preserve"> se a vývoje. Společnost také zavedla normu ISO 9001 - </w:t>
      </w:r>
      <w:r w:rsidR="004E5CA3" w:rsidRPr="009775E5">
        <w:t>Systém managementu kvality (QMS)</w:t>
      </w:r>
      <w:r w:rsidR="004E5CA3">
        <w:t>.</w:t>
      </w:r>
    </w:p>
    <w:p w14:paraId="194A935F" w14:textId="635D0EDA" w:rsidR="001B6723" w:rsidRPr="001B6723" w:rsidRDefault="004E5CA3" w:rsidP="00CE4774">
      <w:pPr>
        <w:pStyle w:val="Dalodstavce"/>
      </w:pPr>
      <w:r>
        <w:t xml:space="preserve">Veřejnost je obecně </w:t>
      </w:r>
      <w:r w:rsidR="00D90BA4">
        <w:t>rozdělena</w:t>
      </w:r>
      <w:r>
        <w:t xml:space="preserve"> na dvě skupiny, co se týče automobilového průmyslu – na zastánce klasických automobilů a na zastánce </w:t>
      </w:r>
      <w:r w:rsidR="00E207B1">
        <w:t>přechodu</w:t>
      </w:r>
      <w:r>
        <w:t xml:space="preserve"> na ekologické způsoby dopravy. </w:t>
      </w:r>
      <w:r w:rsidR="000428D4">
        <w:t xml:space="preserve">Současné prostředí je také nakloněné zeleným investicím a </w:t>
      </w:r>
      <w:r>
        <w:t xml:space="preserve">ochrany životního prostředí. </w:t>
      </w:r>
      <w:r w:rsidR="00F34ECE">
        <w:t>Jelikož se čím dál více dbá na ekologii, klasické automobily se dostávají do pozadí</w:t>
      </w:r>
      <w:r w:rsidR="006F2E8F">
        <w:t xml:space="preserve"> těm elektrickým. Pro firmu to však znamená nové příležitosti, jelikož součástky, které </w:t>
      </w:r>
      <w:r w:rsidR="00696E40">
        <w:t>montují</w:t>
      </w:r>
      <w:r w:rsidR="006F2E8F">
        <w:t xml:space="preserve"> mohou sloužit pro oba typy vozidel. </w:t>
      </w:r>
      <w:r w:rsidR="00696E40">
        <w:t>Veřejnost</w:t>
      </w:r>
      <w:r w:rsidR="00992FA0">
        <w:t xml:space="preserve"> i legislativa tlačí na </w:t>
      </w:r>
      <w:r w:rsidR="00953DF4">
        <w:t xml:space="preserve">firmy, aby byly co nejekologičtější a přijímaly opatření, aby jejich činnost co nejméně ovlivňovala životní prostředí. Společnost </w:t>
      </w:r>
      <w:r w:rsidR="002F24E6">
        <w:t xml:space="preserve">Disting má ohleduplnost k životnímu prostředí, jako jednu ze svých </w:t>
      </w:r>
      <w:r w:rsidR="00696E40">
        <w:t>základních</w:t>
      </w:r>
      <w:r w:rsidR="002F24E6">
        <w:t xml:space="preserve"> hodnot</w:t>
      </w:r>
      <w:r w:rsidR="003F0285">
        <w:t xml:space="preserve">. Pracují se stroji, které šetří energii, využívají odpadní </w:t>
      </w:r>
      <w:r w:rsidR="00696E40">
        <w:t>tepelnou</w:t>
      </w:r>
      <w:r w:rsidR="003F0285">
        <w:t xml:space="preserve"> energii </w:t>
      </w:r>
      <w:r w:rsidR="00196CB2">
        <w:t xml:space="preserve">a </w:t>
      </w:r>
      <w:r w:rsidR="00696E40">
        <w:t xml:space="preserve">snaží se minimalizovat odpadní materiál. Společnost také </w:t>
      </w:r>
      <w:r w:rsidR="00056FC6">
        <w:t xml:space="preserve">zavedla normu ISO 14001 - Systémy environmentálního managementu. </w:t>
      </w:r>
    </w:p>
    <w:p w14:paraId="1640B7B4" w14:textId="2064DDD1" w:rsidR="009D3C27" w:rsidRDefault="008419DB" w:rsidP="000D7EF4">
      <w:pPr>
        <w:pStyle w:val="Nadpis2"/>
        <w:numPr>
          <w:ilvl w:val="1"/>
          <w:numId w:val="16"/>
        </w:numPr>
      </w:pPr>
      <w:bookmarkStart w:id="9" w:name="_Toc134175257"/>
      <w:bookmarkEnd w:id="6"/>
      <w:r>
        <w:lastRenderedPageBreak/>
        <w:t>SWOT</w:t>
      </w:r>
      <w:r w:rsidR="00B336DC">
        <w:t xml:space="preserve"> matice</w:t>
      </w:r>
      <w:bookmarkEnd w:id="9"/>
    </w:p>
    <w:tbl>
      <w:tblPr>
        <w:tblStyle w:val="Mkatabulky"/>
        <w:tblW w:w="9613" w:type="dxa"/>
        <w:jc w:val="left"/>
        <w:tblInd w:w="-1140" w:type="dxa"/>
        <w:tblLook w:val="04A0" w:firstRow="1" w:lastRow="0" w:firstColumn="1" w:lastColumn="0" w:noHBand="0" w:noVBand="1"/>
      </w:tblPr>
      <w:tblGrid>
        <w:gridCol w:w="600"/>
        <w:gridCol w:w="4506"/>
        <w:gridCol w:w="4507"/>
      </w:tblGrid>
      <w:tr w:rsidR="0077144C" w:rsidRPr="0077144C" w14:paraId="59542B57" w14:textId="77777777" w:rsidTr="0077144C">
        <w:trPr>
          <w:cnfStyle w:val="100000000000" w:firstRow="1" w:lastRow="0" w:firstColumn="0" w:lastColumn="0" w:oddVBand="0" w:evenVBand="0" w:oddHBand="0" w:evenHBand="0" w:firstRowFirstColumn="0" w:firstRowLastColumn="0" w:lastRowFirstColumn="0" w:lastRowLastColumn="0"/>
          <w:trHeight w:val="534"/>
          <w:jc w:val="left"/>
        </w:trPr>
        <w:tc>
          <w:tcPr>
            <w:tcW w:w="600" w:type="dxa"/>
            <w:shd w:val="clear" w:color="auto" w:fill="D9E2F3" w:themeFill="accent5" w:themeFillTint="33"/>
          </w:tcPr>
          <w:p w14:paraId="013D3497" w14:textId="77777777" w:rsidR="00185DF0" w:rsidRPr="0077144C" w:rsidRDefault="00185DF0" w:rsidP="0077144C">
            <w:pPr>
              <w:pStyle w:val="Dalodstavce"/>
              <w:spacing w:before="0" w:after="0"/>
              <w:rPr>
                <w:rFonts w:asciiTheme="minorHAnsi" w:hAnsiTheme="minorHAnsi"/>
              </w:rPr>
            </w:pPr>
          </w:p>
        </w:tc>
        <w:tc>
          <w:tcPr>
            <w:tcW w:w="4506" w:type="dxa"/>
            <w:shd w:val="clear" w:color="auto" w:fill="D9E2F3" w:themeFill="accent5" w:themeFillTint="33"/>
          </w:tcPr>
          <w:p w14:paraId="24174692" w14:textId="5DE7F567" w:rsidR="00185DF0" w:rsidRPr="0077144C" w:rsidRDefault="00192FBD" w:rsidP="0077144C">
            <w:pPr>
              <w:pStyle w:val="Dalodstavce"/>
              <w:spacing w:before="0" w:after="0"/>
              <w:ind w:firstLine="0"/>
              <w:jc w:val="center"/>
              <w:rPr>
                <w:rFonts w:asciiTheme="minorHAnsi" w:hAnsiTheme="minorHAnsi"/>
              </w:rPr>
            </w:pPr>
            <w:r w:rsidRPr="0077144C">
              <w:rPr>
                <w:rFonts w:asciiTheme="minorHAnsi" w:hAnsiTheme="minorHAnsi"/>
              </w:rPr>
              <w:t>POMOCNÉ</w:t>
            </w:r>
          </w:p>
        </w:tc>
        <w:tc>
          <w:tcPr>
            <w:tcW w:w="4507" w:type="dxa"/>
            <w:shd w:val="clear" w:color="auto" w:fill="D9E2F3" w:themeFill="accent5" w:themeFillTint="33"/>
          </w:tcPr>
          <w:p w14:paraId="2BFB0DFB" w14:textId="669DF331" w:rsidR="00185DF0" w:rsidRPr="0077144C" w:rsidRDefault="00192FBD" w:rsidP="0077144C">
            <w:pPr>
              <w:pStyle w:val="Dalodstavce"/>
              <w:spacing w:before="0" w:after="0"/>
              <w:ind w:firstLine="0"/>
              <w:jc w:val="center"/>
              <w:rPr>
                <w:rFonts w:asciiTheme="minorHAnsi" w:hAnsiTheme="minorHAnsi"/>
              </w:rPr>
            </w:pPr>
            <w:r w:rsidRPr="0077144C">
              <w:rPr>
                <w:rFonts w:asciiTheme="minorHAnsi" w:hAnsiTheme="minorHAnsi"/>
              </w:rPr>
              <w:t>ŠKODLIVÉ</w:t>
            </w:r>
          </w:p>
        </w:tc>
      </w:tr>
      <w:tr w:rsidR="0077144C" w:rsidRPr="0077144C" w14:paraId="2BBA2417" w14:textId="77777777" w:rsidTr="0077144C">
        <w:trPr>
          <w:cantSplit/>
          <w:trHeight w:val="2955"/>
          <w:jc w:val="left"/>
        </w:trPr>
        <w:tc>
          <w:tcPr>
            <w:tcW w:w="600" w:type="dxa"/>
            <w:shd w:val="clear" w:color="auto" w:fill="D9E2F3" w:themeFill="accent5" w:themeFillTint="33"/>
            <w:textDirection w:val="btLr"/>
          </w:tcPr>
          <w:p w14:paraId="0D0F7FF0" w14:textId="6AA11D8E" w:rsidR="00185DF0" w:rsidRPr="0077144C" w:rsidRDefault="00192FBD" w:rsidP="0077144C">
            <w:pPr>
              <w:pStyle w:val="Dalodstavce"/>
              <w:spacing w:before="0" w:after="0"/>
              <w:ind w:left="113" w:right="113" w:firstLine="0"/>
              <w:jc w:val="center"/>
              <w:rPr>
                <w:rFonts w:asciiTheme="minorHAnsi" w:hAnsiTheme="minorHAnsi"/>
              </w:rPr>
            </w:pPr>
            <w:r w:rsidRPr="0077144C">
              <w:rPr>
                <w:rFonts w:asciiTheme="minorHAnsi" w:hAnsiTheme="minorHAnsi"/>
              </w:rPr>
              <w:t>VNITŘNÍ PROSTŘEDÍ</w:t>
            </w:r>
          </w:p>
        </w:tc>
        <w:tc>
          <w:tcPr>
            <w:tcW w:w="4506" w:type="dxa"/>
            <w:vAlign w:val="top"/>
          </w:tcPr>
          <w:p w14:paraId="76D13C3C" w14:textId="6FDD42CF" w:rsidR="00185DF0" w:rsidRPr="0077144C" w:rsidRDefault="00E36568" w:rsidP="0077144C">
            <w:pPr>
              <w:pStyle w:val="Dalodstavce"/>
              <w:spacing w:before="0" w:after="0"/>
              <w:ind w:firstLine="0"/>
              <w:jc w:val="left"/>
              <w:rPr>
                <w:rFonts w:asciiTheme="minorHAnsi" w:hAnsiTheme="minorHAnsi"/>
                <w:b/>
                <w:bCs/>
              </w:rPr>
            </w:pPr>
            <w:r w:rsidRPr="0077144C">
              <w:rPr>
                <w:rFonts w:asciiTheme="minorHAnsi" w:hAnsiTheme="minorHAnsi"/>
                <w:b/>
                <w:bCs/>
              </w:rPr>
              <w:t>SILNÉ STRÁNKY (S)</w:t>
            </w:r>
          </w:p>
          <w:p w14:paraId="0DF55790" w14:textId="3CA5178A" w:rsidR="00185DF0" w:rsidRDefault="00B26D2D" w:rsidP="000D7EF4">
            <w:pPr>
              <w:pStyle w:val="Dalodstavce"/>
              <w:numPr>
                <w:ilvl w:val="0"/>
                <w:numId w:val="21"/>
              </w:numPr>
              <w:spacing w:before="0" w:after="0"/>
              <w:ind w:left="643"/>
              <w:jc w:val="left"/>
              <w:rPr>
                <w:rFonts w:asciiTheme="minorHAnsi" w:hAnsiTheme="minorHAnsi"/>
              </w:rPr>
            </w:pPr>
            <w:r>
              <w:rPr>
                <w:rFonts w:asciiTheme="minorHAnsi" w:hAnsiTheme="minorHAnsi"/>
              </w:rPr>
              <w:t>Konkurenční výhoda v oblasti ochranných oděvů pro jaderné elektrárny</w:t>
            </w:r>
          </w:p>
          <w:p w14:paraId="24E16F5F" w14:textId="343CF12B" w:rsidR="00D87997" w:rsidRDefault="00D87997" w:rsidP="000D7EF4">
            <w:pPr>
              <w:pStyle w:val="Dalodstavce"/>
              <w:numPr>
                <w:ilvl w:val="0"/>
                <w:numId w:val="21"/>
              </w:numPr>
              <w:spacing w:before="0" w:after="0"/>
              <w:ind w:left="643"/>
              <w:jc w:val="left"/>
              <w:rPr>
                <w:rFonts w:asciiTheme="minorHAnsi" w:hAnsiTheme="minorHAnsi"/>
              </w:rPr>
            </w:pPr>
            <w:r>
              <w:rPr>
                <w:rFonts w:asciiTheme="minorHAnsi" w:hAnsiTheme="minorHAnsi"/>
              </w:rPr>
              <w:t>Diverzifikace podnikatelských aktivit</w:t>
            </w:r>
          </w:p>
          <w:p w14:paraId="63464744" w14:textId="31BA328B" w:rsidR="00FF760A" w:rsidRDefault="00FF760A" w:rsidP="000D7EF4">
            <w:pPr>
              <w:pStyle w:val="Dalodstavce"/>
              <w:numPr>
                <w:ilvl w:val="0"/>
                <w:numId w:val="21"/>
              </w:numPr>
              <w:spacing w:before="0" w:after="0"/>
              <w:ind w:left="643"/>
              <w:jc w:val="left"/>
              <w:rPr>
                <w:rFonts w:asciiTheme="minorHAnsi" w:hAnsiTheme="minorHAnsi"/>
              </w:rPr>
            </w:pPr>
            <w:r>
              <w:rPr>
                <w:rFonts w:asciiTheme="minorHAnsi" w:hAnsiTheme="minorHAnsi"/>
              </w:rPr>
              <w:t>Patenty na výrobky a technologie</w:t>
            </w:r>
            <w:r w:rsidR="00F85989">
              <w:rPr>
                <w:rStyle w:val="Znakapoznpodarou"/>
                <w:rFonts w:asciiTheme="minorHAnsi" w:hAnsiTheme="minorHAnsi"/>
              </w:rPr>
              <w:footnoteReference w:id="13"/>
            </w:r>
            <w:r>
              <w:rPr>
                <w:rFonts w:asciiTheme="minorHAnsi" w:hAnsiTheme="minorHAnsi"/>
              </w:rPr>
              <w:t xml:space="preserve"> </w:t>
            </w:r>
          </w:p>
          <w:p w14:paraId="4E374150" w14:textId="1919B807" w:rsidR="00185DF0" w:rsidRPr="00B27401" w:rsidRDefault="001C1559" w:rsidP="000D7EF4">
            <w:pPr>
              <w:pStyle w:val="Dalodstavce"/>
              <w:numPr>
                <w:ilvl w:val="0"/>
                <w:numId w:val="21"/>
              </w:numPr>
              <w:spacing w:before="0" w:after="0"/>
              <w:ind w:left="643"/>
              <w:jc w:val="left"/>
              <w:rPr>
                <w:rFonts w:asciiTheme="minorHAnsi" w:hAnsiTheme="minorHAnsi"/>
              </w:rPr>
            </w:pPr>
            <w:r w:rsidRPr="00B27401">
              <w:rPr>
                <w:rFonts w:asciiTheme="minorHAnsi" w:hAnsiTheme="minorHAnsi"/>
              </w:rPr>
              <w:t>Skvělé vztahy s dodavateli a zákazníky</w:t>
            </w:r>
          </w:p>
          <w:p w14:paraId="26ABD562" w14:textId="7056D506" w:rsidR="00185DF0" w:rsidRPr="0077144C" w:rsidRDefault="00185DF0" w:rsidP="0077144C">
            <w:pPr>
              <w:pStyle w:val="Dalodstavce"/>
              <w:spacing w:before="0" w:after="0"/>
              <w:jc w:val="left"/>
              <w:rPr>
                <w:rFonts w:asciiTheme="minorHAnsi" w:hAnsiTheme="minorHAnsi"/>
              </w:rPr>
            </w:pPr>
          </w:p>
        </w:tc>
        <w:tc>
          <w:tcPr>
            <w:tcW w:w="4507" w:type="dxa"/>
            <w:vAlign w:val="top"/>
          </w:tcPr>
          <w:p w14:paraId="17A9603A" w14:textId="71FC44F8" w:rsidR="00185DF0" w:rsidRPr="0077144C" w:rsidRDefault="00E36568" w:rsidP="0077144C">
            <w:pPr>
              <w:pStyle w:val="Dalodstavce"/>
              <w:spacing w:before="0" w:after="0"/>
              <w:ind w:firstLine="0"/>
              <w:jc w:val="left"/>
              <w:rPr>
                <w:rFonts w:asciiTheme="minorHAnsi" w:hAnsiTheme="minorHAnsi"/>
                <w:b/>
                <w:bCs/>
              </w:rPr>
            </w:pPr>
            <w:r w:rsidRPr="0077144C">
              <w:rPr>
                <w:rFonts w:asciiTheme="minorHAnsi" w:hAnsiTheme="minorHAnsi"/>
                <w:b/>
                <w:bCs/>
              </w:rPr>
              <w:t>SLABÉ STRÁNKY (W)</w:t>
            </w:r>
          </w:p>
          <w:p w14:paraId="61FADDC6" w14:textId="2F4DAB79" w:rsidR="00185DF0" w:rsidRDefault="005460F6" w:rsidP="000D7EF4">
            <w:pPr>
              <w:pStyle w:val="Dalodstavce"/>
              <w:numPr>
                <w:ilvl w:val="0"/>
                <w:numId w:val="21"/>
              </w:numPr>
              <w:spacing w:before="0" w:after="0"/>
              <w:ind w:left="530"/>
              <w:jc w:val="left"/>
              <w:rPr>
                <w:rFonts w:asciiTheme="minorHAnsi" w:hAnsiTheme="minorHAnsi"/>
              </w:rPr>
            </w:pPr>
            <w:r>
              <w:rPr>
                <w:rFonts w:asciiTheme="minorHAnsi" w:hAnsiTheme="minorHAnsi"/>
              </w:rPr>
              <w:t>Neznámá vize firmy a obchodní stra</w:t>
            </w:r>
            <w:r w:rsidR="00FF1D62">
              <w:rPr>
                <w:rFonts w:asciiTheme="minorHAnsi" w:hAnsiTheme="minorHAnsi"/>
              </w:rPr>
              <w:t>tegie</w:t>
            </w:r>
          </w:p>
          <w:p w14:paraId="7C9E3DAF" w14:textId="594E9DA1" w:rsidR="00FF1D62" w:rsidRDefault="00FF1D62" w:rsidP="000D7EF4">
            <w:pPr>
              <w:pStyle w:val="Dalodstavce"/>
              <w:numPr>
                <w:ilvl w:val="0"/>
                <w:numId w:val="21"/>
              </w:numPr>
              <w:spacing w:before="0" w:after="0"/>
              <w:ind w:left="530"/>
              <w:jc w:val="left"/>
              <w:rPr>
                <w:rFonts w:asciiTheme="minorHAnsi" w:hAnsiTheme="minorHAnsi"/>
              </w:rPr>
            </w:pPr>
            <w:r>
              <w:rPr>
                <w:rFonts w:asciiTheme="minorHAnsi" w:hAnsiTheme="minorHAnsi"/>
              </w:rPr>
              <w:t>Nedostatečná marketingová podpora a nedostatečně známá značka</w:t>
            </w:r>
          </w:p>
          <w:p w14:paraId="49CC655C" w14:textId="1237AC8B" w:rsidR="00FF1D62" w:rsidRDefault="001C1559" w:rsidP="000D7EF4">
            <w:pPr>
              <w:pStyle w:val="Dalodstavce"/>
              <w:numPr>
                <w:ilvl w:val="0"/>
                <w:numId w:val="21"/>
              </w:numPr>
              <w:spacing w:before="0" w:after="0"/>
              <w:ind w:left="530"/>
              <w:jc w:val="left"/>
              <w:rPr>
                <w:rFonts w:asciiTheme="minorHAnsi" w:hAnsiTheme="minorHAnsi"/>
              </w:rPr>
            </w:pPr>
            <w:r>
              <w:rPr>
                <w:rFonts w:asciiTheme="minorHAnsi" w:hAnsiTheme="minorHAnsi"/>
              </w:rPr>
              <w:t xml:space="preserve">Nedostatek </w:t>
            </w:r>
            <w:r w:rsidR="00B27401">
              <w:rPr>
                <w:rFonts w:asciiTheme="minorHAnsi" w:hAnsiTheme="minorHAnsi"/>
              </w:rPr>
              <w:t>zaměstnanců</w:t>
            </w:r>
          </w:p>
          <w:p w14:paraId="1592EE47" w14:textId="77777777" w:rsidR="00185DF0" w:rsidRDefault="00B27401" w:rsidP="000D7EF4">
            <w:pPr>
              <w:pStyle w:val="Dalodstavce"/>
              <w:numPr>
                <w:ilvl w:val="0"/>
                <w:numId w:val="21"/>
              </w:numPr>
              <w:spacing w:before="0" w:after="0"/>
              <w:ind w:left="530"/>
              <w:jc w:val="left"/>
              <w:rPr>
                <w:rFonts w:asciiTheme="minorHAnsi" w:hAnsiTheme="minorHAnsi"/>
              </w:rPr>
            </w:pPr>
            <w:r w:rsidRPr="00B27401">
              <w:rPr>
                <w:rFonts w:asciiTheme="minorHAnsi" w:hAnsiTheme="minorHAnsi"/>
              </w:rPr>
              <w:t>Nedostatečně formalizované procesní řízení</w:t>
            </w:r>
          </w:p>
          <w:p w14:paraId="2925D71C" w14:textId="46E50282" w:rsidR="00E81718" w:rsidRPr="0077144C" w:rsidRDefault="00E81718" w:rsidP="000D7EF4">
            <w:pPr>
              <w:pStyle w:val="Dalodstavce"/>
              <w:numPr>
                <w:ilvl w:val="0"/>
                <w:numId w:val="21"/>
              </w:numPr>
              <w:spacing w:before="0" w:after="0"/>
              <w:ind w:left="530"/>
              <w:jc w:val="left"/>
              <w:rPr>
                <w:rFonts w:asciiTheme="minorHAnsi" w:hAnsiTheme="minorHAnsi"/>
              </w:rPr>
            </w:pPr>
            <w:r>
              <w:rPr>
                <w:rFonts w:asciiTheme="minorHAnsi" w:hAnsiTheme="minorHAnsi"/>
              </w:rPr>
              <w:t xml:space="preserve">Nedostatek financí a strategie pro </w:t>
            </w:r>
            <w:r w:rsidR="00650564">
              <w:rPr>
                <w:rFonts w:asciiTheme="minorHAnsi" w:hAnsiTheme="minorHAnsi"/>
              </w:rPr>
              <w:t>expanzi do zahraničí</w:t>
            </w:r>
          </w:p>
        </w:tc>
      </w:tr>
      <w:tr w:rsidR="0077144C" w:rsidRPr="0077144C" w14:paraId="605F8DD4" w14:textId="77777777" w:rsidTr="0077144C">
        <w:trPr>
          <w:cantSplit/>
          <w:trHeight w:val="2955"/>
          <w:jc w:val="left"/>
        </w:trPr>
        <w:tc>
          <w:tcPr>
            <w:tcW w:w="600" w:type="dxa"/>
            <w:shd w:val="clear" w:color="auto" w:fill="D9E2F3" w:themeFill="accent5" w:themeFillTint="33"/>
            <w:textDirection w:val="btLr"/>
          </w:tcPr>
          <w:p w14:paraId="1F0754CF" w14:textId="00D189AF" w:rsidR="00185DF0" w:rsidRPr="0077144C" w:rsidRDefault="00192FBD" w:rsidP="0077144C">
            <w:pPr>
              <w:pStyle w:val="Dalodstavce"/>
              <w:spacing w:before="0" w:after="0"/>
              <w:ind w:left="113" w:right="113" w:firstLine="0"/>
              <w:jc w:val="center"/>
              <w:rPr>
                <w:rFonts w:asciiTheme="minorHAnsi" w:hAnsiTheme="minorHAnsi"/>
              </w:rPr>
            </w:pPr>
            <w:r w:rsidRPr="0077144C">
              <w:rPr>
                <w:rFonts w:asciiTheme="minorHAnsi" w:hAnsiTheme="minorHAnsi"/>
              </w:rPr>
              <w:t>VNĚJŠÍ PROSTŘEDÍ</w:t>
            </w:r>
          </w:p>
        </w:tc>
        <w:tc>
          <w:tcPr>
            <w:tcW w:w="4506" w:type="dxa"/>
            <w:vAlign w:val="top"/>
          </w:tcPr>
          <w:p w14:paraId="36FE468B" w14:textId="27707367" w:rsidR="00185DF0" w:rsidRPr="0077144C" w:rsidRDefault="00E36568" w:rsidP="0077144C">
            <w:pPr>
              <w:pStyle w:val="Dalodstavce"/>
              <w:spacing w:before="0" w:after="0"/>
              <w:ind w:firstLine="0"/>
              <w:jc w:val="left"/>
              <w:rPr>
                <w:rFonts w:asciiTheme="minorHAnsi" w:hAnsiTheme="minorHAnsi"/>
                <w:b/>
                <w:bCs/>
              </w:rPr>
            </w:pPr>
            <w:r w:rsidRPr="0077144C">
              <w:rPr>
                <w:rFonts w:asciiTheme="minorHAnsi" w:hAnsiTheme="minorHAnsi"/>
                <w:b/>
                <w:bCs/>
              </w:rPr>
              <w:t>PŘÍLEŽITOSTI (O)</w:t>
            </w:r>
          </w:p>
          <w:p w14:paraId="25A88C3E" w14:textId="7D0ABD0F" w:rsidR="0077144C" w:rsidRDefault="00D87997" w:rsidP="000D7EF4">
            <w:pPr>
              <w:pStyle w:val="Dalodstavce"/>
              <w:numPr>
                <w:ilvl w:val="0"/>
                <w:numId w:val="21"/>
              </w:numPr>
              <w:spacing w:before="0" w:after="0"/>
              <w:ind w:left="530"/>
              <w:jc w:val="left"/>
              <w:rPr>
                <w:rFonts w:asciiTheme="minorHAnsi" w:hAnsiTheme="minorHAnsi"/>
              </w:rPr>
            </w:pPr>
            <w:r>
              <w:rPr>
                <w:rFonts w:asciiTheme="minorHAnsi" w:hAnsiTheme="minorHAnsi"/>
              </w:rPr>
              <w:t xml:space="preserve">Přechod na zelenou energii v automobilovém průmyslu a </w:t>
            </w:r>
            <w:r w:rsidR="00FF760A">
              <w:rPr>
                <w:rFonts w:asciiTheme="minorHAnsi" w:hAnsiTheme="minorHAnsi"/>
              </w:rPr>
              <w:t>s tím spojené dotační příležitosti</w:t>
            </w:r>
          </w:p>
          <w:p w14:paraId="4BFEBEF6" w14:textId="53AB39AA" w:rsidR="00B27401" w:rsidRDefault="00B27401" w:rsidP="000D7EF4">
            <w:pPr>
              <w:pStyle w:val="Dalodstavce"/>
              <w:numPr>
                <w:ilvl w:val="0"/>
                <w:numId w:val="21"/>
              </w:numPr>
              <w:spacing w:before="0" w:after="0"/>
              <w:ind w:left="530"/>
              <w:jc w:val="left"/>
              <w:rPr>
                <w:rFonts w:asciiTheme="minorHAnsi" w:hAnsiTheme="minorHAnsi"/>
              </w:rPr>
            </w:pPr>
            <w:r>
              <w:rPr>
                <w:rFonts w:asciiTheme="minorHAnsi" w:hAnsiTheme="minorHAnsi"/>
              </w:rPr>
              <w:t>Rychle rostoucí trh, nové technologie a objevy</w:t>
            </w:r>
          </w:p>
          <w:p w14:paraId="7FE443B1" w14:textId="31C384CB" w:rsidR="00185DF0" w:rsidRPr="00D66CB8" w:rsidRDefault="00D66CB8" w:rsidP="000D7EF4">
            <w:pPr>
              <w:pStyle w:val="Dalodstavce"/>
              <w:numPr>
                <w:ilvl w:val="0"/>
                <w:numId w:val="21"/>
              </w:numPr>
              <w:spacing w:before="0" w:after="0"/>
              <w:ind w:left="530"/>
              <w:jc w:val="left"/>
              <w:rPr>
                <w:rFonts w:asciiTheme="minorHAnsi" w:hAnsiTheme="minorHAnsi"/>
              </w:rPr>
            </w:pPr>
            <w:r w:rsidRPr="00D66CB8">
              <w:rPr>
                <w:rFonts w:asciiTheme="minorHAnsi" w:hAnsiTheme="minorHAnsi"/>
              </w:rPr>
              <w:t>Vhodná vládní nařízení a nařízení EU podporující oblasti regionálního rozvoje a rozvoje v oblasti technologických inovací</w:t>
            </w:r>
          </w:p>
          <w:p w14:paraId="774D437E" w14:textId="616AC695" w:rsidR="00185DF0" w:rsidRPr="0077144C" w:rsidRDefault="00185DF0" w:rsidP="00575968">
            <w:pPr>
              <w:pStyle w:val="Dalodstavce"/>
              <w:spacing w:before="0" w:after="0"/>
              <w:ind w:firstLine="0"/>
              <w:jc w:val="left"/>
              <w:rPr>
                <w:rFonts w:asciiTheme="minorHAnsi" w:hAnsiTheme="minorHAnsi"/>
              </w:rPr>
            </w:pPr>
          </w:p>
        </w:tc>
        <w:tc>
          <w:tcPr>
            <w:tcW w:w="4507" w:type="dxa"/>
            <w:vAlign w:val="top"/>
          </w:tcPr>
          <w:p w14:paraId="6D5A16A6" w14:textId="723EE02E" w:rsidR="00185DF0" w:rsidRPr="0077144C" w:rsidRDefault="00E36568" w:rsidP="0077144C">
            <w:pPr>
              <w:pStyle w:val="Dalodstavce"/>
              <w:spacing w:before="0" w:after="0"/>
              <w:ind w:firstLine="0"/>
              <w:jc w:val="left"/>
              <w:rPr>
                <w:rFonts w:asciiTheme="minorHAnsi" w:hAnsiTheme="minorHAnsi"/>
                <w:b/>
                <w:bCs/>
              </w:rPr>
            </w:pPr>
            <w:r w:rsidRPr="0077144C">
              <w:rPr>
                <w:rFonts w:asciiTheme="minorHAnsi" w:hAnsiTheme="minorHAnsi"/>
                <w:b/>
                <w:bCs/>
              </w:rPr>
              <w:t>HROZBY (T)</w:t>
            </w:r>
          </w:p>
          <w:p w14:paraId="5E5AA698" w14:textId="529C3D4E" w:rsidR="00185DF0" w:rsidRDefault="00021CA6" w:rsidP="000D7EF4">
            <w:pPr>
              <w:pStyle w:val="Dalodstavce"/>
              <w:numPr>
                <w:ilvl w:val="0"/>
                <w:numId w:val="21"/>
              </w:numPr>
              <w:spacing w:before="0" w:after="0"/>
              <w:ind w:left="530"/>
              <w:jc w:val="left"/>
              <w:rPr>
                <w:rFonts w:asciiTheme="minorHAnsi" w:hAnsiTheme="minorHAnsi"/>
              </w:rPr>
            </w:pPr>
            <w:r>
              <w:rPr>
                <w:rFonts w:asciiTheme="minorHAnsi" w:hAnsiTheme="minorHAnsi"/>
              </w:rPr>
              <w:t>Závislost automobilového průmyslu na ekonomickém cyklu</w:t>
            </w:r>
          </w:p>
          <w:p w14:paraId="4E70CE4D" w14:textId="28B8FA30" w:rsidR="00B27401" w:rsidRDefault="00125C78" w:rsidP="000D7EF4">
            <w:pPr>
              <w:pStyle w:val="Dalodstavce"/>
              <w:numPr>
                <w:ilvl w:val="0"/>
                <w:numId w:val="21"/>
              </w:numPr>
              <w:spacing w:before="0" w:after="0"/>
              <w:ind w:left="530"/>
              <w:jc w:val="left"/>
              <w:rPr>
                <w:rFonts w:asciiTheme="minorHAnsi" w:hAnsiTheme="minorHAnsi"/>
              </w:rPr>
            </w:pPr>
            <w:r>
              <w:rPr>
                <w:rFonts w:asciiTheme="minorHAnsi" w:hAnsiTheme="minorHAnsi"/>
              </w:rPr>
              <w:t>Silná konkurence v oblasti výroby pracovních oděvů</w:t>
            </w:r>
          </w:p>
          <w:p w14:paraId="20D393A0" w14:textId="0D95CAE3" w:rsidR="00125C78" w:rsidRDefault="00125C78" w:rsidP="000D7EF4">
            <w:pPr>
              <w:pStyle w:val="Dalodstavce"/>
              <w:numPr>
                <w:ilvl w:val="0"/>
                <w:numId w:val="21"/>
              </w:numPr>
              <w:spacing w:before="0" w:after="0"/>
              <w:ind w:left="530"/>
              <w:jc w:val="left"/>
              <w:rPr>
                <w:rFonts w:asciiTheme="minorHAnsi" w:hAnsiTheme="minorHAnsi"/>
              </w:rPr>
            </w:pPr>
            <w:r>
              <w:rPr>
                <w:rFonts w:asciiTheme="minorHAnsi" w:hAnsiTheme="minorHAnsi"/>
              </w:rPr>
              <w:t xml:space="preserve">Potenciální konkurence způsobená robotizací </w:t>
            </w:r>
            <w:r w:rsidR="00E81718">
              <w:rPr>
                <w:rFonts w:asciiTheme="minorHAnsi" w:hAnsiTheme="minorHAnsi"/>
              </w:rPr>
              <w:t xml:space="preserve">a automatizací </w:t>
            </w:r>
            <w:r>
              <w:rPr>
                <w:rFonts w:asciiTheme="minorHAnsi" w:hAnsiTheme="minorHAnsi"/>
              </w:rPr>
              <w:t>výroby</w:t>
            </w:r>
          </w:p>
          <w:p w14:paraId="176646F0" w14:textId="1E8FF114" w:rsidR="00650564" w:rsidRDefault="00650564" w:rsidP="000D7EF4">
            <w:pPr>
              <w:pStyle w:val="Dalodstavce"/>
              <w:numPr>
                <w:ilvl w:val="0"/>
                <w:numId w:val="21"/>
              </w:numPr>
              <w:spacing w:before="0" w:after="0"/>
              <w:ind w:left="530"/>
              <w:jc w:val="left"/>
              <w:rPr>
                <w:rFonts w:asciiTheme="minorHAnsi" w:hAnsiTheme="minorHAnsi"/>
              </w:rPr>
            </w:pPr>
            <w:r>
              <w:rPr>
                <w:rFonts w:asciiTheme="minorHAnsi" w:hAnsiTheme="minorHAnsi"/>
              </w:rPr>
              <w:t>Demografie – stárnutí populace a stěhování do měst</w:t>
            </w:r>
          </w:p>
          <w:p w14:paraId="519450BA" w14:textId="5A4D7349" w:rsidR="00185DF0" w:rsidRDefault="00650564" w:rsidP="000D7EF4">
            <w:pPr>
              <w:pStyle w:val="Dalodstavce"/>
              <w:numPr>
                <w:ilvl w:val="0"/>
                <w:numId w:val="21"/>
              </w:numPr>
              <w:spacing w:before="0" w:after="0"/>
              <w:ind w:left="530"/>
              <w:jc w:val="left"/>
              <w:rPr>
                <w:rFonts w:asciiTheme="minorHAnsi" w:hAnsiTheme="minorHAnsi"/>
              </w:rPr>
            </w:pPr>
            <w:r w:rsidRPr="00D66CB8">
              <w:rPr>
                <w:rFonts w:asciiTheme="minorHAnsi" w:hAnsiTheme="minorHAnsi"/>
              </w:rPr>
              <w:t>Snižování využívání automobilů</w:t>
            </w:r>
          </w:p>
          <w:p w14:paraId="6A231EC0" w14:textId="2797AEE7" w:rsidR="00185DF0" w:rsidRPr="0077144C" w:rsidRDefault="00185DF0" w:rsidP="0077144C">
            <w:pPr>
              <w:pStyle w:val="Dalodstavce"/>
              <w:spacing w:before="0" w:after="0"/>
              <w:jc w:val="left"/>
              <w:rPr>
                <w:rFonts w:asciiTheme="minorHAnsi" w:hAnsiTheme="minorHAnsi"/>
              </w:rPr>
            </w:pPr>
          </w:p>
        </w:tc>
      </w:tr>
    </w:tbl>
    <w:p w14:paraId="69D75464" w14:textId="7C709C3D" w:rsidR="001B6723" w:rsidRPr="001B6723" w:rsidRDefault="00976521" w:rsidP="001B6723">
      <w:pPr>
        <w:pStyle w:val="Odstavec1"/>
      </w:pPr>
      <w:r>
        <w:t xml:space="preserve">Tab. 1: </w:t>
      </w:r>
      <w:r w:rsidR="0006529E">
        <w:t>SWOT matice vycházející z analýzy podnikového prostředí</w:t>
      </w:r>
    </w:p>
    <w:p w14:paraId="28EC22BD" w14:textId="3712A18D" w:rsidR="00200FAE" w:rsidRDefault="00200FAE" w:rsidP="00200FAE">
      <w:pPr>
        <w:pStyle w:val="Dalodstavce"/>
      </w:pPr>
    </w:p>
    <w:p w14:paraId="339F4F67" w14:textId="13185D09" w:rsidR="00522501" w:rsidRDefault="00522501" w:rsidP="00200FAE">
      <w:pPr>
        <w:pStyle w:val="Dalodstavce"/>
      </w:pPr>
    </w:p>
    <w:p w14:paraId="7D939424" w14:textId="77777777" w:rsidR="00D82901" w:rsidRDefault="00D82901" w:rsidP="00200FAE">
      <w:pPr>
        <w:pStyle w:val="Dalodstavce"/>
      </w:pPr>
    </w:p>
    <w:p w14:paraId="25EF59BA" w14:textId="77777777" w:rsidR="00D82901" w:rsidRDefault="00D82901" w:rsidP="00200FAE">
      <w:pPr>
        <w:pStyle w:val="Dalodstavce"/>
      </w:pPr>
    </w:p>
    <w:p w14:paraId="3B08E3C2" w14:textId="77777777" w:rsidR="00D82901" w:rsidRDefault="00D82901" w:rsidP="00200FAE">
      <w:pPr>
        <w:pStyle w:val="Dalodstavce"/>
      </w:pPr>
    </w:p>
    <w:p w14:paraId="6349E4CB" w14:textId="331BFF12" w:rsidR="00D82901" w:rsidRDefault="00BA6F6C" w:rsidP="00BD3EB9">
      <w:pPr>
        <w:pStyle w:val="Nadpis1"/>
        <w:numPr>
          <w:ilvl w:val="0"/>
          <w:numId w:val="16"/>
        </w:numPr>
      </w:pPr>
      <w:bookmarkStart w:id="10" w:name="_Toc134175258"/>
      <w:r>
        <w:lastRenderedPageBreak/>
        <w:t>A</w:t>
      </w:r>
      <w:r w:rsidR="003146F2">
        <w:t>nalýza rozvahy</w:t>
      </w:r>
      <w:r>
        <w:t xml:space="preserve"> a </w:t>
      </w:r>
      <w:r w:rsidR="00890095">
        <w:t>výkazu zisku a ztrát</w:t>
      </w:r>
      <w:bookmarkEnd w:id="10"/>
    </w:p>
    <w:p w14:paraId="2AC931F0" w14:textId="77777777" w:rsidR="00870923" w:rsidRDefault="008E0E92" w:rsidP="008E0E92">
      <w:pPr>
        <w:pStyle w:val="Odstavec1"/>
      </w:pPr>
      <w:r>
        <w:t xml:space="preserve">V této kapitole </w:t>
      </w:r>
      <w:r w:rsidR="00F673D2">
        <w:t>bude zpracována horizontální a vertikální analýza rozvahy a poté horizontální a vertikální analýza výkazu zisku a ztrát</w:t>
      </w:r>
      <w:r w:rsidR="002C3346">
        <w:t xml:space="preserve"> z posledních 5 let</w:t>
      </w:r>
      <w:r w:rsidR="00FC510A">
        <w:t xml:space="preserve"> účetních záznamů podniku. Pro kontext a hlubší pochopení vývoje podnikových financí bude na úvod přidán </w:t>
      </w:r>
      <w:r w:rsidR="00657462">
        <w:t>nástin dlouhodobého vývoje aktiv a pasiv</w:t>
      </w:r>
      <w:r w:rsidR="00212D6F">
        <w:t xml:space="preserve"> od roku 2002 do roku 2021.</w:t>
      </w:r>
    </w:p>
    <w:p w14:paraId="3DB77D1D" w14:textId="0CFDAF60" w:rsidR="008E0E92" w:rsidRDefault="006252A6" w:rsidP="00870923">
      <w:pPr>
        <w:pStyle w:val="Dalodstavce"/>
      </w:pPr>
      <w:r>
        <w:t xml:space="preserve">Dle </w:t>
      </w:r>
      <w:r w:rsidR="007A3A8B">
        <w:t>Z</w:t>
      </w:r>
      <w:r>
        <w:t>ákona</w:t>
      </w:r>
      <w:r w:rsidR="007A3A8B">
        <w:t xml:space="preserve"> o účetnictví</w:t>
      </w:r>
      <w:r>
        <w:t xml:space="preserve"> </w:t>
      </w:r>
      <w:r w:rsidR="00870923">
        <w:t xml:space="preserve">č. 563/1991 Sb. </w:t>
      </w:r>
      <w:r w:rsidR="00C3703D">
        <w:t>m</w:t>
      </w:r>
      <w:r w:rsidR="00E61F7C">
        <w:t xml:space="preserve">usí každá právnická osoba vést účetnictví </w:t>
      </w:r>
      <w:r w:rsidR="00521A02">
        <w:t>a z vedení účetnictví jí vypl</w:t>
      </w:r>
      <w:r w:rsidR="002108AF">
        <w:t>ý</w:t>
      </w:r>
      <w:r w:rsidR="00521A02">
        <w:t>vá povinnost vytvořit a zveřejnit účetní uzávěrku</w:t>
      </w:r>
      <w:r w:rsidR="00301CB9">
        <w:t>.</w:t>
      </w:r>
      <w:r w:rsidR="002108AF">
        <w:t xml:space="preserve"> Tato účetní závěrka obsahuje </w:t>
      </w:r>
      <w:r w:rsidR="00BA4DB2">
        <w:t xml:space="preserve">rozvahu (bilanci), </w:t>
      </w:r>
      <w:r w:rsidR="00E9467A">
        <w:t>výkaz zisku a ztrát a přílohu k</w:t>
      </w:r>
      <w:r w:rsidR="000071ED">
        <w:t xml:space="preserve"> těmto dokumentům. </w:t>
      </w:r>
      <w:r w:rsidR="00935389">
        <w:t xml:space="preserve"> Účetní rozvaha obsahuje informace o aktivech a pasivech společnosti</w:t>
      </w:r>
      <w:r w:rsidR="00F63326">
        <w:t xml:space="preserve">, tedy o majetku společnosti a zdrojích jeho krytí. </w:t>
      </w:r>
      <w:r w:rsidR="00A5425C">
        <w:t>Výkaz zisku</w:t>
      </w:r>
      <w:r w:rsidR="00831D18">
        <w:t xml:space="preserve"> a ztrát se zaměřuje na finanční výkonnost podniku </w:t>
      </w:r>
      <w:r w:rsidR="00745821">
        <w:t>a obsahuje tzv. tokové veličiny</w:t>
      </w:r>
      <w:r w:rsidR="00FA56EB">
        <w:t>, tedy veličiny platné za určité období</w:t>
      </w:r>
      <w:r w:rsidR="00745821">
        <w:t xml:space="preserve">, narozdíl od statických veličin zobrazených v rozvaze. </w:t>
      </w:r>
    </w:p>
    <w:p w14:paraId="0B20C0BE" w14:textId="7B3DA992" w:rsidR="000565B2" w:rsidRDefault="000565B2" w:rsidP="00246080">
      <w:pPr>
        <w:pStyle w:val="Dalodstavce"/>
        <w:jc w:val="right"/>
      </w:pPr>
      <w:r>
        <w:rPr>
          <w:noProof/>
        </w:rPr>
        <w:drawing>
          <wp:anchor distT="0" distB="0" distL="114300" distR="114300" simplePos="0" relativeHeight="251658243" behindDoc="1" locked="0" layoutInCell="1" allowOverlap="1" wp14:anchorId="338E82B3" wp14:editId="38535879">
            <wp:simplePos x="0" y="0"/>
            <wp:positionH relativeFrom="column">
              <wp:posOffset>-628477</wp:posOffset>
            </wp:positionH>
            <wp:positionV relativeFrom="paragraph">
              <wp:posOffset>419504</wp:posOffset>
            </wp:positionV>
            <wp:extent cx="6130290" cy="3217545"/>
            <wp:effectExtent l="0" t="0" r="3810" b="0"/>
            <wp:wrapTight wrapText="bothSides">
              <wp:wrapPolygon edited="0">
                <wp:start x="0" y="0"/>
                <wp:lineTo x="0" y="21485"/>
                <wp:lineTo x="21569" y="21485"/>
                <wp:lineTo x="21569"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30290" cy="3217545"/>
                    </a:xfrm>
                    <a:prstGeom prst="rect">
                      <a:avLst/>
                    </a:prstGeom>
                  </pic:spPr>
                </pic:pic>
              </a:graphicData>
            </a:graphic>
            <wp14:sizeRelH relativeFrom="margin">
              <wp14:pctWidth>0</wp14:pctWidth>
            </wp14:sizeRelH>
            <wp14:sizeRelV relativeFrom="margin">
              <wp14:pctHeight>0</wp14:pctHeight>
            </wp14:sizeRelV>
          </wp:anchor>
        </w:drawing>
      </w:r>
    </w:p>
    <w:p w14:paraId="10A94F84" w14:textId="0B121D29" w:rsidR="00A30625" w:rsidRDefault="00246080" w:rsidP="00246080">
      <w:pPr>
        <w:pStyle w:val="Dalodstavce"/>
        <w:jc w:val="right"/>
      </w:pPr>
      <w:r>
        <w:t xml:space="preserve">Graf </w:t>
      </w:r>
      <w:r w:rsidR="00396880">
        <w:t>2: Dlouhodobý vývoj aktiv</w:t>
      </w:r>
    </w:p>
    <w:p w14:paraId="3E6785C4" w14:textId="1185E746" w:rsidR="00396880" w:rsidRDefault="00396880" w:rsidP="00703BB0">
      <w:pPr>
        <w:pStyle w:val="Dalodstavce"/>
        <w:ind w:firstLine="0"/>
      </w:pPr>
      <w:r>
        <w:rPr>
          <w:noProof/>
        </w:rPr>
        <w:lastRenderedPageBreak/>
        <w:drawing>
          <wp:anchor distT="0" distB="0" distL="114300" distR="114300" simplePos="0" relativeHeight="251658244" behindDoc="1" locked="0" layoutInCell="1" allowOverlap="1" wp14:anchorId="59061F33" wp14:editId="08A49B9B">
            <wp:simplePos x="0" y="0"/>
            <wp:positionH relativeFrom="column">
              <wp:posOffset>-1190625</wp:posOffset>
            </wp:positionH>
            <wp:positionV relativeFrom="paragraph">
              <wp:posOffset>577</wp:posOffset>
            </wp:positionV>
            <wp:extent cx="6859905" cy="2661285"/>
            <wp:effectExtent l="0" t="0" r="0" b="5715"/>
            <wp:wrapTight wrapText="bothSides">
              <wp:wrapPolygon edited="0">
                <wp:start x="0" y="0"/>
                <wp:lineTo x="0" y="21543"/>
                <wp:lineTo x="21554" y="21543"/>
                <wp:lineTo x="21554"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9905" cy="2661285"/>
                    </a:xfrm>
                    <a:prstGeom prst="rect">
                      <a:avLst/>
                    </a:prstGeom>
                  </pic:spPr>
                </pic:pic>
              </a:graphicData>
            </a:graphic>
            <wp14:sizeRelH relativeFrom="margin">
              <wp14:pctWidth>0</wp14:pctWidth>
            </wp14:sizeRelH>
            <wp14:sizeRelV relativeFrom="margin">
              <wp14:pctHeight>0</wp14:pctHeight>
            </wp14:sizeRelV>
          </wp:anchor>
        </w:drawing>
      </w:r>
    </w:p>
    <w:p w14:paraId="70E8A016" w14:textId="03C4AB37" w:rsidR="00A30625" w:rsidRDefault="00396880" w:rsidP="00396880">
      <w:pPr>
        <w:pStyle w:val="Dalodstavce"/>
        <w:jc w:val="right"/>
      </w:pPr>
      <w:r>
        <w:t xml:space="preserve">Graf 3: </w:t>
      </w:r>
      <w:r w:rsidR="00357F74">
        <w:t>Dlouhodobý vývoj pasiv</w:t>
      </w:r>
    </w:p>
    <w:p w14:paraId="60C2E85D" w14:textId="3668FD1B" w:rsidR="00121855" w:rsidRDefault="00AA705A" w:rsidP="00546B84">
      <w:pPr>
        <w:pStyle w:val="Dalodstavce"/>
        <w:spacing w:before="360"/>
        <w:ind w:firstLine="0"/>
      </w:pPr>
      <w:r>
        <w:t xml:space="preserve">Jak </w:t>
      </w:r>
      <w:r w:rsidR="00A82061">
        <w:t xml:space="preserve">bylo již naznačeno v analýze podnikového prostředí, </w:t>
      </w:r>
      <w:r w:rsidR="006463F5">
        <w:t xml:space="preserve">první léta činnosti podniku nebyla </w:t>
      </w:r>
      <w:r w:rsidR="00DB53C1">
        <w:t>spojena s velkým úspěchem</w:t>
      </w:r>
      <w:r w:rsidR="0028623A">
        <w:t>. Cizí zdroje</w:t>
      </w:r>
      <w:r w:rsidR="00142CD9">
        <w:t xml:space="preserve"> významně přek</w:t>
      </w:r>
      <w:r w:rsidR="008C5036">
        <w:t>račovaly vlastní kapitál podniku.</w:t>
      </w:r>
      <w:r w:rsidR="004842E3">
        <w:t xml:space="preserve"> Výsledek hospodaření dosahoval záporných hodnot a situace se stala tak kritickou, že v roce 2004 </w:t>
      </w:r>
      <w:r w:rsidR="00055BC3">
        <w:t xml:space="preserve">společnosti hrozila exekuce, jelikož nebyla schopna </w:t>
      </w:r>
      <w:r w:rsidR="004C67B2">
        <w:t xml:space="preserve">splácet své závazky. </w:t>
      </w:r>
      <w:r w:rsidR="008C5402">
        <w:t>T</w:t>
      </w:r>
      <w:r w:rsidR="00556152">
        <w:t xml:space="preserve">omuto nebezpečí se však společnosti podařilo vyhnout a </w:t>
      </w:r>
      <w:r w:rsidR="0089385E">
        <w:t>zejména díky svému strategickému partnerství s Jadernou elektrárnou Dukovany a dalšími jadernými elektrárnami v Česku i na Slovensku se udržela na trhu.</w:t>
      </w:r>
      <w:r w:rsidR="00005ADD">
        <w:t xml:space="preserve"> Následovalo však období stagnace, které </w:t>
      </w:r>
      <w:r w:rsidR="000E09F0">
        <w:t xml:space="preserve">pokračovalo až do roku 2010, </w:t>
      </w:r>
      <w:r w:rsidR="00121855">
        <w:t xml:space="preserve">kdy se ve společnosti výrazně snížil počet zaměstnanců. </w:t>
      </w:r>
      <w:r w:rsidR="00DB374D">
        <w:t xml:space="preserve">Tato situace byla výrazně ovlivněna krizí z roku 2008. </w:t>
      </w:r>
      <w:r w:rsidR="00121855">
        <w:t>Následoval obrat společnosti k většímu zaměření na zpracování součástek pro automobilový průmysl, který se ukázal jako velmi ziskový,</w:t>
      </w:r>
      <w:r w:rsidR="005E6BEE">
        <w:t xml:space="preserve"> načež společnost postupně rozšiřovala své kapacity výroby a </w:t>
      </w:r>
      <w:r w:rsidR="001348DE">
        <w:t xml:space="preserve">v roce 2014 dokonce rozšířila svoji výrobní halu. </w:t>
      </w:r>
      <w:r w:rsidR="009A0D8A">
        <w:t xml:space="preserve">Poté následovala velmi úspěšná léta spojená s kladným a poměrně vysokým hospodářským výsledkem. </w:t>
      </w:r>
      <w:r w:rsidR="00772774">
        <w:t xml:space="preserve">Poslední léta budou zpracována v následujících analýzách. </w:t>
      </w:r>
    </w:p>
    <w:p w14:paraId="49173C18" w14:textId="77777777" w:rsidR="00703BB0" w:rsidRDefault="00703BB0" w:rsidP="00396880">
      <w:pPr>
        <w:pStyle w:val="Dalodstavce"/>
        <w:jc w:val="right"/>
      </w:pPr>
    </w:p>
    <w:p w14:paraId="23BC1D53" w14:textId="77777777" w:rsidR="00357F74" w:rsidRDefault="00357F74" w:rsidP="00396880">
      <w:pPr>
        <w:pStyle w:val="Dalodstavce"/>
        <w:jc w:val="right"/>
      </w:pPr>
    </w:p>
    <w:p w14:paraId="4CD6E1E1" w14:textId="77777777" w:rsidR="00357F74" w:rsidRPr="008E0E92" w:rsidRDefault="00357F74" w:rsidP="00357F74">
      <w:pPr>
        <w:pStyle w:val="Dalodstavce"/>
      </w:pPr>
    </w:p>
    <w:p w14:paraId="3907FDAB" w14:textId="0411304F" w:rsidR="008E20D5" w:rsidRDefault="003F7028" w:rsidP="0064721E">
      <w:pPr>
        <w:pStyle w:val="Nadpis2"/>
        <w:numPr>
          <w:ilvl w:val="1"/>
          <w:numId w:val="16"/>
        </w:numPr>
      </w:pPr>
      <w:bookmarkStart w:id="11" w:name="_Toc134175259"/>
      <w:r w:rsidRPr="003F7028">
        <w:rPr>
          <w:noProof/>
        </w:rPr>
        <w:lastRenderedPageBreak/>
        <w:drawing>
          <wp:anchor distT="0" distB="0" distL="114300" distR="114300" simplePos="0" relativeHeight="251658245" behindDoc="1" locked="0" layoutInCell="1" allowOverlap="1" wp14:anchorId="6E82AB0C" wp14:editId="6616A02F">
            <wp:simplePos x="0" y="0"/>
            <wp:positionH relativeFrom="column">
              <wp:posOffset>-831850</wp:posOffset>
            </wp:positionH>
            <wp:positionV relativeFrom="paragraph">
              <wp:posOffset>480695</wp:posOffset>
            </wp:positionV>
            <wp:extent cx="6699885" cy="1567180"/>
            <wp:effectExtent l="0" t="0" r="5715" b="0"/>
            <wp:wrapTight wrapText="bothSides">
              <wp:wrapPolygon edited="0">
                <wp:start x="0" y="0"/>
                <wp:lineTo x="0" y="21355"/>
                <wp:lineTo x="21577" y="21355"/>
                <wp:lineTo x="21577"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99885" cy="1567180"/>
                    </a:xfrm>
                    <a:prstGeom prst="rect">
                      <a:avLst/>
                    </a:prstGeom>
                  </pic:spPr>
                </pic:pic>
              </a:graphicData>
            </a:graphic>
            <wp14:sizeRelH relativeFrom="margin">
              <wp14:pctWidth>0</wp14:pctWidth>
            </wp14:sizeRelH>
            <wp14:sizeRelV relativeFrom="margin">
              <wp14:pctHeight>0</wp14:pctHeight>
            </wp14:sizeRelV>
          </wp:anchor>
        </w:drawing>
      </w:r>
      <w:r w:rsidR="007B4194">
        <w:t xml:space="preserve">Horizontální </w:t>
      </w:r>
      <w:r w:rsidR="009B08D6">
        <w:t>a vertikální analýza aktiv</w:t>
      </w:r>
      <w:bookmarkEnd w:id="11"/>
    </w:p>
    <w:p w14:paraId="436C13FC" w14:textId="23007FB9" w:rsidR="003F7028" w:rsidRDefault="00B246CB" w:rsidP="003F7028">
      <w:pPr>
        <w:pStyle w:val="Odstavec1"/>
        <w:jc w:val="right"/>
      </w:pPr>
      <w:r w:rsidRPr="00C33696">
        <w:rPr>
          <w:noProof/>
        </w:rPr>
        <w:drawing>
          <wp:anchor distT="0" distB="0" distL="114300" distR="114300" simplePos="0" relativeHeight="251658250" behindDoc="1" locked="0" layoutInCell="1" allowOverlap="1" wp14:anchorId="62CBEC4A" wp14:editId="70BF72F0">
            <wp:simplePos x="0" y="0"/>
            <wp:positionH relativeFrom="column">
              <wp:posOffset>480</wp:posOffset>
            </wp:positionH>
            <wp:positionV relativeFrom="paragraph">
              <wp:posOffset>1974768</wp:posOffset>
            </wp:positionV>
            <wp:extent cx="4676400" cy="2084400"/>
            <wp:effectExtent l="0" t="0" r="0" b="0"/>
            <wp:wrapTight wrapText="bothSides">
              <wp:wrapPolygon edited="0">
                <wp:start x="0" y="0"/>
                <wp:lineTo x="0" y="21455"/>
                <wp:lineTo x="21530" y="21455"/>
                <wp:lineTo x="21530"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76400" cy="2084400"/>
                    </a:xfrm>
                    <a:prstGeom prst="rect">
                      <a:avLst/>
                    </a:prstGeom>
                  </pic:spPr>
                </pic:pic>
              </a:graphicData>
            </a:graphic>
            <wp14:sizeRelH relativeFrom="margin">
              <wp14:pctWidth>0</wp14:pctWidth>
            </wp14:sizeRelH>
            <wp14:sizeRelV relativeFrom="margin">
              <wp14:pctHeight>0</wp14:pctHeight>
            </wp14:sizeRelV>
          </wp:anchor>
        </w:drawing>
      </w:r>
      <w:r w:rsidR="003E00D7">
        <w:t>Tab. 2</w:t>
      </w:r>
      <w:r w:rsidR="003F7028">
        <w:t>:</w:t>
      </w:r>
      <w:r w:rsidR="00367A1C">
        <w:t xml:space="preserve"> Horizontální analýza aktiv </w:t>
      </w:r>
    </w:p>
    <w:p w14:paraId="45CB5B31" w14:textId="3953D104" w:rsidR="00A74F5E" w:rsidRDefault="003E00D7" w:rsidP="00B246CB">
      <w:pPr>
        <w:pStyle w:val="Dalodstavce"/>
        <w:ind w:firstLine="0"/>
        <w:jc w:val="right"/>
      </w:pPr>
      <w:r>
        <w:t>Tab. 3</w:t>
      </w:r>
      <w:r w:rsidR="009B08D6">
        <w:t xml:space="preserve">: </w:t>
      </w:r>
      <w:r w:rsidR="007B4194">
        <w:t xml:space="preserve">Vertikální </w:t>
      </w:r>
      <w:r w:rsidR="00890095">
        <w:t xml:space="preserve">analýza </w:t>
      </w:r>
      <w:r w:rsidR="009B08D6">
        <w:t>aktiv</w:t>
      </w:r>
    </w:p>
    <w:p w14:paraId="5CEE3091" w14:textId="3EBBA33E" w:rsidR="003F7028" w:rsidRPr="003F7028" w:rsidRDefault="00A74F5E" w:rsidP="007D59CA">
      <w:pPr>
        <w:pStyle w:val="Dalodstavce"/>
        <w:ind w:firstLine="0"/>
      </w:pPr>
      <w:r>
        <w:t xml:space="preserve">Z horizontální analýzy aktiv je patrné, že Disting s.r.o. v letech 2017-2019 podstatným způsobem navyšoval svůj dlouhodobý hmotný majetek. Navýšení je způsobené zejména tím, že společnost v těchto letech rozšiřovala své prostory a po zakoupení vedlejšího pozemku současného sídla společnosti vystavěla zcela novou budovu, ve které se nachází dílny jak pro zpracovávání autodílů, tak prostory pro švadleny. Společnost nedrží žádný finanční majetek ani dlouhodobý nehmotný majetek. Z vertikální analýzy aktiv je patrné, že aktiva společnosti byla v roce 2017 tvořena zejména oběžnými aktivy a to ze 72 %. Toto rozložení se do roku 2021 podstatně obrátilo a již v roce 2020 přesáhl dlouhodobý majetek nadpoloviční většinu. Tato změna byla zejména způsobena téměř ztrojnásobením dlouhodobého hmotného majetku stavbou nové budovy a poklesem oběžných aktiv v roce 2020 způsobeným koronavirovou krizí. Pokles oběžných aktiv byl způsoben zejména poklesem pohledávek. </w:t>
      </w:r>
      <w:r>
        <w:lastRenderedPageBreak/>
        <w:t xml:space="preserve">Vidíme také znatelný pokles peněžních prostředků, který začíná v koronavirové krizi, kdy </w:t>
      </w:r>
      <w:r w:rsidR="00697C3F">
        <w:t>došlo</w:t>
      </w:r>
      <w:r>
        <w:t xml:space="preserve"> k poklesu 2 milionů, poté v dochází k poklesu i v roce 2021, který může být způsobený jak doznívajícími následky koronavirové krize, tak nutností splácet úvěry, které si společnost vzala pro stavbu nové budovy. </w:t>
      </w:r>
    </w:p>
    <w:p w14:paraId="7789FED3" w14:textId="6D49E66B" w:rsidR="007B4194" w:rsidRDefault="00681AAA" w:rsidP="0064721E">
      <w:pPr>
        <w:pStyle w:val="Nadpis2"/>
        <w:numPr>
          <w:ilvl w:val="1"/>
          <w:numId w:val="16"/>
        </w:numPr>
      </w:pPr>
      <w:bookmarkStart w:id="12" w:name="_Toc134175260"/>
      <w:r w:rsidRPr="00681AAA">
        <w:rPr>
          <w:noProof/>
        </w:rPr>
        <w:drawing>
          <wp:anchor distT="0" distB="0" distL="114300" distR="114300" simplePos="0" relativeHeight="251658246" behindDoc="1" locked="0" layoutInCell="1" allowOverlap="1" wp14:anchorId="6F2AF5C3" wp14:editId="66CDCE0D">
            <wp:simplePos x="0" y="0"/>
            <wp:positionH relativeFrom="column">
              <wp:posOffset>-1243965</wp:posOffset>
            </wp:positionH>
            <wp:positionV relativeFrom="paragraph">
              <wp:posOffset>638175</wp:posOffset>
            </wp:positionV>
            <wp:extent cx="6816090" cy="1983105"/>
            <wp:effectExtent l="0" t="0" r="3810" b="0"/>
            <wp:wrapTight wrapText="bothSides">
              <wp:wrapPolygon edited="0">
                <wp:start x="0" y="0"/>
                <wp:lineTo x="0" y="21441"/>
                <wp:lineTo x="21572" y="21441"/>
                <wp:lineTo x="21572"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16090" cy="1983105"/>
                    </a:xfrm>
                    <a:prstGeom prst="rect">
                      <a:avLst/>
                    </a:prstGeom>
                  </pic:spPr>
                </pic:pic>
              </a:graphicData>
            </a:graphic>
            <wp14:sizeRelH relativeFrom="margin">
              <wp14:pctWidth>0</wp14:pctWidth>
            </wp14:sizeRelH>
            <wp14:sizeRelV relativeFrom="margin">
              <wp14:pctHeight>0</wp14:pctHeight>
            </wp14:sizeRelV>
          </wp:anchor>
        </w:drawing>
      </w:r>
      <w:r w:rsidR="009B08D6">
        <w:t>Horizontální a vertikální analýza pasiv</w:t>
      </w:r>
      <w:bookmarkEnd w:id="12"/>
      <w:r w:rsidR="007B4194">
        <w:t xml:space="preserve"> </w:t>
      </w:r>
    </w:p>
    <w:p w14:paraId="4BD4AC3D" w14:textId="41D77A80" w:rsidR="00681AAA" w:rsidRDefault="00B246CB" w:rsidP="00681AAA">
      <w:pPr>
        <w:pStyle w:val="Odstavec1"/>
        <w:jc w:val="right"/>
      </w:pPr>
      <w:r w:rsidRPr="00327C1E">
        <w:rPr>
          <w:noProof/>
        </w:rPr>
        <w:drawing>
          <wp:anchor distT="0" distB="0" distL="114300" distR="114300" simplePos="0" relativeHeight="251658247" behindDoc="1" locked="0" layoutInCell="1" allowOverlap="1" wp14:anchorId="05D286A2" wp14:editId="0888C1CA">
            <wp:simplePos x="0" y="0"/>
            <wp:positionH relativeFrom="column">
              <wp:posOffset>-55582</wp:posOffset>
            </wp:positionH>
            <wp:positionV relativeFrom="paragraph">
              <wp:posOffset>2329988</wp:posOffset>
            </wp:positionV>
            <wp:extent cx="4676400" cy="2037600"/>
            <wp:effectExtent l="0" t="0" r="0" b="0"/>
            <wp:wrapTight wrapText="bothSides">
              <wp:wrapPolygon edited="0">
                <wp:start x="0" y="0"/>
                <wp:lineTo x="0" y="21411"/>
                <wp:lineTo x="21530" y="21411"/>
                <wp:lineTo x="21530"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676400" cy="2037600"/>
                    </a:xfrm>
                    <a:prstGeom prst="rect">
                      <a:avLst/>
                    </a:prstGeom>
                  </pic:spPr>
                </pic:pic>
              </a:graphicData>
            </a:graphic>
            <wp14:sizeRelH relativeFrom="margin">
              <wp14:pctWidth>0</wp14:pctWidth>
            </wp14:sizeRelH>
            <wp14:sizeRelV relativeFrom="margin">
              <wp14:pctHeight>0</wp14:pctHeight>
            </wp14:sizeRelV>
          </wp:anchor>
        </w:drawing>
      </w:r>
      <w:r w:rsidR="003E00D7">
        <w:t>Tab. 4</w:t>
      </w:r>
      <w:r w:rsidR="00681AAA">
        <w:t>:</w:t>
      </w:r>
      <w:r w:rsidR="00D73832">
        <w:t xml:space="preserve"> Horizontální analýza pasiv</w:t>
      </w:r>
    </w:p>
    <w:p w14:paraId="6855E7D6" w14:textId="41BD5B66" w:rsidR="00D73832" w:rsidRPr="00D73832" w:rsidRDefault="00C666A5" w:rsidP="00B246CB">
      <w:pPr>
        <w:pStyle w:val="Dalodstavce"/>
        <w:ind w:firstLine="0"/>
        <w:jc w:val="right"/>
      </w:pPr>
      <w:r>
        <w:t xml:space="preserve">Tab. 5: Vertikální analýza </w:t>
      </w:r>
      <w:r w:rsidR="00966613">
        <w:t>pasiv</w:t>
      </w:r>
    </w:p>
    <w:p w14:paraId="5341CDE1" w14:textId="77777777" w:rsidR="00966613" w:rsidRDefault="00966613" w:rsidP="00966613">
      <w:pPr>
        <w:pStyle w:val="Dalodstavce"/>
        <w:ind w:firstLine="0"/>
      </w:pPr>
      <w:r>
        <w:t xml:space="preserve">Z horizontální analýzy pasiv je patrné že stavba nové budovy společnosti byla z podstatné části financována za pomoci cizích zdrojů, které se mezi lety 2017 a 2019 zvýšily o více než 20 milionů korun. Je zároveň ale patrné, že společnost se své dlouhodobé závazky úspěšně snaží splácet, kdy mezi lety 2019 a 2021 dosáhla poklesu o více než 12 milionů korun. Vlastní kapitál zůstává téměř konstantní. Společnost si s sebou </w:t>
      </w:r>
      <w:r>
        <w:lastRenderedPageBreak/>
        <w:t xml:space="preserve">z minulých let nese poměrně vysoký výsledek hospodaření, kterému přispěla velmi úspěšná léta a zisky plynoucí z automobilového průmyslu. Tento velmi pozitivní vývoj se však zastavil s příchodem koronavirové krize, kdy se výsledky hospodaření z milionových částek snížily na nižší statisíce. </w:t>
      </w:r>
    </w:p>
    <w:p w14:paraId="0E6E1847" w14:textId="77777777" w:rsidR="00D41DD5" w:rsidRDefault="00D41DD5" w:rsidP="00D41DD5">
      <w:pPr>
        <w:pStyle w:val="Dalodstavce"/>
        <w:ind w:firstLine="0"/>
      </w:pPr>
    </w:p>
    <w:p w14:paraId="073C4676" w14:textId="5031D9AD" w:rsidR="00D41DD5" w:rsidRDefault="00B246CB" w:rsidP="00D41DD5">
      <w:pPr>
        <w:pStyle w:val="Dalodstavce"/>
        <w:ind w:firstLine="0"/>
      </w:pPr>
      <w:r>
        <w:rPr>
          <w:noProof/>
        </w:rPr>
        <w:drawing>
          <wp:anchor distT="0" distB="0" distL="114300" distR="114300" simplePos="0" relativeHeight="251658249" behindDoc="1" locked="0" layoutInCell="1" allowOverlap="1" wp14:anchorId="0281733D" wp14:editId="55ADC114">
            <wp:simplePos x="0" y="0"/>
            <wp:positionH relativeFrom="column">
              <wp:posOffset>-635</wp:posOffset>
            </wp:positionH>
            <wp:positionV relativeFrom="paragraph">
              <wp:posOffset>3092450</wp:posOffset>
            </wp:positionV>
            <wp:extent cx="4779010" cy="2897505"/>
            <wp:effectExtent l="0" t="0" r="0" b="0"/>
            <wp:wrapTight wrapText="bothSides">
              <wp:wrapPolygon edited="0">
                <wp:start x="0" y="0"/>
                <wp:lineTo x="0" y="21491"/>
                <wp:lineTo x="21525" y="21491"/>
                <wp:lineTo x="21525"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79010" cy="2897505"/>
                    </a:xfrm>
                    <a:prstGeom prst="rect">
                      <a:avLst/>
                    </a:prstGeom>
                  </pic:spPr>
                </pic:pic>
              </a:graphicData>
            </a:graphic>
            <wp14:sizeRelH relativeFrom="margin">
              <wp14:pctWidth>0</wp14:pctWidth>
            </wp14:sizeRelH>
            <wp14:sizeRelV relativeFrom="margin">
              <wp14:pctHeight>0</wp14:pctHeight>
            </wp14:sizeRelV>
          </wp:anchor>
        </w:drawing>
      </w:r>
      <w:r w:rsidR="00D41DD5">
        <w:t xml:space="preserve">Popisovaný vývoj aktiv a pasiv je také znázorněn na následujících grafech. </w:t>
      </w:r>
    </w:p>
    <w:p w14:paraId="17EA93D4" w14:textId="658B1A73" w:rsidR="00D41DD5" w:rsidRPr="00D41DD5" w:rsidRDefault="00B246CB" w:rsidP="00B246CB">
      <w:pPr>
        <w:pStyle w:val="Dalodstavce"/>
        <w:ind w:firstLine="0"/>
        <w:jc w:val="right"/>
      </w:pPr>
      <w:r>
        <w:t>Graf 4 a 5: Vývoj aktiv</w:t>
      </w:r>
      <w:r w:rsidR="00D41DD5">
        <w:rPr>
          <w:noProof/>
        </w:rPr>
        <w:drawing>
          <wp:anchor distT="0" distB="0" distL="114300" distR="114300" simplePos="0" relativeHeight="251658248" behindDoc="1" locked="0" layoutInCell="1" allowOverlap="1" wp14:anchorId="56CEC47E" wp14:editId="6931609C">
            <wp:simplePos x="0" y="0"/>
            <wp:positionH relativeFrom="column">
              <wp:posOffset>0</wp:posOffset>
            </wp:positionH>
            <wp:positionV relativeFrom="paragraph">
              <wp:posOffset>-3810</wp:posOffset>
            </wp:positionV>
            <wp:extent cx="4748400" cy="2635200"/>
            <wp:effectExtent l="0" t="0" r="1905" b="0"/>
            <wp:wrapTight wrapText="bothSides">
              <wp:wrapPolygon edited="0">
                <wp:start x="0" y="0"/>
                <wp:lineTo x="0" y="21449"/>
                <wp:lineTo x="21551" y="21449"/>
                <wp:lineTo x="21551"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748400" cy="26352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a pasiv</w:t>
      </w:r>
    </w:p>
    <w:p w14:paraId="35FD4F34" w14:textId="4A72C412" w:rsidR="001640FF" w:rsidRDefault="000C534B" w:rsidP="001640FF">
      <w:pPr>
        <w:pStyle w:val="Nadpis2"/>
        <w:numPr>
          <w:ilvl w:val="1"/>
          <w:numId w:val="16"/>
        </w:numPr>
      </w:pPr>
      <w:bookmarkStart w:id="13" w:name="_Toc134175261"/>
      <w:r w:rsidRPr="0045402F">
        <w:rPr>
          <w:noProof/>
        </w:rPr>
        <w:lastRenderedPageBreak/>
        <w:drawing>
          <wp:anchor distT="0" distB="0" distL="114300" distR="114300" simplePos="0" relativeHeight="251658251" behindDoc="1" locked="0" layoutInCell="1" allowOverlap="1" wp14:anchorId="32F38BF9" wp14:editId="28819B9D">
            <wp:simplePos x="0" y="0"/>
            <wp:positionH relativeFrom="column">
              <wp:posOffset>-895985</wp:posOffset>
            </wp:positionH>
            <wp:positionV relativeFrom="paragraph">
              <wp:posOffset>418465</wp:posOffset>
            </wp:positionV>
            <wp:extent cx="6210300" cy="1816100"/>
            <wp:effectExtent l="0" t="0" r="0" b="0"/>
            <wp:wrapTight wrapText="bothSides">
              <wp:wrapPolygon edited="0">
                <wp:start x="0" y="0"/>
                <wp:lineTo x="0" y="21449"/>
                <wp:lineTo x="21556" y="21449"/>
                <wp:lineTo x="21556"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210300" cy="1816100"/>
                    </a:xfrm>
                    <a:prstGeom prst="rect">
                      <a:avLst/>
                    </a:prstGeom>
                  </pic:spPr>
                </pic:pic>
              </a:graphicData>
            </a:graphic>
            <wp14:sizeRelH relativeFrom="margin">
              <wp14:pctWidth>0</wp14:pctWidth>
            </wp14:sizeRelH>
            <wp14:sizeRelV relativeFrom="margin">
              <wp14:pctHeight>0</wp14:pctHeight>
            </wp14:sizeRelV>
          </wp:anchor>
        </w:drawing>
      </w:r>
      <w:r w:rsidR="006122DC">
        <w:t>Analýza výnosů</w:t>
      </w:r>
      <w:r>
        <w:t xml:space="preserve"> (VZZ)</w:t>
      </w:r>
      <w:bookmarkEnd w:id="13"/>
    </w:p>
    <w:p w14:paraId="4DA08E6A" w14:textId="3324DA9C" w:rsidR="0045402F" w:rsidRPr="0045402F" w:rsidRDefault="005B2995" w:rsidP="00E12876">
      <w:pPr>
        <w:pStyle w:val="Odstavec1"/>
        <w:jc w:val="right"/>
      </w:pPr>
      <w:r w:rsidRPr="00815D2B">
        <w:rPr>
          <w:noProof/>
        </w:rPr>
        <w:drawing>
          <wp:anchor distT="0" distB="0" distL="114300" distR="114300" simplePos="0" relativeHeight="251658252" behindDoc="1" locked="0" layoutInCell="1" allowOverlap="1" wp14:anchorId="0E6FE2EF" wp14:editId="6C422F56">
            <wp:simplePos x="0" y="0"/>
            <wp:positionH relativeFrom="column">
              <wp:posOffset>-895985</wp:posOffset>
            </wp:positionH>
            <wp:positionV relativeFrom="paragraph">
              <wp:posOffset>2334775</wp:posOffset>
            </wp:positionV>
            <wp:extent cx="6210300" cy="1686560"/>
            <wp:effectExtent l="0" t="0" r="0" b="2540"/>
            <wp:wrapTight wrapText="bothSides">
              <wp:wrapPolygon edited="0">
                <wp:start x="0" y="0"/>
                <wp:lineTo x="0" y="21470"/>
                <wp:lineTo x="21556" y="21470"/>
                <wp:lineTo x="21556"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210300" cy="1686560"/>
                    </a:xfrm>
                    <a:prstGeom prst="rect">
                      <a:avLst/>
                    </a:prstGeom>
                  </pic:spPr>
                </pic:pic>
              </a:graphicData>
            </a:graphic>
            <wp14:sizeRelH relativeFrom="margin">
              <wp14:pctWidth>0</wp14:pctWidth>
            </wp14:sizeRelH>
            <wp14:sizeRelV relativeFrom="margin">
              <wp14:pctHeight>0</wp14:pctHeight>
            </wp14:sizeRelV>
          </wp:anchor>
        </w:drawing>
      </w:r>
      <w:r w:rsidR="00E12876">
        <w:t>Tab. 6: Horizontální analýza výnosů (1)</w:t>
      </w:r>
    </w:p>
    <w:p w14:paraId="0ADDBC8F" w14:textId="1FFC7518" w:rsidR="00B246CB" w:rsidRDefault="00E12876" w:rsidP="00E12876">
      <w:pPr>
        <w:pStyle w:val="Odstavec1"/>
        <w:jc w:val="right"/>
      </w:pPr>
      <w:r>
        <w:t>Tab. 7: Horizontální analýza výnosů (2)</w:t>
      </w:r>
    </w:p>
    <w:p w14:paraId="35C25F35" w14:textId="77777777" w:rsidR="005B2995" w:rsidRDefault="005B2995" w:rsidP="006F4764">
      <w:pPr>
        <w:pStyle w:val="Dalodstavce"/>
        <w:ind w:firstLine="0"/>
      </w:pPr>
    </w:p>
    <w:p w14:paraId="38948604" w14:textId="5960F4D4" w:rsidR="0061421A" w:rsidRDefault="00155D44" w:rsidP="006F4764">
      <w:pPr>
        <w:pStyle w:val="Dalodstavce"/>
        <w:ind w:firstLine="0"/>
      </w:pPr>
      <w:r>
        <w:t>Z výkazu zisku a ztrát je patrné, že hlavní výnosy společ</w:t>
      </w:r>
      <w:r w:rsidR="006F4764">
        <w:t xml:space="preserve">nost vytváří tržbami za prodej vlastních výrobků a služeb. Těmito výrobky jsou v případě společnosti Disting </w:t>
      </w:r>
      <w:r w:rsidR="00DD05DD">
        <w:t>jak automobilové součástky, tak i textilní výrobky. Na první pohled se vývoj tržeb znatelně nemění,</w:t>
      </w:r>
      <w:r w:rsidR="00F205E8">
        <w:t xml:space="preserve"> ani nedochází k propadu v roce 2020</w:t>
      </w:r>
      <w:r w:rsidR="00447129">
        <w:t xml:space="preserve"> (z důvodu covidové krize)</w:t>
      </w:r>
      <w:r w:rsidR="00F205E8">
        <w:t xml:space="preserve"> a v roce 2021 dokonce společnost své tržby navyšuje. </w:t>
      </w:r>
      <w:r w:rsidR="007E6928">
        <w:t xml:space="preserve">Toto navýšení tržeb je v souladu s dostavením nové budovy společnosti a výrazným navýšením počtu zaměstnanců </w:t>
      </w:r>
      <w:r w:rsidR="00BE5388">
        <w:t>ze 85 v roce 2016 na 121</w:t>
      </w:r>
      <w:r w:rsidR="00447129">
        <w:t xml:space="preserve"> v roce 2021.</w:t>
      </w:r>
      <w:r w:rsidR="00C156CE">
        <w:t xml:space="preserve"> Zmírnění tohoto poklesu tržeb je také způsobeno značným navýšením pohledávek v roce </w:t>
      </w:r>
      <w:r w:rsidR="00882867">
        <w:t>2019, které byly o 7 milionu vyšší než v předchozím roce.</w:t>
      </w:r>
      <w:r w:rsidR="007B4F1A">
        <w:t xml:space="preserve"> Pokud však bereme v potaz obrovské navýšení zaměstnanců firmy a dostavbu nových výrobních prostor, toto navýšení tržeb je velmi malé a nedostatečné. </w:t>
      </w:r>
      <w:r w:rsidR="00713898">
        <w:t>Vzhledem k velké strohosti výnosů</w:t>
      </w:r>
      <w:r w:rsidR="006F7E0B">
        <w:t xml:space="preserve"> a jejich téměř 100% zastoupení v tržbách za </w:t>
      </w:r>
      <w:r w:rsidR="006F7E0B">
        <w:lastRenderedPageBreak/>
        <w:t>prodej vlastních výrobků a služe</w:t>
      </w:r>
      <w:r w:rsidR="00EE28CF">
        <w:t xml:space="preserve">b jsme nepřiložili tabulku pro vertikální analýzu. </w:t>
      </w:r>
    </w:p>
    <w:p w14:paraId="6F4CE6BF" w14:textId="6F447FD3" w:rsidR="00232D22" w:rsidRDefault="00232D22" w:rsidP="00232D22">
      <w:pPr>
        <w:pStyle w:val="Nadpis2"/>
        <w:numPr>
          <w:ilvl w:val="1"/>
          <w:numId w:val="16"/>
        </w:numPr>
      </w:pPr>
      <w:bookmarkStart w:id="14" w:name="_Toc134175262"/>
      <w:r w:rsidRPr="00830EE3">
        <w:rPr>
          <w:noProof/>
        </w:rPr>
        <w:drawing>
          <wp:anchor distT="0" distB="0" distL="114300" distR="114300" simplePos="0" relativeHeight="251658253" behindDoc="1" locked="0" layoutInCell="1" allowOverlap="1" wp14:anchorId="16ADBF52" wp14:editId="03026F71">
            <wp:simplePos x="0" y="0"/>
            <wp:positionH relativeFrom="column">
              <wp:posOffset>-751840</wp:posOffset>
            </wp:positionH>
            <wp:positionV relativeFrom="paragraph">
              <wp:posOffset>577490</wp:posOffset>
            </wp:positionV>
            <wp:extent cx="6456680" cy="2261235"/>
            <wp:effectExtent l="0" t="0" r="0" b="0"/>
            <wp:wrapTight wrapText="bothSides">
              <wp:wrapPolygon edited="0">
                <wp:start x="0" y="0"/>
                <wp:lineTo x="0" y="21473"/>
                <wp:lineTo x="21541" y="21473"/>
                <wp:lineTo x="21541"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456680" cy="2261235"/>
                    </a:xfrm>
                    <a:prstGeom prst="rect">
                      <a:avLst/>
                    </a:prstGeom>
                  </pic:spPr>
                </pic:pic>
              </a:graphicData>
            </a:graphic>
            <wp14:sizeRelH relativeFrom="margin">
              <wp14:pctWidth>0</wp14:pctWidth>
            </wp14:sizeRelH>
            <wp14:sizeRelV relativeFrom="margin">
              <wp14:pctHeight>0</wp14:pctHeight>
            </wp14:sizeRelV>
          </wp:anchor>
        </w:drawing>
      </w:r>
      <w:r>
        <w:t>Analýza nákladů (VZZ)</w:t>
      </w:r>
      <w:bookmarkEnd w:id="14"/>
      <w:r>
        <w:t xml:space="preserve"> </w:t>
      </w:r>
    </w:p>
    <w:p w14:paraId="2A0AADEC" w14:textId="1E5C3E44" w:rsidR="00EE28CF" w:rsidRDefault="00232D22" w:rsidP="00232D22">
      <w:pPr>
        <w:pStyle w:val="Odstavec1"/>
        <w:jc w:val="right"/>
      </w:pPr>
      <w:r w:rsidRPr="00E558FB">
        <w:rPr>
          <w:noProof/>
        </w:rPr>
        <w:drawing>
          <wp:anchor distT="0" distB="0" distL="114300" distR="114300" simplePos="0" relativeHeight="251658254" behindDoc="1" locked="0" layoutInCell="1" allowOverlap="1" wp14:anchorId="06F3AD8D" wp14:editId="7B62C148">
            <wp:simplePos x="0" y="0"/>
            <wp:positionH relativeFrom="column">
              <wp:posOffset>-727075</wp:posOffset>
            </wp:positionH>
            <wp:positionV relativeFrom="paragraph">
              <wp:posOffset>2580417</wp:posOffset>
            </wp:positionV>
            <wp:extent cx="6464300" cy="2100580"/>
            <wp:effectExtent l="0" t="0" r="0" b="0"/>
            <wp:wrapTight wrapText="bothSides">
              <wp:wrapPolygon edited="0">
                <wp:start x="0" y="0"/>
                <wp:lineTo x="0" y="21417"/>
                <wp:lineTo x="21558" y="21417"/>
                <wp:lineTo x="2155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464300" cy="2100580"/>
                    </a:xfrm>
                    <a:prstGeom prst="rect">
                      <a:avLst/>
                    </a:prstGeom>
                  </pic:spPr>
                </pic:pic>
              </a:graphicData>
            </a:graphic>
            <wp14:sizeRelH relativeFrom="margin">
              <wp14:pctWidth>0</wp14:pctWidth>
            </wp14:sizeRelH>
            <wp14:sizeRelV relativeFrom="margin">
              <wp14:pctHeight>0</wp14:pctHeight>
            </wp14:sizeRelV>
          </wp:anchor>
        </w:drawing>
      </w:r>
      <w:r w:rsidR="00EE28CF">
        <w:t>Tab. 8: Horizontální analýza nákladů</w:t>
      </w:r>
      <w:r w:rsidR="00E558FB">
        <w:t xml:space="preserve"> (1)</w:t>
      </w:r>
    </w:p>
    <w:p w14:paraId="4304507B" w14:textId="1757CCE5" w:rsidR="00E558FB" w:rsidRPr="00E558FB" w:rsidRDefault="00E558FB" w:rsidP="00E558FB">
      <w:pPr>
        <w:pStyle w:val="Dalodstavce"/>
        <w:jc w:val="right"/>
      </w:pPr>
      <w:r>
        <w:t>Tab. 9: Horizontální analýza nákladů (2)</w:t>
      </w:r>
    </w:p>
    <w:p w14:paraId="02DE036E" w14:textId="41806E05" w:rsidR="009B1A93" w:rsidRDefault="00E134B2" w:rsidP="00A70D99">
      <w:pPr>
        <w:pStyle w:val="Dalodstavce"/>
        <w:spacing w:before="240"/>
        <w:ind w:firstLine="0"/>
      </w:pPr>
      <w:r>
        <w:t>V roce 2019 a 2020 vidíme veliký nárůst výkonové spotřeby, konkrétně v roce 2020 j</w:t>
      </w:r>
      <w:r w:rsidR="00927BB1">
        <w:t>e výkonová spotřeba s hodnotou 13 743 tis. Kč dvojnásobná jako v roce 2017.</w:t>
      </w:r>
      <w:r w:rsidR="00324A13">
        <w:t xml:space="preserve"> Tento nárůst může být způsoben především</w:t>
      </w:r>
      <w:r w:rsidR="00F704CF">
        <w:t xml:space="preserve"> zvýšením</w:t>
      </w:r>
      <w:r w:rsidR="00C9093F">
        <w:t xml:space="preserve"> spotřeby energie na stavbu budovy, zapojení nových stroj</w:t>
      </w:r>
      <w:r w:rsidR="00F94669">
        <w:t xml:space="preserve">ů a taky vyšší spotřebou materiálu z důvodu rozšíření výroby a růstu počtu zaměstnanců. </w:t>
      </w:r>
      <w:r w:rsidR="00714947">
        <w:t xml:space="preserve">Ve spojitosti s rozvahou zde vidíme, že společnost část své </w:t>
      </w:r>
      <w:r w:rsidR="00714947">
        <w:lastRenderedPageBreak/>
        <w:t xml:space="preserve">produkce zejména v roce 2020 neprodala a vytvořila zásoby, proto nedochází také k výraznému růstu tržeb v minulé části analýzy. </w:t>
      </w:r>
    </w:p>
    <w:p w14:paraId="6267EFE5" w14:textId="206C572B" w:rsidR="009D0000" w:rsidRDefault="009D0000" w:rsidP="009B1A93">
      <w:pPr>
        <w:pStyle w:val="Dalodstavce"/>
        <w:ind w:firstLine="0"/>
      </w:pPr>
      <w:r>
        <w:t xml:space="preserve">Dalším, velmi podstatným nárůstem je nárůst osobních nákladů v roce 2021 o téměř 6 600 tis. Kč. </w:t>
      </w:r>
      <w:r w:rsidR="001A2755">
        <w:t xml:space="preserve">Za zmínku stojí také </w:t>
      </w:r>
      <w:r w:rsidR="00475F10">
        <w:t>podstatné snížení daně z příjmu za běžnou činnost způsobené</w:t>
      </w:r>
      <w:r w:rsidR="00AB7679">
        <w:t xml:space="preserve"> výrazným poklesem výsledku hospodaření.</w:t>
      </w:r>
    </w:p>
    <w:p w14:paraId="786BD587" w14:textId="77777777" w:rsidR="00E15D57" w:rsidRDefault="00E15D57" w:rsidP="009B1A93">
      <w:pPr>
        <w:pStyle w:val="Dalodstavce"/>
        <w:ind w:firstLine="0"/>
      </w:pPr>
    </w:p>
    <w:p w14:paraId="79824BF3" w14:textId="7758E063" w:rsidR="007A3D6D" w:rsidRDefault="00E15D57" w:rsidP="009B1A93">
      <w:pPr>
        <w:pStyle w:val="Dalodstavce"/>
        <w:ind w:firstLine="0"/>
      </w:pPr>
      <w:r w:rsidRPr="007A3D6D">
        <w:rPr>
          <w:noProof/>
        </w:rPr>
        <w:drawing>
          <wp:anchor distT="0" distB="0" distL="114300" distR="114300" simplePos="0" relativeHeight="251658257" behindDoc="1" locked="0" layoutInCell="1" allowOverlap="1" wp14:anchorId="3E54073D" wp14:editId="3B9597E1">
            <wp:simplePos x="0" y="0"/>
            <wp:positionH relativeFrom="column">
              <wp:posOffset>-1042670</wp:posOffset>
            </wp:positionH>
            <wp:positionV relativeFrom="paragraph">
              <wp:posOffset>314411</wp:posOffset>
            </wp:positionV>
            <wp:extent cx="6460490" cy="2262505"/>
            <wp:effectExtent l="0" t="0" r="3810" b="0"/>
            <wp:wrapTight wrapText="bothSides">
              <wp:wrapPolygon edited="0">
                <wp:start x="0" y="0"/>
                <wp:lineTo x="0" y="21461"/>
                <wp:lineTo x="21570" y="21461"/>
                <wp:lineTo x="2157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60490" cy="2262505"/>
                    </a:xfrm>
                    <a:prstGeom prst="rect">
                      <a:avLst/>
                    </a:prstGeom>
                  </pic:spPr>
                </pic:pic>
              </a:graphicData>
            </a:graphic>
            <wp14:sizeRelH relativeFrom="margin">
              <wp14:pctWidth>0</wp14:pctWidth>
            </wp14:sizeRelH>
            <wp14:sizeRelV relativeFrom="margin">
              <wp14:pctHeight>0</wp14:pctHeight>
            </wp14:sizeRelV>
          </wp:anchor>
        </w:drawing>
      </w:r>
    </w:p>
    <w:p w14:paraId="1A1CF0AC" w14:textId="71309D49" w:rsidR="00FD31AB" w:rsidRDefault="00AB7679" w:rsidP="007865AC">
      <w:pPr>
        <w:pStyle w:val="Dalodstavce"/>
        <w:ind w:firstLine="0"/>
        <w:jc w:val="right"/>
      </w:pPr>
      <w:r>
        <w:t>Tab. 10: Vertikální analýza nákladů</w:t>
      </w:r>
    </w:p>
    <w:p w14:paraId="4767B23B" w14:textId="77777777" w:rsidR="00CC1465" w:rsidRDefault="00CC1465" w:rsidP="009E0F3A">
      <w:pPr>
        <w:pStyle w:val="Dalodstavce"/>
        <w:ind w:firstLine="0"/>
      </w:pPr>
    </w:p>
    <w:p w14:paraId="0FFDC675" w14:textId="44673BA3" w:rsidR="00CC1465" w:rsidRDefault="009E0F3A" w:rsidP="009E0F3A">
      <w:pPr>
        <w:pStyle w:val="Dalodstavce"/>
        <w:ind w:firstLine="0"/>
      </w:pPr>
      <w:r>
        <w:t xml:space="preserve">V roce 2019 dochází k výraznému nárůstu poměru výkonové spotřeby na celkových nákladech. To je způsobeno </w:t>
      </w:r>
      <w:r w:rsidR="0090761E">
        <w:t>především jejím faktickým nárůstem. Zároveň ale také dochází k podstatnému nárůstu osobních nákladů z původních 60% podílů na celkových nákladech na 73%</w:t>
      </w:r>
      <w:r w:rsidR="008040D0">
        <w:t xml:space="preserve">. Tento nárůst je způsoben především velkým zvýšením množství mezd, které musí společnost vzhledem k růstu zaměstnanců vyplácet. </w:t>
      </w:r>
      <w:r w:rsidR="00060247">
        <w:t xml:space="preserve">Z tohoto pohledu je velmi nešťastné, že právě v době koronavirové krize a s tím spojeným poklesem produkce firmy, firma podstatně navýšila tuto nákladovou položku. </w:t>
      </w:r>
    </w:p>
    <w:p w14:paraId="5834CCE1" w14:textId="77777777" w:rsidR="002733AE" w:rsidRDefault="002733AE" w:rsidP="009E0F3A">
      <w:pPr>
        <w:pStyle w:val="Dalodstavce"/>
        <w:ind w:firstLine="0"/>
      </w:pPr>
    </w:p>
    <w:p w14:paraId="3F7CAE9C" w14:textId="77777777" w:rsidR="002733AE" w:rsidRDefault="002733AE" w:rsidP="009E0F3A">
      <w:pPr>
        <w:pStyle w:val="Dalodstavce"/>
        <w:ind w:firstLine="0"/>
      </w:pPr>
    </w:p>
    <w:p w14:paraId="770D7C67" w14:textId="0DE3B884" w:rsidR="002733AE" w:rsidRDefault="002733AE" w:rsidP="002733AE">
      <w:pPr>
        <w:pStyle w:val="Dalodstavce"/>
        <w:ind w:firstLine="0"/>
        <w:jc w:val="right"/>
      </w:pPr>
      <w:r>
        <w:rPr>
          <w:noProof/>
        </w:rPr>
        <w:lastRenderedPageBreak/>
        <w:drawing>
          <wp:anchor distT="0" distB="0" distL="114300" distR="114300" simplePos="0" relativeHeight="251658256" behindDoc="1" locked="0" layoutInCell="1" allowOverlap="1" wp14:anchorId="34801A13" wp14:editId="3EB3BD81">
            <wp:simplePos x="0" y="0"/>
            <wp:positionH relativeFrom="column">
              <wp:posOffset>-751840</wp:posOffset>
            </wp:positionH>
            <wp:positionV relativeFrom="paragraph">
              <wp:posOffset>0</wp:posOffset>
            </wp:positionV>
            <wp:extent cx="6400800" cy="2926715"/>
            <wp:effectExtent l="0" t="0" r="0" b="0"/>
            <wp:wrapTight wrapText="bothSides">
              <wp:wrapPolygon edited="0">
                <wp:start x="0" y="0"/>
                <wp:lineTo x="0" y="21464"/>
                <wp:lineTo x="21557" y="21464"/>
                <wp:lineTo x="21557"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400800" cy="2926715"/>
                    </a:xfrm>
                    <a:prstGeom prst="rect">
                      <a:avLst/>
                    </a:prstGeom>
                  </pic:spPr>
                </pic:pic>
              </a:graphicData>
            </a:graphic>
            <wp14:sizeRelH relativeFrom="margin">
              <wp14:pctWidth>0</wp14:pctWidth>
            </wp14:sizeRelH>
            <wp14:sizeRelV relativeFrom="margin">
              <wp14:pctHeight>0</wp14:pctHeight>
            </wp14:sizeRelV>
          </wp:anchor>
        </w:drawing>
      </w:r>
      <w:r>
        <w:t xml:space="preserve">Graf 6: </w:t>
      </w:r>
      <w:r w:rsidR="00E756A5">
        <w:t>Jednotlivé položky nákladů</w:t>
      </w:r>
    </w:p>
    <w:p w14:paraId="3F480B7C" w14:textId="7F9E569E" w:rsidR="00EE28CF" w:rsidRPr="00E12876" w:rsidRDefault="00EE28CF" w:rsidP="00EE28CF">
      <w:pPr>
        <w:pStyle w:val="Dalodstavce"/>
        <w:ind w:firstLine="0"/>
      </w:pPr>
    </w:p>
    <w:p w14:paraId="0EBFE6EC" w14:textId="41941740" w:rsidR="00713898" w:rsidRDefault="00B03DC7" w:rsidP="00B03DC7">
      <w:pPr>
        <w:pStyle w:val="Dalodstavce"/>
        <w:ind w:firstLine="0"/>
      </w:pPr>
      <w:r>
        <w:t xml:space="preserve">I z tohoto grafu vyplívá, že osobní náklady jsou ve společnosti podstatnou finanční zátěží. Je to způsobené především velkou nutností lidské činnosti k jednotlivým pracím ve výrobě. </w:t>
      </w:r>
      <w:r w:rsidR="00A85E89">
        <w:t xml:space="preserve">Ve snížení této finanční náročnosti by společnosti případně mohla pomoc vyšší automatizace jednotlivých procesů a zakoupení moderních strojů z Číny, které mohou některé činnosti vykonávat sami. Tento krok by byl však velmi investičně náročný a společnost s ním bude muset počkat minimálně do doby, kdy splatí své dluhy spojené s výstavbou nové budovy a vytvoří </w:t>
      </w:r>
      <w:r w:rsidR="00AB12A8">
        <w:t xml:space="preserve">dostatečné úspory. </w:t>
      </w:r>
    </w:p>
    <w:p w14:paraId="6A015C56" w14:textId="77777777" w:rsidR="00AB12A8" w:rsidRDefault="00AB12A8" w:rsidP="00B03DC7">
      <w:pPr>
        <w:pStyle w:val="Dalodstavce"/>
        <w:ind w:firstLine="0"/>
      </w:pPr>
    </w:p>
    <w:p w14:paraId="115B06BE" w14:textId="77777777" w:rsidR="00AB12A8" w:rsidRDefault="00AB12A8" w:rsidP="00B03DC7">
      <w:pPr>
        <w:pStyle w:val="Dalodstavce"/>
        <w:ind w:firstLine="0"/>
      </w:pPr>
    </w:p>
    <w:p w14:paraId="3EBBFA41" w14:textId="0878382D" w:rsidR="003578FF" w:rsidRDefault="0037380B" w:rsidP="00DA2C7A">
      <w:pPr>
        <w:pStyle w:val="Nadpis2"/>
        <w:numPr>
          <w:ilvl w:val="1"/>
          <w:numId w:val="16"/>
        </w:numPr>
      </w:pPr>
      <w:bookmarkStart w:id="15" w:name="_Toc134175263"/>
      <w:r w:rsidRPr="0037380B">
        <w:rPr>
          <w:noProof/>
        </w:rPr>
        <w:lastRenderedPageBreak/>
        <w:drawing>
          <wp:anchor distT="0" distB="0" distL="114300" distR="114300" simplePos="0" relativeHeight="251658255" behindDoc="1" locked="0" layoutInCell="1" allowOverlap="1" wp14:anchorId="4338E31A" wp14:editId="5602883C">
            <wp:simplePos x="0" y="0"/>
            <wp:positionH relativeFrom="column">
              <wp:posOffset>-1010766</wp:posOffset>
            </wp:positionH>
            <wp:positionV relativeFrom="paragraph">
              <wp:posOffset>541655</wp:posOffset>
            </wp:positionV>
            <wp:extent cx="6515735" cy="1358900"/>
            <wp:effectExtent l="0" t="0" r="3810" b="2540"/>
            <wp:wrapTight wrapText="bothSides">
              <wp:wrapPolygon edited="0">
                <wp:start x="0" y="0"/>
                <wp:lineTo x="0" y="21427"/>
                <wp:lineTo x="21568" y="21427"/>
                <wp:lineTo x="21568"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515735" cy="1358900"/>
                    </a:xfrm>
                    <a:prstGeom prst="rect">
                      <a:avLst/>
                    </a:prstGeom>
                  </pic:spPr>
                </pic:pic>
              </a:graphicData>
            </a:graphic>
            <wp14:sizeRelH relativeFrom="margin">
              <wp14:pctWidth>0</wp14:pctWidth>
            </wp14:sizeRelH>
            <wp14:sizeRelV relativeFrom="margin">
              <wp14:pctHeight>0</wp14:pctHeight>
            </wp14:sizeRelV>
          </wp:anchor>
        </w:drawing>
      </w:r>
      <w:r w:rsidR="00DA2C7A">
        <w:t>Výsledky hospodaření</w:t>
      </w:r>
      <w:bookmarkEnd w:id="15"/>
    </w:p>
    <w:p w14:paraId="38FEA56B" w14:textId="0BDE26C0" w:rsidR="0037380B" w:rsidRDefault="0037380B" w:rsidP="0037380B">
      <w:pPr>
        <w:pStyle w:val="Odstavec1"/>
        <w:jc w:val="right"/>
      </w:pPr>
      <w:r>
        <w:t>Tab. 11: Vývoj výsledků hospodaření</w:t>
      </w:r>
    </w:p>
    <w:p w14:paraId="46D28F59" w14:textId="77777777" w:rsidR="006179B8" w:rsidRPr="006179B8" w:rsidRDefault="006179B8" w:rsidP="006179B8">
      <w:pPr>
        <w:pStyle w:val="Dalodstavce"/>
      </w:pPr>
    </w:p>
    <w:p w14:paraId="4BAB5AD2" w14:textId="1DCB289E" w:rsidR="006179B8" w:rsidRDefault="006179B8" w:rsidP="006179B8">
      <w:pPr>
        <w:pStyle w:val="Dalodstavce"/>
      </w:pPr>
      <w:r>
        <w:rPr>
          <w:noProof/>
        </w:rPr>
        <w:drawing>
          <wp:inline distT="0" distB="0" distL="0" distR="0" wp14:anchorId="15E1E581" wp14:editId="71867011">
            <wp:extent cx="4677410" cy="246951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77410" cy="2469515"/>
                    </a:xfrm>
                    <a:prstGeom prst="rect">
                      <a:avLst/>
                    </a:prstGeom>
                  </pic:spPr>
                </pic:pic>
              </a:graphicData>
            </a:graphic>
          </wp:inline>
        </w:drawing>
      </w:r>
    </w:p>
    <w:p w14:paraId="21957B90" w14:textId="548A3EB8" w:rsidR="006179B8" w:rsidRPr="006179B8" w:rsidRDefault="006179B8" w:rsidP="006179B8">
      <w:pPr>
        <w:pStyle w:val="Dalodstavce"/>
        <w:jc w:val="right"/>
      </w:pPr>
      <w:r>
        <w:t>Graf 7: Vývoj hospodářského výsledku</w:t>
      </w:r>
    </w:p>
    <w:p w14:paraId="3003108C" w14:textId="77777777" w:rsidR="00895BDE" w:rsidRDefault="00895BDE" w:rsidP="00895BDE">
      <w:pPr>
        <w:pStyle w:val="Dalodstavce"/>
        <w:ind w:firstLine="0"/>
      </w:pPr>
    </w:p>
    <w:p w14:paraId="5904A699" w14:textId="6844BC92" w:rsidR="0037380B" w:rsidRPr="0037380B" w:rsidRDefault="00895BDE" w:rsidP="00895BDE">
      <w:pPr>
        <w:pStyle w:val="Dalodstavce"/>
        <w:ind w:firstLine="0"/>
      </w:pPr>
      <w:r>
        <w:t xml:space="preserve">Jak již vychází z předchozích analýz, v roce 2019 a 2020 došlo k významnému poklesu výsledku hospodaření, konkrétně zejména způsobeném poklesem provozního výsledku hospodaření spojeném s koronavirovou krizí. Ani v roce 2021 se společnosti nedaří tento pokles vrátit na původní hodnoty a vzhledem k předchozím analýzám, vyšší nákladové náročnosti, vyššímu množství zaměstnancům a novým výrobním prostorám se musí v následujících letech tento provozní výsledek zvýšit a převýšit původní hodnoty z roku 2017, jinak společnosti hrozí bankrot. </w:t>
      </w:r>
    </w:p>
    <w:p w14:paraId="11B911B9" w14:textId="2C164458" w:rsidR="00B246CB" w:rsidRPr="00B246CB" w:rsidRDefault="00B246CB" w:rsidP="00B246CB">
      <w:pPr>
        <w:pStyle w:val="Odstavec1"/>
      </w:pPr>
    </w:p>
    <w:p w14:paraId="08B9EC3E" w14:textId="275600C5" w:rsidR="00B246CB" w:rsidRDefault="007B4194" w:rsidP="00B246CB">
      <w:pPr>
        <w:pStyle w:val="Nadpis2"/>
        <w:numPr>
          <w:ilvl w:val="1"/>
          <w:numId w:val="26"/>
        </w:numPr>
      </w:pPr>
      <w:bookmarkStart w:id="16" w:name="_Toc134175264"/>
      <w:r>
        <w:lastRenderedPageBreak/>
        <w:t xml:space="preserve">SWOT matice </w:t>
      </w:r>
      <w:r w:rsidR="00B67D34">
        <w:t>vycházející z vertikální a horizontální analýzy</w:t>
      </w:r>
      <w:bookmarkEnd w:id="16"/>
      <w:r w:rsidR="00B67D34">
        <w:t xml:space="preserve"> </w:t>
      </w:r>
    </w:p>
    <w:tbl>
      <w:tblPr>
        <w:tblStyle w:val="Mkatabulky"/>
        <w:tblW w:w="9613" w:type="dxa"/>
        <w:jc w:val="left"/>
        <w:tblInd w:w="-1140" w:type="dxa"/>
        <w:tblLook w:val="04A0" w:firstRow="1" w:lastRow="0" w:firstColumn="1" w:lastColumn="0" w:noHBand="0" w:noVBand="1"/>
      </w:tblPr>
      <w:tblGrid>
        <w:gridCol w:w="600"/>
        <w:gridCol w:w="4506"/>
        <w:gridCol w:w="4507"/>
      </w:tblGrid>
      <w:tr w:rsidR="00B67D34" w:rsidRPr="0077144C" w14:paraId="3133ACE5" w14:textId="77777777">
        <w:trPr>
          <w:cnfStyle w:val="100000000000" w:firstRow="1" w:lastRow="0" w:firstColumn="0" w:lastColumn="0" w:oddVBand="0" w:evenVBand="0" w:oddHBand="0" w:evenHBand="0" w:firstRowFirstColumn="0" w:firstRowLastColumn="0" w:lastRowFirstColumn="0" w:lastRowLastColumn="0"/>
          <w:trHeight w:val="534"/>
          <w:jc w:val="left"/>
        </w:trPr>
        <w:tc>
          <w:tcPr>
            <w:tcW w:w="600" w:type="dxa"/>
            <w:shd w:val="clear" w:color="auto" w:fill="D9E2F3" w:themeFill="accent5" w:themeFillTint="33"/>
          </w:tcPr>
          <w:p w14:paraId="20B99FD3" w14:textId="77777777" w:rsidR="00B67D34" w:rsidRPr="0077144C" w:rsidRDefault="00B67D34">
            <w:pPr>
              <w:pStyle w:val="Dalodstavce"/>
              <w:spacing w:before="0" w:after="0"/>
              <w:rPr>
                <w:rFonts w:asciiTheme="minorHAnsi" w:hAnsiTheme="minorHAnsi"/>
              </w:rPr>
            </w:pPr>
          </w:p>
        </w:tc>
        <w:tc>
          <w:tcPr>
            <w:tcW w:w="4506" w:type="dxa"/>
            <w:shd w:val="clear" w:color="auto" w:fill="D9E2F3" w:themeFill="accent5" w:themeFillTint="33"/>
          </w:tcPr>
          <w:p w14:paraId="0C3535F3" w14:textId="77777777" w:rsidR="00B67D34" w:rsidRPr="0077144C" w:rsidRDefault="00B67D34">
            <w:pPr>
              <w:pStyle w:val="Dalodstavce"/>
              <w:spacing w:before="0" w:after="0"/>
              <w:ind w:firstLine="0"/>
              <w:jc w:val="center"/>
              <w:rPr>
                <w:rFonts w:asciiTheme="minorHAnsi" w:hAnsiTheme="minorHAnsi"/>
              </w:rPr>
            </w:pPr>
            <w:r w:rsidRPr="0077144C">
              <w:rPr>
                <w:rFonts w:asciiTheme="minorHAnsi" w:hAnsiTheme="minorHAnsi"/>
              </w:rPr>
              <w:t>POMOCNÉ</w:t>
            </w:r>
          </w:p>
        </w:tc>
        <w:tc>
          <w:tcPr>
            <w:tcW w:w="4507" w:type="dxa"/>
            <w:shd w:val="clear" w:color="auto" w:fill="D9E2F3" w:themeFill="accent5" w:themeFillTint="33"/>
          </w:tcPr>
          <w:p w14:paraId="70636C03" w14:textId="77777777" w:rsidR="00B67D34" w:rsidRPr="0077144C" w:rsidRDefault="00B67D34">
            <w:pPr>
              <w:pStyle w:val="Dalodstavce"/>
              <w:spacing w:before="0" w:after="0"/>
              <w:ind w:firstLine="0"/>
              <w:jc w:val="center"/>
              <w:rPr>
                <w:rFonts w:asciiTheme="minorHAnsi" w:hAnsiTheme="minorHAnsi"/>
              </w:rPr>
            </w:pPr>
            <w:r w:rsidRPr="0077144C">
              <w:rPr>
                <w:rFonts w:asciiTheme="minorHAnsi" w:hAnsiTheme="minorHAnsi"/>
              </w:rPr>
              <w:t>ŠKODLIVÉ</w:t>
            </w:r>
          </w:p>
        </w:tc>
      </w:tr>
      <w:tr w:rsidR="00B67D34" w:rsidRPr="0077144C" w14:paraId="7EA13FB2" w14:textId="77777777">
        <w:trPr>
          <w:cantSplit/>
          <w:trHeight w:val="2955"/>
          <w:jc w:val="left"/>
        </w:trPr>
        <w:tc>
          <w:tcPr>
            <w:tcW w:w="600" w:type="dxa"/>
            <w:shd w:val="clear" w:color="auto" w:fill="D9E2F3" w:themeFill="accent5" w:themeFillTint="33"/>
            <w:textDirection w:val="btLr"/>
          </w:tcPr>
          <w:p w14:paraId="267CA622" w14:textId="77777777" w:rsidR="00B67D34" w:rsidRPr="0077144C" w:rsidRDefault="00B67D34">
            <w:pPr>
              <w:pStyle w:val="Dalodstavce"/>
              <w:spacing w:before="0" w:after="0"/>
              <w:ind w:left="113" w:right="113" w:firstLine="0"/>
              <w:jc w:val="center"/>
              <w:rPr>
                <w:rFonts w:asciiTheme="minorHAnsi" w:hAnsiTheme="minorHAnsi"/>
              </w:rPr>
            </w:pPr>
            <w:r w:rsidRPr="0077144C">
              <w:rPr>
                <w:rFonts w:asciiTheme="minorHAnsi" w:hAnsiTheme="minorHAnsi"/>
              </w:rPr>
              <w:t>VNITŘNÍ PROSTŘEDÍ</w:t>
            </w:r>
          </w:p>
        </w:tc>
        <w:tc>
          <w:tcPr>
            <w:tcW w:w="4506" w:type="dxa"/>
            <w:vAlign w:val="top"/>
          </w:tcPr>
          <w:p w14:paraId="16FE3122" w14:textId="77777777" w:rsidR="00B67D34" w:rsidRPr="0077144C" w:rsidRDefault="00B67D34">
            <w:pPr>
              <w:pStyle w:val="Dalodstavce"/>
              <w:spacing w:before="0" w:after="0"/>
              <w:ind w:firstLine="0"/>
              <w:jc w:val="left"/>
              <w:rPr>
                <w:rFonts w:asciiTheme="minorHAnsi" w:hAnsiTheme="minorHAnsi"/>
                <w:b/>
                <w:bCs/>
              </w:rPr>
            </w:pPr>
            <w:r w:rsidRPr="0077144C">
              <w:rPr>
                <w:rFonts w:asciiTheme="minorHAnsi" w:hAnsiTheme="minorHAnsi"/>
                <w:b/>
                <w:bCs/>
              </w:rPr>
              <w:t>SILNÉ STRÁNKY (S)</w:t>
            </w:r>
          </w:p>
          <w:p w14:paraId="30AFA378" w14:textId="77777777" w:rsidR="00B67D34" w:rsidRDefault="00B67D34">
            <w:pPr>
              <w:pStyle w:val="Dalodstavce"/>
              <w:numPr>
                <w:ilvl w:val="0"/>
                <w:numId w:val="21"/>
              </w:numPr>
              <w:spacing w:before="0" w:after="0"/>
              <w:ind w:left="643"/>
              <w:jc w:val="left"/>
              <w:rPr>
                <w:rFonts w:asciiTheme="minorHAnsi" w:hAnsiTheme="minorHAnsi"/>
              </w:rPr>
            </w:pPr>
            <w:r>
              <w:rPr>
                <w:rFonts w:asciiTheme="minorHAnsi" w:hAnsiTheme="minorHAnsi"/>
              </w:rPr>
              <w:t xml:space="preserve">Stabilní odběratelé a dodavatelé (poměrně velká stálost vyrobeného množství, což zajišťuje relativní stabilitu podniku) </w:t>
            </w:r>
          </w:p>
          <w:p w14:paraId="5D1EFC52" w14:textId="77777777" w:rsidR="00B67D34" w:rsidRPr="006B368B" w:rsidRDefault="00B67D34">
            <w:pPr>
              <w:pStyle w:val="Dalodstavce"/>
              <w:numPr>
                <w:ilvl w:val="0"/>
                <w:numId w:val="21"/>
              </w:numPr>
              <w:spacing w:before="0" w:after="0"/>
              <w:ind w:left="643"/>
              <w:jc w:val="left"/>
              <w:rPr>
                <w:rFonts w:asciiTheme="minorHAnsi" w:hAnsiTheme="minorHAnsi"/>
                <w:color w:val="000000" w:themeColor="text1"/>
              </w:rPr>
            </w:pPr>
            <w:r>
              <w:rPr>
                <w:rFonts w:asciiTheme="minorHAnsi" w:hAnsiTheme="minorHAnsi"/>
              </w:rPr>
              <w:t xml:space="preserve">Rozšiřování výrobních kapacit a výroby </w:t>
            </w:r>
            <w:r w:rsidRPr="006B368B">
              <w:rPr>
                <w:rFonts w:asciiTheme="minorHAnsi" w:hAnsiTheme="minorHAnsi"/>
                <w:color w:val="000000" w:themeColor="text1"/>
              </w:rPr>
              <w:t>(dlouhodobý růst DM)</w:t>
            </w:r>
          </w:p>
          <w:p w14:paraId="08C2CBCE" w14:textId="77777777" w:rsidR="00B67D34" w:rsidRPr="006B368B" w:rsidRDefault="00B67D34">
            <w:pPr>
              <w:pStyle w:val="Dalodstavce"/>
              <w:numPr>
                <w:ilvl w:val="0"/>
                <w:numId w:val="21"/>
              </w:numPr>
              <w:spacing w:before="0" w:after="0"/>
              <w:ind w:left="643"/>
              <w:jc w:val="left"/>
              <w:rPr>
                <w:rFonts w:asciiTheme="minorHAnsi" w:hAnsiTheme="minorHAnsi"/>
                <w:color w:val="000000" w:themeColor="text1"/>
              </w:rPr>
            </w:pPr>
            <w:r w:rsidRPr="00687D32">
              <w:rPr>
                <w:rFonts w:asciiTheme="minorHAnsi" w:hAnsiTheme="minorHAnsi"/>
              </w:rPr>
              <w:t>Investice do výzkumu a vývoje</w:t>
            </w:r>
          </w:p>
          <w:p w14:paraId="34115489" w14:textId="77777777" w:rsidR="00B67D34" w:rsidRPr="0077144C" w:rsidRDefault="00B67D34">
            <w:pPr>
              <w:pStyle w:val="Dalodstavce"/>
              <w:numPr>
                <w:ilvl w:val="0"/>
                <w:numId w:val="21"/>
              </w:numPr>
              <w:spacing w:before="0" w:after="0"/>
              <w:ind w:left="643"/>
              <w:jc w:val="left"/>
              <w:rPr>
                <w:rFonts w:asciiTheme="minorHAnsi" w:hAnsiTheme="minorHAnsi"/>
              </w:rPr>
            </w:pPr>
            <w:r w:rsidRPr="006B368B">
              <w:rPr>
                <w:rFonts w:asciiTheme="minorHAnsi" w:hAnsiTheme="minorHAnsi"/>
                <w:color w:val="000000" w:themeColor="text1"/>
              </w:rPr>
              <w:t>Kumulovaný zisk z minulých let</w:t>
            </w:r>
            <w:r>
              <w:rPr>
                <w:rFonts w:asciiTheme="minorHAnsi" w:hAnsiTheme="minorHAnsi"/>
                <w:color w:val="000000" w:themeColor="text1"/>
              </w:rPr>
              <w:t xml:space="preserve"> a dlouhodobě kladný zisk </w:t>
            </w:r>
          </w:p>
        </w:tc>
        <w:tc>
          <w:tcPr>
            <w:tcW w:w="4507" w:type="dxa"/>
            <w:vAlign w:val="top"/>
          </w:tcPr>
          <w:p w14:paraId="17E4D62D" w14:textId="77777777" w:rsidR="00B67D34" w:rsidRPr="0077144C" w:rsidRDefault="00B67D34">
            <w:pPr>
              <w:pStyle w:val="Dalodstavce"/>
              <w:spacing w:before="0" w:after="0"/>
              <w:ind w:firstLine="0"/>
              <w:jc w:val="left"/>
              <w:rPr>
                <w:rFonts w:asciiTheme="minorHAnsi" w:hAnsiTheme="minorHAnsi"/>
                <w:b/>
                <w:bCs/>
              </w:rPr>
            </w:pPr>
            <w:r w:rsidRPr="0077144C">
              <w:rPr>
                <w:rFonts w:asciiTheme="minorHAnsi" w:hAnsiTheme="minorHAnsi"/>
                <w:b/>
                <w:bCs/>
              </w:rPr>
              <w:t>SLABÉ STRÁNKY (W)</w:t>
            </w:r>
          </w:p>
          <w:p w14:paraId="40F93DFC" w14:textId="77777777" w:rsidR="00B67D34" w:rsidRPr="0077144C" w:rsidRDefault="00B67D34">
            <w:pPr>
              <w:pStyle w:val="Dalodstavce"/>
              <w:numPr>
                <w:ilvl w:val="0"/>
                <w:numId w:val="21"/>
              </w:numPr>
              <w:spacing w:before="0" w:after="0"/>
              <w:ind w:left="530"/>
              <w:jc w:val="left"/>
              <w:rPr>
                <w:rFonts w:asciiTheme="minorHAnsi" w:hAnsiTheme="minorHAnsi"/>
              </w:rPr>
            </w:pPr>
            <w:r>
              <w:rPr>
                <w:rFonts w:asciiTheme="minorHAnsi" w:hAnsiTheme="minorHAnsi"/>
              </w:rPr>
              <w:t>Pokles zisku v posledních 3 letech</w:t>
            </w:r>
          </w:p>
          <w:p w14:paraId="34CBCAE2" w14:textId="77777777" w:rsidR="00B67D34" w:rsidRDefault="00B67D34">
            <w:pPr>
              <w:pStyle w:val="Dalodstavce"/>
              <w:numPr>
                <w:ilvl w:val="0"/>
                <w:numId w:val="21"/>
              </w:numPr>
              <w:spacing w:before="0" w:after="0"/>
              <w:ind w:left="530"/>
              <w:jc w:val="left"/>
              <w:rPr>
                <w:rFonts w:asciiTheme="minorHAnsi" w:hAnsiTheme="minorHAnsi"/>
              </w:rPr>
            </w:pPr>
            <w:r>
              <w:rPr>
                <w:rFonts w:asciiTheme="minorHAnsi" w:hAnsiTheme="minorHAnsi"/>
              </w:rPr>
              <w:t>Závislost na cizích zdrojích a vysoké náklady na úroky</w:t>
            </w:r>
          </w:p>
          <w:p w14:paraId="09330DE1" w14:textId="77777777" w:rsidR="00B67D34" w:rsidRDefault="00B67D34">
            <w:pPr>
              <w:pStyle w:val="Dalodstavce"/>
              <w:numPr>
                <w:ilvl w:val="0"/>
                <w:numId w:val="21"/>
              </w:numPr>
              <w:spacing w:before="0" w:after="0"/>
              <w:ind w:left="530"/>
              <w:jc w:val="left"/>
              <w:rPr>
                <w:rFonts w:asciiTheme="minorHAnsi" w:hAnsiTheme="minorHAnsi"/>
              </w:rPr>
            </w:pPr>
            <w:r>
              <w:rPr>
                <w:rFonts w:asciiTheme="minorHAnsi" w:hAnsiTheme="minorHAnsi"/>
              </w:rPr>
              <w:t xml:space="preserve">Obrovská náročnost na lidské zdroje a náklady s nimi spojené </w:t>
            </w:r>
          </w:p>
          <w:p w14:paraId="06A8390C" w14:textId="77777777" w:rsidR="00B67D34" w:rsidRPr="0077144C" w:rsidRDefault="00B67D34">
            <w:pPr>
              <w:pStyle w:val="Dalodstavce"/>
              <w:numPr>
                <w:ilvl w:val="0"/>
                <w:numId w:val="21"/>
              </w:numPr>
              <w:spacing w:before="0" w:after="0"/>
              <w:ind w:left="530"/>
              <w:jc w:val="left"/>
              <w:rPr>
                <w:rFonts w:asciiTheme="minorHAnsi" w:hAnsiTheme="minorHAnsi"/>
              </w:rPr>
            </w:pPr>
            <w:r>
              <w:rPr>
                <w:rFonts w:asciiTheme="minorHAnsi" w:hAnsiTheme="minorHAnsi"/>
              </w:rPr>
              <w:t xml:space="preserve">Značné navýšení výrobních kapacit v době snížení odbytu </w:t>
            </w:r>
          </w:p>
        </w:tc>
      </w:tr>
      <w:tr w:rsidR="00B67D34" w:rsidRPr="0077144C" w14:paraId="5CD37DA6" w14:textId="77777777">
        <w:trPr>
          <w:cantSplit/>
          <w:trHeight w:val="2955"/>
          <w:jc w:val="left"/>
        </w:trPr>
        <w:tc>
          <w:tcPr>
            <w:tcW w:w="600" w:type="dxa"/>
            <w:shd w:val="clear" w:color="auto" w:fill="D9E2F3" w:themeFill="accent5" w:themeFillTint="33"/>
            <w:textDirection w:val="btLr"/>
          </w:tcPr>
          <w:p w14:paraId="0B1594AA" w14:textId="77777777" w:rsidR="00B67D34" w:rsidRPr="0077144C" w:rsidRDefault="00B67D34">
            <w:pPr>
              <w:pStyle w:val="Dalodstavce"/>
              <w:spacing w:before="0" w:after="0"/>
              <w:ind w:left="113" w:right="113" w:firstLine="0"/>
              <w:jc w:val="center"/>
              <w:rPr>
                <w:rFonts w:asciiTheme="minorHAnsi" w:hAnsiTheme="minorHAnsi"/>
              </w:rPr>
            </w:pPr>
            <w:r w:rsidRPr="0077144C">
              <w:rPr>
                <w:rFonts w:asciiTheme="minorHAnsi" w:hAnsiTheme="minorHAnsi"/>
              </w:rPr>
              <w:t>VNĚJŠÍ PROSTŘEDÍ</w:t>
            </w:r>
          </w:p>
        </w:tc>
        <w:tc>
          <w:tcPr>
            <w:tcW w:w="4506" w:type="dxa"/>
            <w:vAlign w:val="top"/>
          </w:tcPr>
          <w:p w14:paraId="55F5011E" w14:textId="77777777" w:rsidR="00B67D34" w:rsidRPr="0077144C" w:rsidRDefault="00B67D34">
            <w:pPr>
              <w:pStyle w:val="Dalodstavce"/>
              <w:spacing w:before="0" w:after="0"/>
              <w:ind w:firstLine="0"/>
              <w:jc w:val="left"/>
              <w:rPr>
                <w:rFonts w:asciiTheme="minorHAnsi" w:hAnsiTheme="minorHAnsi"/>
                <w:b/>
                <w:bCs/>
              </w:rPr>
            </w:pPr>
            <w:r w:rsidRPr="0077144C">
              <w:rPr>
                <w:rFonts w:asciiTheme="minorHAnsi" w:hAnsiTheme="minorHAnsi"/>
                <w:b/>
                <w:bCs/>
              </w:rPr>
              <w:t>PŘÍLEŽITOSTI (O)</w:t>
            </w:r>
          </w:p>
          <w:p w14:paraId="3338C10E" w14:textId="77777777" w:rsidR="00B67D34" w:rsidRDefault="00B67D34">
            <w:pPr>
              <w:pStyle w:val="Dalodstavce"/>
              <w:numPr>
                <w:ilvl w:val="0"/>
                <w:numId w:val="21"/>
              </w:numPr>
              <w:spacing w:before="0" w:after="0"/>
              <w:ind w:left="530"/>
              <w:jc w:val="left"/>
              <w:rPr>
                <w:rFonts w:asciiTheme="minorHAnsi" w:hAnsiTheme="minorHAnsi"/>
              </w:rPr>
            </w:pPr>
            <w:r>
              <w:rPr>
                <w:rFonts w:asciiTheme="minorHAnsi" w:hAnsiTheme="minorHAnsi"/>
              </w:rPr>
              <w:t xml:space="preserve">Rostoucí trh a nové příležitosti v oblasti elektromobility </w:t>
            </w:r>
          </w:p>
          <w:p w14:paraId="2352F1CE" w14:textId="77777777" w:rsidR="00B67D34" w:rsidRDefault="00B67D34">
            <w:pPr>
              <w:pStyle w:val="Dalodstavce"/>
              <w:numPr>
                <w:ilvl w:val="0"/>
                <w:numId w:val="21"/>
              </w:numPr>
              <w:spacing w:before="0" w:after="0"/>
              <w:ind w:left="530"/>
              <w:jc w:val="left"/>
              <w:rPr>
                <w:rFonts w:asciiTheme="minorHAnsi" w:hAnsiTheme="minorHAnsi"/>
              </w:rPr>
            </w:pPr>
            <w:r>
              <w:rPr>
                <w:rFonts w:asciiTheme="minorHAnsi" w:hAnsiTheme="minorHAnsi"/>
              </w:rPr>
              <w:t xml:space="preserve">Příchod nových potenciálních partnerů na trh </w:t>
            </w:r>
          </w:p>
          <w:p w14:paraId="40133CC2" w14:textId="77777777" w:rsidR="00B67D34" w:rsidRPr="0077144C" w:rsidRDefault="00B67D34">
            <w:pPr>
              <w:pStyle w:val="Dalodstavce"/>
              <w:numPr>
                <w:ilvl w:val="0"/>
                <w:numId w:val="21"/>
              </w:numPr>
              <w:spacing w:before="0" w:after="0"/>
              <w:ind w:left="530"/>
              <w:jc w:val="left"/>
              <w:rPr>
                <w:rFonts w:asciiTheme="minorHAnsi" w:hAnsiTheme="minorHAnsi"/>
              </w:rPr>
            </w:pPr>
            <w:r>
              <w:rPr>
                <w:rFonts w:asciiTheme="minorHAnsi" w:hAnsiTheme="minorHAnsi"/>
              </w:rPr>
              <w:t>Příchod pracovní síly ze zahraničí</w:t>
            </w:r>
          </w:p>
        </w:tc>
        <w:tc>
          <w:tcPr>
            <w:tcW w:w="4507" w:type="dxa"/>
            <w:vAlign w:val="top"/>
          </w:tcPr>
          <w:p w14:paraId="3D0EBEE9" w14:textId="77777777" w:rsidR="00B67D34" w:rsidRPr="0077144C" w:rsidRDefault="00B67D34">
            <w:pPr>
              <w:pStyle w:val="Dalodstavce"/>
              <w:spacing w:before="0" w:after="0"/>
              <w:ind w:firstLine="0"/>
              <w:jc w:val="left"/>
              <w:rPr>
                <w:rFonts w:asciiTheme="minorHAnsi" w:hAnsiTheme="minorHAnsi"/>
                <w:b/>
                <w:bCs/>
              </w:rPr>
            </w:pPr>
            <w:r w:rsidRPr="0077144C">
              <w:rPr>
                <w:rFonts w:asciiTheme="minorHAnsi" w:hAnsiTheme="minorHAnsi"/>
                <w:b/>
                <w:bCs/>
              </w:rPr>
              <w:t>HROZBY (T)</w:t>
            </w:r>
          </w:p>
          <w:p w14:paraId="79BEC1B7" w14:textId="77777777" w:rsidR="00B67D34" w:rsidRDefault="00B67D34">
            <w:pPr>
              <w:pStyle w:val="Dalodstavce"/>
              <w:numPr>
                <w:ilvl w:val="0"/>
                <w:numId w:val="21"/>
              </w:numPr>
              <w:spacing w:before="0" w:after="0"/>
              <w:ind w:left="530"/>
              <w:jc w:val="left"/>
              <w:rPr>
                <w:rFonts w:asciiTheme="minorHAnsi" w:hAnsiTheme="minorHAnsi"/>
              </w:rPr>
            </w:pPr>
            <w:r>
              <w:rPr>
                <w:rFonts w:asciiTheme="minorHAnsi" w:hAnsiTheme="minorHAnsi"/>
              </w:rPr>
              <w:t>Vysoká inflace a úrokové sazby</w:t>
            </w:r>
          </w:p>
          <w:p w14:paraId="261A77DA" w14:textId="77777777" w:rsidR="00B67D34" w:rsidRDefault="00B67D34">
            <w:pPr>
              <w:pStyle w:val="Dalodstavce"/>
              <w:numPr>
                <w:ilvl w:val="0"/>
                <w:numId w:val="21"/>
              </w:numPr>
              <w:spacing w:before="0" w:after="0"/>
              <w:ind w:left="530"/>
              <w:jc w:val="left"/>
              <w:rPr>
                <w:rFonts w:asciiTheme="minorHAnsi" w:hAnsiTheme="minorHAnsi"/>
              </w:rPr>
            </w:pPr>
            <w:r>
              <w:rPr>
                <w:rFonts w:asciiTheme="minorHAnsi" w:hAnsiTheme="minorHAnsi"/>
              </w:rPr>
              <w:t>Závislost na ekonomickém cyklu (viz pokles zisku v období pandemie a v letech 2009 a 2010)</w:t>
            </w:r>
          </w:p>
          <w:p w14:paraId="6074AF19" w14:textId="77777777" w:rsidR="00B67D34" w:rsidRDefault="00B67D34">
            <w:pPr>
              <w:pStyle w:val="Dalodstavce"/>
              <w:numPr>
                <w:ilvl w:val="0"/>
                <w:numId w:val="21"/>
              </w:numPr>
              <w:spacing w:before="0" w:after="0"/>
              <w:ind w:left="530"/>
              <w:jc w:val="left"/>
              <w:rPr>
                <w:rFonts w:asciiTheme="minorHAnsi" w:hAnsiTheme="minorHAnsi"/>
              </w:rPr>
            </w:pPr>
            <w:r>
              <w:rPr>
                <w:rFonts w:asciiTheme="minorHAnsi" w:hAnsiTheme="minorHAnsi"/>
              </w:rPr>
              <w:t>Růst mezd v automobilovém odvětví</w:t>
            </w:r>
          </w:p>
          <w:p w14:paraId="776E482A" w14:textId="77777777" w:rsidR="00B67D34" w:rsidRPr="0077144C" w:rsidRDefault="00B67D34">
            <w:pPr>
              <w:pStyle w:val="Dalodstavce"/>
              <w:numPr>
                <w:ilvl w:val="0"/>
                <w:numId w:val="21"/>
              </w:numPr>
              <w:spacing w:before="0" w:after="0"/>
              <w:ind w:left="530"/>
              <w:jc w:val="left"/>
              <w:rPr>
                <w:rFonts w:asciiTheme="minorHAnsi" w:hAnsiTheme="minorHAnsi"/>
              </w:rPr>
            </w:pPr>
            <w:r>
              <w:rPr>
                <w:rFonts w:asciiTheme="minorHAnsi" w:hAnsiTheme="minorHAnsi"/>
              </w:rPr>
              <w:t xml:space="preserve">Nízká nezaměstnanost </w:t>
            </w:r>
          </w:p>
        </w:tc>
      </w:tr>
    </w:tbl>
    <w:p w14:paraId="58CCAEE6" w14:textId="77777777" w:rsidR="00EA21A2" w:rsidRPr="00EA21A2" w:rsidRDefault="00EA21A2" w:rsidP="00EA21A2">
      <w:pPr>
        <w:pStyle w:val="Odstavec1"/>
      </w:pPr>
    </w:p>
    <w:p w14:paraId="1482B685" w14:textId="25B4527A" w:rsidR="007B4194" w:rsidRDefault="007B4194" w:rsidP="003578FF">
      <w:pPr>
        <w:pStyle w:val="Nadpis2"/>
        <w:numPr>
          <w:ilvl w:val="1"/>
          <w:numId w:val="26"/>
        </w:numPr>
      </w:pPr>
      <w:bookmarkStart w:id="17" w:name="_Toc134175265"/>
      <w:r>
        <w:t>Závěr kapitoly</w:t>
      </w:r>
      <w:bookmarkEnd w:id="17"/>
      <w:r>
        <w:t xml:space="preserve"> </w:t>
      </w:r>
    </w:p>
    <w:p w14:paraId="1D3B3C8F" w14:textId="484BAAD9" w:rsidR="00B246CB" w:rsidRPr="00B246CB" w:rsidRDefault="00D0139A" w:rsidP="00B246CB">
      <w:pPr>
        <w:pStyle w:val="Odstavec1"/>
      </w:pPr>
      <w:r>
        <w:t xml:space="preserve">Z provedené horizontální a vertikální analýzy je patrné, že společnost Disting s.r.o. si získala silnou pozici na trhu v oblasti svého podnikání. Velmi nešťastným </w:t>
      </w:r>
      <w:r w:rsidR="00F835E5">
        <w:t xml:space="preserve">krokem byla stavba budovy a podstatné navýšení zaměstnanců v souvislosti s koronavirovou krizí, kterou však společnost nemohla předvídat. Díky </w:t>
      </w:r>
      <w:r w:rsidR="00D21184">
        <w:t xml:space="preserve">skvělým výsledkům hospodaření však těžké roky ustála, avšak současné tržby a tím pádem i zisk společnosti se drží na velmi nízké úrovni. </w:t>
      </w:r>
      <w:r w:rsidR="002B74FD">
        <w:t xml:space="preserve">V tomto směru budou velmi zajímavá data z roku 2022 a 2023, jejichž hodnoty rozhodnou o tom, zda se společnost na trhu nadále udrží a podaří se ji dosáhnout </w:t>
      </w:r>
      <w:r w:rsidR="00844BB0">
        <w:t xml:space="preserve">svých dřívějších výsledků. </w:t>
      </w:r>
    </w:p>
    <w:p w14:paraId="53D6F8D5" w14:textId="36022ECB" w:rsidR="007F479B" w:rsidRDefault="007F479B" w:rsidP="003578FF">
      <w:pPr>
        <w:pStyle w:val="Nadpis1"/>
        <w:numPr>
          <w:ilvl w:val="0"/>
          <w:numId w:val="26"/>
        </w:numPr>
      </w:pPr>
      <w:bookmarkStart w:id="18" w:name="_Toc134175266"/>
      <w:r>
        <w:lastRenderedPageBreak/>
        <w:t>Poměrové ukazatele</w:t>
      </w:r>
      <w:bookmarkEnd w:id="18"/>
    </w:p>
    <w:p w14:paraId="7DBEBE7A" w14:textId="2CE9E3B8" w:rsidR="00503ACC" w:rsidRDefault="003643B1" w:rsidP="00503ACC">
      <w:pPr>
        <w:pStyle w:val="Odstavec1"/>
      </w:pPr>
      <w:r>
        <w:t>Tato kapitola seminární práce se bude věnovat poměrovým ukazatelům.</w:t>
      </w:r>
      <w:r w:rsidR="003E397A">
        <w:t xml:space="preserve"> </w:t>
      </w:r>
      <w:r w:rsidR="003E397A" w:rsidRPr="003E397A">
        <w:t xml:space="preserve">Poměrové ukazatele jsou důležitým prvkem </w:t>
      </w:r>
      <w:r w:rsidR="00EB57F0">
        <w:t>finanční</w:t>
      </w:r>
      <w:r w:rsidR="003E397A" w:rsidRPr="003E397A">
        <w:t xml:space="preserve"> analýzy</w:t>
      </w:r>
      <w:r w:rsidR="00EB57F0">
        <w:t xml:space="preserve">, jelikož dokážou ohodnotit </w:t>
      </w:r>
      <w:r w:rsidR="00EB57F0" w:rsidRPr="00EB57F0">
        <w:t>finanční výkonnost a stabilitu společnosti</w:t>
      </w:r>
      <w:r w:rsidR="00EB57F0">
        <w:t xml:space="preserve">, čímž pomáhají lépe porozumět </w:t>
      </w:r>
      <w:r w:rsidR="003E397A" w:rsidRPr="003E397A">
        <w:t>různým aspektům finančního zdraví společnosti.</w:t>
      </w:r>
      <w:r w:rsidR="00EB57F0">
        <w:t xml:space="preserve"> </w:t>
      </w:r>
      <w:r w:rsidR="00503ACC">
        <w:t xml:space="preserve">Konkrétně se budeme zaměřovat </w:t>
      </w:r>
      <w:r w:rsidR="00D7473A">
        <w:t xml:space="preserve">především </w:t>
      </w:r>
      <w:r w:rsidR="00503ACC">
        <w:t>na ukazatele rentability, aktivity, likvidity a platební schopnosti.</w:t>
      </w:r>
      <w:r w:rsidR="00BE6129">
        <w:t xml:space="preserve"> </w:t>
      </w:r>
    </w:p>
    <w:p w14:paraId="0046A112" w14:textId="1727A961" w:rsidR="008460E9" w:rsidRDefault="00503ACC" w:rsidP="00D7473A">
      <w:pPr>
        <w:pStyle w:val="Odstavec1"/>
        <w:ind w:firstLine="709"/>
      </w:pPr>
      <w:r>
        <w:t>Rentabilita se zaměřuje na ziskovost společnosti a měří, jak efektivně společnost využívá svých aktiv. Aktivita se zaměřuje na obratovost aktiv společnosti a měří, jak efektivně společnost využívá svých zdrojů. Likvidita se zaměřuje na schopnost společnosti rychle splatit své závazky a platební schopnost se zaměřuje na schopnost společnosti splácet své dluhy.</w:t>
      </w:r>
    </w:p>
    <w:p w14:paraId="27DC7B06" w14:textId="18A5853D" w:rsidR="00722C15" w:rsidRPr="00722C15" w:rsidRDefault="00722C15" w:rsidP="00722C15">
      <w:pPr>
        <w:pStyle w:val="Nadpis2"/>
        <w:numPr>
          <w:ilvl w:val="1"/>
          <w:numId w:val="27"/>
        </w:numPr>
      </w:pPr>
      <w:bookmarkStart w:id="19" w:name="_Toc134175267"/>
      <w:r>
        <w:t>Rentabilita</w:t>
      </w:r>
      <w:bookmarkEnd w:id="19"/>
    </w:p>
    <w:p w14:paraId="047F17D1" w14:textId="284A4786" w:rsidR="00325491" w:rsidRDefault="002435DD" w:rsidP="00FF3DF8">
      <w:pPr>
        <w:pStyle w:val="Dalodstavce"/>
        <w:ind w:firstLine="0"/>
      </w:pPr>
      <w:r>
        <w:t xml:space="preserve">Nejprve si </w:t>
      </w:r>
      <w:r w:rsidRPr="00FF3DF8">
        <w:t>představíme vývoj rentability společnosti</w:t>
      </w:r>
      <w:r>
        <w:t xml:space="preserve"> Disting. </w:t>
      </w:r>
      <w:r w:rsidR="002E0A6D">
        <w:t xml:space="preserve">Konkrétními ukazateli jsou </w:t>
      </w:r>
      <w:r w:rsidR="00135DE7">
        <w:t xml:space="preserve">ROE (z ang. </w:t>
      </w:r>
      <w:r w:rsidR="00135DE7" w:rsidRPr="00135DE7">
        <w:t>Return on Equity</w:t>
      </w:r>
      <w:r w:rsidR="00135DE7">
        <w:t xml:space="preserve">) neboli Rentabilita kapitálu, </w:t>
      </w:r>
      <w:r w:rsidR="004849B1">
        <w:t>ROA (z ang. R</w:t>
      </w:r>
      <w:r w:rsidR="004849B1" w:rsidRPr="004849B1">
        <w:t xml:space="preserve">eturn of </w:t>
      </w:r>
      <w:r w:rsidR="004849B1">
        <w:t>A</w:t>
      </w:r>
      <w:r w:rsidR="004849B1" w:rsidRPr="004849B1">
        <w:t>ssets</w:t>
      </w:r>
      <w:r w:rsidR="004849B1">
        <w:t xml:space="preserve">) neboli Rentabilita </w:t>
      </w:r>
      <w:r w:rsidR="0005345C">
        <w:t>aktiv</w:t>
      </w:r>
      <w:r w:rsidR="004849B1">
        <w:t xml:space="preserve">, </w:t>
      </w:r>
      <w:r w:rsidR="00894CA1">
        <w:t>ROCE</w:t>
      </w:r>
      <w:r w:rsidR="00CF1565">
        <w:t xml:space="preserve"> </w:t>
      </w:r>
      <w:r w:rsidR="00894CA1">
        <w:t xml:space="preserve">(z ang. </w:t>
      </w:r>
      <w:r w:rsidR="00CF1565" w:rsidRPr="00CF1565">
        <w:t>Return on Capital Employed</w:t>
      </w:r>
      <w:r w:rsidR="00CF1565">
        <w:t>) n</w:t>
      </w:r>
      <w:r w:rsidR="00E0574A">
        <w:t xml:space="preserve">eboli </w:t>
      </w:r>
      <w:r w:rsidR="00E0574A" w:rsidRPr="00E0574A">
        <w:t>Výnosnost kapitálu investorů</w:t>
      </w:r>
      <w:r w:rsidR="009A008C">
        <w:t xml:space="preserve"> či </w:t>
      </w:r>
      <w:r w:rsidR="009A008C" w:rsidRPr="009A008C">
        <w:t>Rentabilita dlouhodobě investovaného kapitálu</w:t>
      </w:r>
      <w:r w:rsidR="00B33D17">
        <w:t xml:space="preserve"> a ROS (z ang. Return on </w:t>
      </w:r>
      <w:r w:rsidR="009431B6">
        <w:t>Sales) neboli Rentabilita tržeb</w:t>
      </w:r>
      <w:r w:rsidR="00CF1565">
        <w:t>.</w:t>
      </w:r>
      <w:r w:rsidR="00834396">
        <w:t xml:space="preserve"> Způsob výpočtu a výsledné hodnoty jsou uvedeny v Tab. 12. </w:t>
      </w:r>
    </w:p>
    <w:p w14:paraId="29329F87" w14:textId="77777777" w:rsidR="006F5854" w:rsidRDefault="006F5854" w:rsidP="00834396">
      <w:pPr>
        <w:pStyle w:val="Dalodstavce"/>
      </w:pPr>
    </w:p>
    <w:tbl>
      <w:tblPr>
        <w:tblpPr w:leftFromText="141" w:rightFromText="141" w:vertAnchor="text" w:horzAnchor="margin" w:tblpY="-32"/>
        <w:tblW w:w="8130" w:type="dxa"/>
        <w:tblCellMar>
          <w:left w:w="70" w:type="dxa"/>
          <w:right w:w="70" w:type="dxa"/>
        </w:tblCellMar>
        <w:tblLook w:val="04A0" w:firstRow="1" w:lastRow="0" w:firstColumn="1" w:lastColumn="0" w:noHBand="0" w:noVBand="1"/>
      </w:tblPr>
      <w:tblGrid>
        <w:gridCol w:w="2650"/>
        <w:gridCol w:w="1300"/>
        <w:gridCol w:w="960"/>
        <w:gridCol w:w="960"/>
        <w:gridCol w:w="960"/>
        <w:gridCol w:w="1300"/>
      </w:tblGrid>
      <w:tr w:rsidR="006F5854" w:rsidRPr="006269DC" w14:paraId="5232B8AA" w14:textId="77777777" w:rsidTr="006F5854">
        <w:trPr>
          <w:trHeight w:val="525"/>
        </w:trPr>
        <w:tc>
          <w:tcPr>
            <w:tcW w:w="265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5D90EE" w14:textId="77777777" w:rsidR="006F5854" w:rsidRPr="006269DC" w:rsidRDefault="006F5854" w:rsidP="006F5854">
            <w:pPr>
              <w:rPr>
                <w:rFonts w:ascii="Arial" w:hAnsi="Arial" w:cs="Arial"/>
                <w:sz w:val="18"/>
                <w:szCs w:val="18"/>
              </w:rPr>
            </w:pPr>
            <w:r w:rsidRPr="006269DC">
              <w:rPr>
                <w:rFonts w:ascii="Arial" w:hAnsi="Arial" w:cs="Arial"/>
                <w:sz w:val="18"/>
                <w:szCs w:val="18"/>
              </w:rPr>
              <w:t> </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708DC71C" w14:textId="77777777" w:rsidR="006F5854" w:rsidRPr="006269DC" w:rsidRDefault="006F5854" w:rsidP="006F5854">
            <w:pPr>
              <w:jc w:val="center"/>
              <w:rPr>
                <w:rFonts w:ascii="Arial" w:hAnsi="Arial" w:cs="Arial"/>
                <w:sz w:val="18"/>
                <w:szCs w:val="18"/>
              </w:rPr>
            </w:pPr>
            <w:r w:rsidRPr="006269DC">
              <w:rPr>
                <w:rFonts w:ascii="Arial" w:hAnsi="Arial" w:cs="Arial"/>
                <w:sz w:val="18"/>
                <w:szCs w:val="18"/>
              </w:rPr>
              <w:t>2017</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0A1C7669" w14:textId="77777777" w:rsidR="006F5854" w:rsidRPr="006269DC" w:rsidRDefault="006F5854" w:rsidP="006F5854">
            <w:pPr>
              <w:jc w:val="center"/>
              <w:rPr>
                <w:rFonts w:ascii="Arial" w:hAnsi="Arial" w:cs="Arial"/>
                <w:sz w:val="18"/>
                <w:szCs w:val="18"/>
              </w:rPr>
            </w:pPr>
            <w:r w:rsidRPr="006269DC">
              <w:rPr>
                <w:rFonts w:ascii="Arial" w:hAnsi="Arial" w:cs="Arial"/>
                <w:sz w:val="18"/>
                <w:szCs w:val="18"/>
              </w:rPr>
              <w:t>2018</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00F749BA" w14:textId="77777777" w:rsidR="006F5854" w:rsidRPr="006269DC" w:rsidRDefault="006F5854" w:rsidP="006F5854">
            <w:pPr>
              <w:jc w:val="center"/>
              <w:rPr>
                <w:rFonts w:ascii="Arial" w:hAnsi="Arial" w:cs="Arial"/>
                <w:sz w:val="18"/>
                <w:szCs w:val="18"/>
              </w:rPr>
            </w:pPr>
            <w:r w:rsidRPr="006269DC">
              <w:rPr>
                <w:rFonts w:ascii="Arial" w:hAnsi="Arial" w:cs="Arial"/>
                <w:sz w:val="18"/>
                <w:szCs w:val="18"/>
              </w:rPr>
              <w:t>2019</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29D42529" w14:textId="77777777" w:rsidR="006F5854" w:rsidRPr="006269DC" w:rsidRDefault="006F5854" w:rsidP="006F5854">
            <w:pPr>
              <w:jc w:val="center"/>
              <w:rPr>
                <w:rFonts w:ascii="Arial" w:hAnsi="Arial" w:cs="Arial"/>
                <w:sz w:val="18"/>
                <w:szCs w:val="18"/>
              </w:rPr>
            </w:pPr>
            <w:r w:rsidRPr="006269DC">
              <w:rPr>
                <w:rFonts w:ascii="Arial" w:hAnsi="Arial" w:cs="Arial"/>
                <w:sz w:val="18"/>
                <w:szCs w:val="18"/>
              </w:rPr>
              <w:t>2020</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4AA25F66" w14:textId="77777777" w:rsidR="006F5854" w:rsidRPr="006269DC" w:rsidRDefault="006F5854" w:rsidP="006F5854">
            <w:pPr>
              <w:jc w:val="center"/>
              <w:rPr>
                <w:rFonts w:ascii="Arial" w:hAnsi="Arial" w:cs="Arial"/>
                <w:sz w:val="18"/>
                <w:szCs w:val="18"/>
              </w:rPr>
            </w:pPr>
            <w:r w:rsidRPr="006269DC">
              <w:rPr>
                <w:rFonts w:ascii="Arial" w:hAnsi="Arial" w:cs="Arial"/>
                <w:sz w:val="18"/>
                <w:szCs w:val="18"/>
              </w:rPr>
              <w:t>2021</w:t>
            </w:r>
          </w:p>
        </w:tc>
      </w:tr>
      <w:tr w:rsidR="006F5854" w:rsidRPr="006269DC" w14:paraId="5802F0EC" w14:textId="77777777" w:rsidTr="006F5854">
        <w:trPr>
          <w:trHeight w:val="264"/>
        </w:trPr>
        <w:tc>
          <w:tcPr>
            <w:tcW w:w="2650" w:type="dxa"/>
            <w:tcBorders>
              <w:top w:val="nil"/>
              <w:left w:val="single" w:sz="4" w:space="0" w:color="auto"/>
              <w:bottom w:val="single" w:sz="4" w:space="0" w:color="auto"/>
              <w:right w:val="single" w:sz="4" w:space="0" w:color="auto"/>
            </w:tcBorders>
            <w:shd w:val="clear" w:color="000000" w:fill="D9D9D9"/>
            <w:noWrap/>
            <w:vAlign w:val="bottom"/>
            <w:hideMark/>
          </w:tcPr>
          <w:p w14:paraId="7EE3236D" w14:textId="77777777" w:rsidR="006F5854" w:rsidRPr="006269DC" w:rsidRDefault="006F5854" w:rsidP="006F5854">
            <w:pPr>
              <w:rPr>
                <w:rFonts w:ascii="Arial" w:hAnsi="Arial" w:cs="Arial"/>
                <w:b/>
                <w:bCs/>
                <w:sz w:val="18"/>
                <w:szCs w:val="18"/>
              </w:rPr>
            </w:pPr>
            <w:r w:rsidRPr="006269DC">
              <w:rPr>
                <w:rFonts w:ascii="Arial" w:hAnsi="Arial" w:cs="Arial"/>
                <w:b/>
                <w:bCs/>
                <w:sz w:val="18"/>
                <w:szCs w:val="18"/>
              </w:rPr>
              <w:t>ROE (ČZ/VK)</w:t>
            </w:r>
          </w:p>
        </w:tc>
        <w:tc>
          <w:tcPr>
            <w:tcW w:w="13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D30C59"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22,38%</w:t>
            </w:r>
          </w:p>
        </w:tc>
        <w:tc>
          <w:tcPr>
            <w:tcW w:w="960" w:type="dxa"/>
            <w:tcBorders>
              <w:top w:val="single" w:sz="4" w:space="0" w:color="auto"/>
              <w:left w:val="single" w:sz="4" w:space="0" w:color="auto"/>
              <w:bottom w:val="single" w:sz="4" w:space="0" w:color="auto"/>
              <w:right w:val="single" w:sz="4" w:space="0" w:color="auto"/>
            </w:tcBorders>
            <w:shd w:val="clear" w:color="000000" w:fill="9ACE7F"/>
            <w:noWrap/>
            <w:vAlign w:val="bottom"/>
            <w:hideMark/>
          </w:tcPr>
          <w:p w14:paraId="3D8DA6FF"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15,16%</w:t>
            </w:r>
          </w:p>
        </w:tc>
        <w:tc>
          <w:tcPr>
            <w:tcW w:w="960"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14:paraId="7E4C576E"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1,57%</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1C30C26"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0,73%</w:t>
            </w:r>
          </w:p>
        </w:tc>
        <w:tc>
          <w:tcPr>
            <w:tcW w:w="13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2B5EAF1"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1,66%</w:t>
            </w:r>
          </w:p>
        </w:tc>
      </w:tr>
      <w:tr w:rsidR="006F5854" w:rsidRPr="006269DC" w14:paraId="148B3A52" w14:textId="77777777" w:rsidTr="006F5854">
        <w:trPr>
          <w:trHeight w:val="264"/>
        </w:trPr>
        <w:tc>
          <w:tcPr>
            <w:tcW w:w="2650" w:type="dxa"/>
            <w:tcBorders>
              <w:top w:val="nil"/>
              <w:left w:val="single" w:sz="4" w:space="0" w:color="auto"/>
              <w:bottom w:val="single" w:sz="4" w:space="0" w:color="auto"/>
              <w:right w:val="single" w:sz="4" w:space="0" w:color="auto"/>
            </w:tcBorders>
            <w:shd w:val="clear" w:color="000000" w:fill="D9D9D9"/>
            <w:noWrap/>
            <w:vAlign w:val="bottom"/>
            <w:hideMark/>
          </w:tcPr>
          <w:p w14:paraId="03E1719E" w14:textId="77777777" w:rsidR="006F5854" w:rsidRPr="006269DC" w:rsidRDefault="006F5854" w:rsidP="006F5854">
            <w:pPr>
              <w:rPr>
                <w:rFonts w:ascii="Arial" w:hAnsi="Arial" w:cs="Arial"/>
                <w:b/>
                <w:bCs/>
                <w:sz w:val="18"/>
                <w:szCs w:val="18"/>
              </w:rPr>
            </w:pPr>
            <w:r w:rsidRPr="006269DC">
              <w:rPr>
                <w:rFonts w:ascii="Arial" w:hAnsi="Arial" w:cs="Arial"/>
                <w:b/>
                <w:bCs/>
                <w:sz w:val="18"/>
                <w:szCs w:val="18"/>
              </w:rPr>
              <w:t>ROA (EBIT/A)</w:t>
            </w:r>
          </w:p>
        </w:tc>
        <w:tc>
          <w:tcPr>
            <w:tcW w:w="13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D072BE"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23,92%</w:t>
            </w:r>
          </w:p>
        </w:tc>
        <w:tc>
          <w:tcPr>
            <w:tcW w:w="960"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29CED3A4"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14,35%</w:t>
            </w:r>
          </w:p>
        </w:tc>
        <w:tc>
          <w:tcPr>
            <w:tcW w:w="960"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7E9A14B7"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1,83%</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8199E06"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1,80%</w:t>
            </w:r>
          </w:p>
        </w:tc>
        <w:tc>
          <w:tcPr>
            <w:tcW w:w="13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9D03B9A"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2,33%</w:t>
            </w:r>
          </w:p>
        </w:tc>
      </w:tr>
      <w:tr w:rsidR="006F5854" w:rsidRPr="006269DC" w14:paraId="40561844" w14:textId="77777777" w:rsidTr="006F5854">
        <w:trPr>
          <w:trHeight w:val="264"/>
        </w:trPr>
        <w:tc>
          <w:tcPr>
            <w:tcW w:w="2650" w:type="dxa"/>
            <w:tcBorders>
              <w:top w:val="nil"/>
              <w:left w:val="single" w:sz="4" w:space="0" w:color="auto"/>
              <w:bottom w:val="single" w:sz="4" w:space="0" w:color="auto"/>
              <w:right w:val="single" w:sz="4" w:space="0" w:color="auto"/>
            </w:tcBorders>
            <w:shd w:val="clear" w:color="000000" w:fill="D9D9D9"/>
            <w:noWrap/>
            <w:vAlign w:val="bottom"/>
            <w:hideMark/>
          </w:tcPr>
          <w:p w14:paraId="3C49182F" w14:textId="77777777" w:rsidR="006F5854" w:rsidRPr="006269DC" w:rsidRDefault="006F5854" w:rsidP="006F5854">
            <w:pPr>
              <w:rPr>
                <w:rFonts w:ascii="Arial" w:hAnsi="Arial" w:cs="Arial"/>
                <w:b/>
                <w:bCs/>
                <w:sz w:val="18"/>
                <w:szCs w:val="18"/>
              </w:rPr>
            </w:pPr>
            <w:r w:rsidRPr="006269DC">
              <w:rPr>
                <w:rFonts w:ascii="Arial" w:hAnsi="Arial" w:cs="Arial"/>
                <w:b/>
                <w:bCs/>
                <w:sz w:val="18"/>
                <w:szCs w:val="18"/>
              </w:rPr>
              <w:t>ROICE (EBITDA/(VK+DCZ))</w:t>
            </w:r>
          </w:p>
        </w:tc>
        <w:tc>
          <w:tcPr>
            <w:tcW w:w="13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3185FC"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35,62%</w:t>
            </w:r>
          </w:p>
        </w:tc>
        <w:tc>
          <w:tcPr>
            <w:tcW w:w="960" w:type="dxa"/>
            <w:tcBorders>
              <w:top w:val="single" w:sz="4" w:space="0" w:color="auto"/>
              <w:left w:val="single" w:sz="4" w:space="0" w:color="auto"/>
              <w:bottom w:val="single" w:sz="4" w:space="0" w:color="auto"/>
              <w:right w:val="single" w:sz="4" w:space="0" w:color="auto"/>
            </w:tcBorders>
            <w:shd w:val="clear" w:color="000000" w:fill="B1D580"/>
            <w:noWrap/>
            <w:vAlign w:val="bottom"/>
            <w:hideMark/>
          </w:tcPr>
          <w:p w14:paraId="15EDF642"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20,54%</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50CF00E"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4,15%</w:t>
            </w:r>
          </w:p>
        </w:tc>
        <w:tc>
          <w:tcPr>
            <w:tcW w:w="960" w:type="dxa"/>
            <w:tcBorders>
              <w:top w:val="single" w:sz="4" w:space="0" w:color="auto"/>
              <w:left w:val="single" w:sz="4" w:space="0" w:color="auto"/>
              <w:bottom w:val="single" w:sz="4" w:space="0" w:color="auto"/>
              <w:right w:val="single" w:sz="4" w:space="0" w:color="auto"/>
            </w:tcBorders>
            <w:shd w:val="clear" w:color="000000" w:fill="FDCA7D"/>
            <w:noWrap/>
            <w:vAlign w:val="bottom"/>
            <w:hideMark/>
          </w:tcPr>
          <w:p w14:paraId="3C623E20"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5,05%</w:t>
            </w:r>
          </w:p>
        </w:tc>
        <w:tc>
          <w:tcPr>
            <w:tcW w:w="13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FF620D4"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5,36%</w:t>
            </w:r>
          </w:p>
        </w:tc>
      </w:tr>
      <w:tr w:rsidR="006F5854" w:rsidRPr="006269DC" w14:paraId="3E600B1F" w14:textId="77777777" w:rsidTr="006F5854">
        <w:trPr>
          <w:trHeight w:val="264"/>
        </w:trPr>
        <w:tc>
          <w:tcPr>
            <w:tcW w:w="2650" w:type="dxa"/>
            <w:tcBorders>
              <w:top w:val="nil"/>
              <w:left w:val="single" w:sz="4" w:space="0" w:color="auto"/>
              <w:bottom w:val="single" w:sz="4" w:space="0" w:color="auto"/>
              <w:right w:val="single" w:sz="4" w:space="0" w:color="auto"/>
            </w:tcBorders>
            <w:shd w:val="clear" w:color="000000" w:fill="D9D9D9"/>
            <w:noWrap/>
            <w:vAlign w:val="bottom"/>
            <w:hideMark/>
          </w:tcPr>
          <w:p w14:paraId="41EDCBD5" w14:textId="77777777" w:rsidR="006F5854" w:rsidRPr="006269DC" w:rsidRDefault="006F5854" w:rsidP="006F5854">
            <w:pPr>
              <w:rPr>
                <w:rFonts w:ascii="Arial" w:hAnsi="Arial" w:cs="Arial"/>
                <w:b/>
                <w:bCs/>
                <w:sz w:val="18"/>
                <w:szCs w:val="18"/>
              </w:rPr>
            </w:pPr>
            <w:r w:rsidRPr="006269DC">
              <w:rPr>
                <w:rFonts w:ascii="Arial" w:hAnsi="Arial" w:cs="Arial"/>
                <w:b/>
                <w:bCs/>
                <w:sz w:val="18"/>
                <w:szCs w:val="18"/>
              </w:rPr>
              <w:t>ROS (ČZ/T)</w:t>
            </w:r>
          </w:p>
        </w:tc>
        <w:tc>
          <w:tcPr>
            <w:tcW w:w="13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B19021"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13,72%</w:t>
            </w:r>
          </w:p>
        </w:tc>
        <w:tc>
          <w:tcPr>
            <w:tcW w:w="960" w:type="dxa"/>
            <w:tcBorders>
              <w:top w:val="single" w:sz="4" w:space="0" w:color="auto"/>
              <w:left w:val="single" w:sz="4" w:space="0" w:color="auto"/>
              <w:bottom w:val="single" w:sz="4" w:space="0" w:color="auto"/>
              <w:right w:val="single" w:sz="4" w:space="0" w:color="auto"/>
            </w:tcBorders>
            <w:shd w:val="clear" w:color="000000" w:fill="89C97E"/>
            <w:noWrap/>
            <w:vAlign w:val="bottom"/>
            <w:hideMark/>
          </w:tcPr>
          <w:p w14:paraId="68F33573"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10,66%</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5567975"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1,08%</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17E60EE"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0,48%</w:t>
            </w:r>
          </w:p>
        </w:tc>
        <w:tc>
          <w:tcPr>
            <w:tcW w:w="1300"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14:paraId="18598C17"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1,03%</w:t>
            </w:r>
          </w:p>
        </w:tc>
      </w:tr>
      <w:tr w:rsidR="006F5854" w:rsidRPr="006269DC" w14:paraId="7B78DCD7" w14:textId="77777777" w:rsidTr="006F5854">
        <w:trPr>
          <w:trHeight w:val="264"/>
        </w:trPr>
        <w:tc>
          <w:tcPr>
            <w:tcW w:w="2650" w:type="dxa"/>
            <w:tcBorders>
              <w:top w:val="nil"/>
              <w:left w:val="single" w:sz="4" w:space="0" w:color="auto"/>
              <w:bottom w:val="single" w:sz="4" w:space="0" w:color="auto"/>
              <w:right w:val="single" w:sz="4" w:space="0" w:color="auto"/>
            </w:tcBorders>
            <w:shd w:val="clear" w:color="000000" w:fill="D9D9D9"/>
            <w:noWrap/>
            <w:vAlign w:val="bottom"/>
            <w:hideMark/>
          </w:tcPr>
          <w:p w14:paraId="05978A05" w14:textId="77777777" w:rsidR="006F5854" w:rsidRPr="006269DC" w:rsidRDefault="006F5854" w:rsidP="006F5854">
            <w:pPr>
              <w:rPr>
                <w:rFonts w:ascii="Arial" w:hAnsi="Arial" w:cs="Arial"/>
                <w:b/>
                <w:bCs/>
                <w:sz w:val="18"/>
                <w:szCs w:val="18"/>
              </w:rPr>
            </w:pPr>
            <w:r w:rsidRPr="006269DC">
              <w:rPr>
                <w:rFonts w:ascii="Arial" w:hAnsi="Arial" w:cs="Arial"/>
                <w:b/>
                <w:bCs/>
                <w:sz w:val="18"/>
                <w:szCs w:val="18"/>
              </w:rPr>
              <w:t>ROS (EBIT/T)</w:t>
            </w:r>
          </w:p>
        </w:tc>
        <w:tc>
          <w:tcPr>
            <w:tcW w:w="13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96888E"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17,20%</w:t>
            </w:r>
          </w:p>
        </w:tc>
        <w:tc>
          <w:tcPr>
            <w:tcW w:w="960" w:type="dxa"/>
            <w:tcBorders>
              <w:top w:val="single" w:sz="4" w:space="0" w:color="auto"/>
              <w:left w:val="single" w:sz="4" w:space="0" w:color="auto"/>
              <w:bottom w:val="single" w:sz="4" w:space="0" w:color="auto"/>
              <w:right w:val="single" w:sz="4" w:space="0" w:color="auto"/>
            </w:tcBorders>
            <w:shd w:val="clear" w:color="000000" w:fill="8ACA7E"/>
            <w:noWrap/>
            <w:vAlign w:val="bottom"/>
            <w:hideMark/>
          </w:tcPr>
          <w:p w14:paraId="270185E8"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13,52%</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07AD25A"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2,33%</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2E47B99"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1,91%</w:t>
            </w:r>
          </w:p>
        </w:tc>
        <w:tc>
          <w:tcPr>
            <w:tcW w:w="1300" w:type="dxa"/>
            <w:tcBorders>
              <w:top w:val="single" w:sz="4" w:space="0" w:color="auto"/>
              <w:left w:val="single" w:sz="4" w:space="0" w:color="auto"/>
              <w:bottom w:val="single" w:sz="4" w:space="0" w:color="auto"/>
              <w:right w:val="single" w:sz="4" w:space="0" w:color="auto"/>
            </w:tcBorders>
            <w:shd w:val="clear" w:color="000000" w:fill="FBA877"/>
            <w:noWrap/>
            <w:vAlign w:val="bottom"/>
            <w:hideMark/>
          </w:tcPr>
          <w:p w14:paraId="12665934"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2,11%</w:t>
            </w:r>
          </w:p>
        </w:tc>
      </w:tr>
      <w:tr w:rsidR="006F5854" w:rsidRPr="006269DC" w14:paraId="62A8EAAA" w14:textId="77777777" w:rsidTr="006F5854">
        <w:trPr>
          <w:trHeight w:val="264"/>
        </w:trPr>
        <w:tc>
          <w:tcPr>
            <w:tcW w:w="2650" w:type="dxa"/>
            <w:tcBorders>
              <w:top w:val="nil"/>
              <w:left w:val="single" w:sz="4" w:space="0" w:color="auto"/>
              <w:bottom w:val="single" w:sz="4" w:space="0" w:color="auto"/>
              <w:right w:val="single" w:sz="4" w:space="0" w:color="auto"/>
            </w:tcBorders>
            <w:shd w:val="clear" w:color="000000" w:fill="D9D9D9"/>
            <w:noWrap/>
            <w:vAlign w:val="bottom"/>
            <w:hideMark/>
          </w:tcPr>
          <w:p w14:paraId="66BD1775" w14:textId="77777777" w:rsidR="006F5854" w:rsidRPr="006269DC" w:rsidRDefault="006F5854" w:rsidP="006F5854">
            <w:pPr>
              <w:rPr>
                <w:rFonts w:ascii="Arial" w:hAnsi="Arial" w:cs="Arial"/>
                <w:b/>
                <w:bCs/>
                <w:sz w:val="18"/>
                <w:szCs w:val="18"/>
              </w:rPr>
            </w:pPr>
            <w:r w:rsidRPr="006269DC">
              <w:rPr>
                <w:rFonts w:ascii="Arial" w:hAnsi="Arial" w:cs="Arial"/>
                <w:b/>
                <w:bCs/>
                <w:sz w:val="18"/>
                <w:szCs w:val="18"/>
              </w:rPr>
              <w:t>čisté ziskové rozpětí (ČZ/V)</w:t>
            </w:r>
          </w:p>
        </w:tc>
        <w:tc>
          <w:tcPr>
            <w:tcW w:w="13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39C296"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13,62%</w:t>
            </w:r>
          </w:p>
        </w:tc>
        <w:tc>
          <w:tcPr>
            <w:tcW w:w="960" w:type="dxa"/>
            <w:tcBorders>
              <w:top w:val="single" w:sz="4" w:space="0" w:color="auto"/>
              <w:left w:val="single" w:sz="4" w:space="0" w:color="auto"/>
              <w:bottom w:val="single" w:sz="4" w:space="0" w:color="auto"/>
              <w:right w:val="single" w:sz="4" w:space="0" w:color="auto"/>
            </w:tcBorders>
            <w:shd w:val="clear" w:color="000000" w:fill="89C97E"/>
            <w:noWrap/>
            <w:vAlign w:val="bottom"/>
            <w:hideMark/>
          </w:tcPr>
          <w:p w14:paraId="65EAE196"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10,57%</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EDD234F"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1,08%</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4A09C84"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0,47%</w:t>
            </w:r>
          </w:p>
        </w:tc>
        <w:tc>
          <w:tcPr>
            <w:tcW w:w="1300"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14:paraId="20A12F86" w14:textId="77777777" w:rsidR="006F5854" w:rsidRPr="006269DC" w:rsidRDefault="006F5854" w:rsidP="006F5854">
            <w:pPr>
              <w:jc w:val="right"/>
              <w:rPr>
                <w:rFonts w:ascii="Arial" w:hAnsi="Arial" w:cs="Arial"/>
                <w:sz w:val="18"/>
                <w:szCs w:val="18"/>
              </w:rPr>
            </w:pPr>
            <w:r w:rsidRPr="006269DC">
              <w:rPr>
                <w:rFonts w:ascii="Arial" w:hAnsi="Arial" w:cs="Arial"/>
                <w:sz w:val="18"/>
                <w:szCs w:val="18"/>
              </w:rPr>
              <w:t>1,02%</w:t>
            </w:r>
          </w:p>
        </w:tc>
      </w:tr>
    </w:tbl>
    <w:p w14:paraId="7CEABB03" w14:textId="053F6470" w:rsidR="006269DC" w:rsidRDefault="006F5854" w:rsidP="00DF5536">
      <w:pPr>
        <w:pStyle w:val="Dalodstavce"/>
        <w:ind w:firstLine="0"/>
        <w:jc w:val="right"/>
      </w:pPr>
      <w:r>
        <w:t xml:space="preserve"> </w:t>
      </w:r>
      <w:r w:rsidR="001E46A1">
        <w:t>Tab</w:t>
      </w:r>
      <w:r w:rsidR="0061156F">
        <w:t>. 12</w:t>
      </w:r>
      <w:r w:rsidR="001E46A1">
        <w:t>:</w:t>
      </w:r>
      <w:r w:rsidR="0061156F">
        <w:t xml:space="preserve"> Vývoj rentability podniku Disting</w:t>
      </w:r>
      <w:r w:rsidR="001E46A1">
        <w:t xml:space="preserve"> </w:t>
      </w:r>
      <w:r w:rsidR="006269DC">
        <w:fldChar w:fldCharType="begin"/>
      </w:r>
      <w:r w:rsidR="006269DC">
        <w:instrText xml:space="preserve"> LINK Excel.Sheet.12 "https://ucnmuni-my.sharepoint.com/personal/496301_muni_cz/Documents/2.%20semestr%20NMgr/FMAN%20Finanční%20management/FMAN%20VE%20VLAKU.xlsx" "poměrové ukazatele!R13C11:R19C16" \a \f 4 \h </w:instrText>
      </w:r>
      <w:r w:rsidR="003C4F38">
        <w:instrText xml:space="preserve"> \* MERGEFORMAT </w:instrText>
      </w:r>
      <w:r w:rsidR="006269DC">
        <w:fldChar w:fldCharType="separate"/>
      </w:r>
    </w:p>
    <w:p w14:paraId="43AA886B" w14:textId="5A724664" w:rsidR="00567C46" w:rsidRDefault="006269DC" w:rsidP="00DF5536">
      <w:pPr>
        <w:pStyle w:val="Odstavec1"/>
        <w:jc w:val="right"/>
      </w:pPr>
      <w:r>
        <w:fldChar w:fldCharType="end"/>
      </w:r>
    </w:p>
    <w:p w14:paraId="19060BED" w14:textId="7C4D78A4" w:rsidR="00567C46" w:rsidRDefault="00567C46" w:rsidP="00567C46">
      <w:pPr>
        <w:pStyle w:val="Odstavec1"/>
      </w:pPr>
      <w:r>
        <w:lastRenderedPageBreak/>
        <w:t>V případě společnosti Disting můžeme vidět, že všechny ukazatele rentability byly velmi vysoké v roce 201</w:t>
      </w:r>
      <w:r w:rsidR="00E43A38">
        <w:t xml:space="preserve">7 a dobré hodnoty se udržely také v roce 2018. Obecně pro ROA, ROE, ROS se doporučují ideální hodnoty okolo 10 %, což můžeme vidět, že firma plnila velice dobře. </w:t>
      </w:r>
      <w:r w:rsidR="00647CF7">
        <w:t>V roce 2019 však došlo k výraznému propadu a situace se ještě zhoršila v roce 2020</w:t>
      </w:r>
      <w:r w:rsidR="008F257E">
        <w:t xml:space="preserve">, kdy hodnoty rentability kvůli nízkému zisku poklesly až na </w:t>
      </w:r>
      <w:r w:rsidR="00770882">
        <w:t xml:space="preserve">desetinná čísla či nízké jednotky procent. Výsledky však nikdy nedosáhly záporných hodnot, </w:t>
      </w:r>
      <w:r w:rsidR="009175AA">
        <w:t xml:space="preserve">díky čemuž se společnost může pomalu revitalizovat a výsledky rentability v roce 2021 postupně rostou. </w:t>
      </w:r>
      <w:r w:rsidR="006F5854">
        <w:t xml:space="preserve">Přehledně můžeme tento vývoj sledovat na Grafu č. </w:t>
      </w:r>
      <w:r w:rsidR="0052248D">
        <w:t xml:space="preserve">8 a 9. </w:t>
      </w:r>
    </w:p>
    <w:p w14:paraId="151BB8F0" w14:textId="77777777" w:rsidR="006F5854" w:rsidRPr="006F5854" w:rsidRDefault="006F5854" w:rsidP="006F5854">
      <w:pPr>
        <w:pStyle w:val="Dalodstavce"/>
      </w:pPr>
    </w:p>
    <w:p w14:paraId="0B0A34B9" w14:textId="5E7236C7" w:rsidR="006F7636" w:rsidRDefault="00C36467" w:rsidP="0091220C">
      <w:pPr>
        <w:pStyle w:val="Dalodstavce"/>
        <w:ind w:firstLine="0"/>
      </w:pPr>
      <w:r>
        <w:rPr>
          <w:noProof/>
        </w:rPr>
        <w:drawing>
          <wp:inline distT="0" distB="0" distL="0" distR="0" wp14:anchorId="5EAC6900" wp14:editId="6C47A1F6">
            <wp:extent cx="4526925" cy="2212621"/>
            <wp:effectExtent l="0" t="0" r="6985" b="16510"/>
            <wp:docPr id="16" name="Graf 16">
              <a:extLst xmlns:a="http://schemas.openxmlformats.org/drawingml/2006/main">
                <a:ext uri="{FF2B5EF4-FFF2-40B4-BE49-F238E27FC236}">
                  <a16:creationId xmlns:a16="http://schemas.microsoft.com/office/drawing/2014/main" id="{BB09FC9A-F9AA-BFE2-92DA-760FDC10D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8E34EA" w14:textId="7F50D05D" w:rsidR="006F5854" w:rsidRDefault="006F5854" w:rsidP="00DF5536">
      <w:pPr>
        <w:pStyle w:val="Dalodstavce"/>
        <w:ind w:firstLine="0"/>
        <w:jc w:val="right"/>
      </w:pPr>
      <w:r>
        <w:tab/>
        <w:t xml:space="preserve">Graf 8: Vývoj rentability </w:t>
      </w:r>
    </w:p>
    <w:p w14:paraId="7275BAC4" w14:textId="21F8E734" w:rsidR="00C36467" w:rsidRDefault="00C36467" w:rsidP="0091220C">
      <w:pPr>
        <w:pStyle w:val="Dalodstavce"/>
        <w:ind w:firstLine="0"/>
      </w:pPr>
      <w:r>
        <w:rPr>
          <w:noProof/>
        </w:rPr>
        <w:drawing>
          <wp:inline distT="0" distB="0" distL="0" distR="0" wp14:anchorId="64CA8A7C" wp14:editId="131D53AE">
            <wp:extent cx="4525020" cy="2214526"/>
            <wp:effectExtent l="0" t="0" r="8890" b="14605"/>
            <wp:docPr id="19" name="Graf 19">
              <a:extLst xmlns:a="http://schemas.openxmlformats.org/drawingml/2006/main">
                <a:ext uri="{FF2B5EF4-FFF2-40B4-BE49-F238E27FC236}">
                  <a16:creationId xmlns:a16="http://schemas.microsoft.com/office/drawing/2014/main" id="{EF20531C-C969-54C9-FD53-179FC2BE4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7272100" w14:textId="317E2215" w:rsidR="005C7E62" w:rsidRDefault="006F5854" w:rsidP="00DF5536">
      <w:pPr>
        <w:pStyle w:val="Dalodstavce"/>
        <w:ind w:firstLine="0"/>
        <w:jc w:val="right"/>
      </w:pPr>
      <w:r>
        <w:tab/>
        <w:t xml:space="preserve">Graf 9: Vývoj rentability </w:t>
      </w:r>
    </w:p>
    <w:p w14:paraId="0FD386A5" w14:textId="6585AF0E" w:rsidR="006F5854" w:rsidRDefault="00722C15" w:rsidP="00722C15">
      <w:pPr>
        <w:pStyle w:val="Nadpis2"/>
        <w:numPr>
          <w:ilvl w:val="1"/>
          <w:numId w:val="27"/>
        </w:numPr>
      </w:pPr>
      <w:bookmarkStart w:id="20" w:name="_Toc134175268"/>
      <w:r>
        <w:lastRenderedPageBreak/>
        <w:t>Aktivita</w:t>
      </w:r>
      <w:bookmarkEnd w:id="20"/>
      <w:r>
        <w:t xml:space="preserve"> </w:t>
      </w:r>
    </w:p>
    <w:p w14:paraId="226C0F74" w14:textId="62D075B3" w:rsidR="005C7E62" w:rsidRDefault="006F5854" w:rsidP="0091220C">
      <w:pPr>
        <w:pStyle w:val="Dalodstavce"/>
        <w:ind w:firstLine="0"/>
      </w:pPr>
      <w:r>
        <w:t xml:space="preserve">Dalšími sledovanými poměrovými ukazateli jsou </w:t>
      </w:r>
      <w:r w:rsidR="0052248D" w:rsidRPr="00FF3DF8">
        <w:t xml:space="preserve">ukazatele aktivity. </w:t>
      </w:r>
      <w:r w:rsidR="004F167E" w:rsidRPr="00FF3DF8">
        <w:t>Konkrétními sledovanými ukazateli jsou Obrat celkových aktiv</w:t>
      </w:r>
      <w:r w:rsidR="004F167E">
        <w:t xml:space="preserve">, Obrat zásob, Obrat pohledávek, Obrat závazků a doby obratů těchto </w:t>
      </w:r>
      <w:r w:rsidR="003A3227">
        <w:t>položek</w:t>
      </w:r>
      <w:r w:rsidR="004F167E">
        <w:t xml:space="preserve">. </w:t>
      </w:r>
      <w:r w:rsidR="00E67904">
        <w:t xml:space="preserve">Tento vývoj a jednotlivé hodnoty vypočteny pro společnost Disting jsou uvedeny </w:t>
      </w:r>
      <w:r w:rsidR="00592326">
        <w:t xml:space="preserve">v Tab. 13. </w:t>
      </w:r>
    </w:p>
    <w:tbl>
      <w:tblPr>
        <w:tblpPr w:leftFromText="141" w:rightFromText="141" w:vertAnchor="text" w:horzAnchor="margin" w:tblpXSpec="center" w:tblpY="136"/>
        <w:tblW w:w="9089" w:type="dxa"/>
        <w:tblCellMar>
          <w:left w:w="70" w:type="dxa"/>
          <w:right w:w="70" w:type="dxa"/>
        </w:tblCellMar>
        <w:tblLook w:val="04A0" w:firstRow="1" w:lastRow="0" w:firstColumn="1" w:lastColumn="0" w:noHBand="0" w:noVBand="1"/>
      </w:tblPr>
      <w:tblGrid>
        <w:gridCol w:w="2489"/>
        <w:gridCol w:w="1320"/>
        <w:gridCol w:w="1320"/>
        <w:gridCol w:w="1320"/>
        <w:gridCol w:w="1320"/>
        <w:gridCol w:w="1320"/>
      </w:tblGrid>
      <w:tr w:rsidR="00592326" w:rsidRPr="004C5051" w14:paraId="6622EA5F" w14:textId="77777777" w:rsidTr="00F53070">
        <w:trPr>
          <w:trHeight w:val="312"/>
        </w:trPr>
        <w:tc>
          <w:tcPr>
            <w:tcW w:w="24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FE13F4" w14:textId="77777777" w:rsidR="00592326" w:rsidRPr="004C5051" w:rsidRDefault="00592326" w:rsidP="00592326">
            <w:pPr>
              <w:rPr>
                <w:rFonts w:ascii="Arial" w:hAnsi="Arial" w:cs="Arial"/>
                <w:sz w:val="18"/>
                <w:szCs w:val="18"/>
              </w:rPr>
            </w:pPr>
            <w:r w:rsidRPr="004C5051">
              <w:rPr>
                <w:rFonts w:ascii="Arial" w:hAnsi="Arial" w:cs="Arial"/>
                <w:sz w:val="18"/>
                <w:szCs w:val="18"/>
              </w:rPr>
              <w:t> </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7550658F"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2017</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28550AC6"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2018</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618B1017"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2019</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2EF52B1B"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2020</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0E83821A"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2021</w:t>
            </w:r>
          </w:p>
        </w:tc>
      </w:tr>
      <w:tr w:rsidR="00592326" w:rsidRPr="004C5051" w14:paraId="020CBBB3" w14:textId="77777777" w:rsidTr="00F53070">
        <w:trPr>
          <w:trHeight w:val="312"/>
        </w:trPr>
        <w:tc>
          <w:tcPr>
            <w:tcW w:w="2489" w:type="dxa"/>
            <w:tcBorders>
              <w:top w:val="nil"/>
              <w:left w:val="single" w:sz="4" w:space="0" w:color="auto"/>
              <w:bottom w:val="single" w:sz="4" w:space="0" w:color="auto"/>
              <w:right w:val="single" w:sz="4" w:space="0" w:color="auto"/>
            </w:tcBorders>
            <w:shd w:val="clear" w:color="000000" w:fill="D9D9D9"/>
            <w:noWrap/>
            <w:vAlign w:val="center"/>
            <w:hideMark/>
          </w:tcPr>
          <w:p w14:paraId="648630ED" w14:textId="77777777" w:rsidR="00592326" w:rsidRPr="004C5051" w:rsidRDefault="00592326" w:rsidP="00F53070">
            <w:pPr>
              <w:rPr>
                <w:rFonts w:ascii="Arial" w:hAnsi="Arial" w:cs="Arial"/>
                <w:b/>
                <w:bCs/>
                <w:sz w:val="18"/>
                <w:szCs w:val="18"/>
              </w:rPr>
            </w:pPr>
            <w:r w:rsidRPr="004C5051">
              <w:rPr>
                <w:rFonts w:ascii="Arial" w:hAnsi="Arial" w:cs="Arial"/>
                <w:b/>
                <w:bCs/>
                <w:sz w:val="18"/>
                <w:szCs w:val="18"/>
              </w:rPr>
              <w:t>Obrat celkových aktiv</w:t>
            </w:r>
          </w:p>
        </w:tc>
        <w:tc>
          <w:tcPr>
            <w:tcW w:w="13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0FDBF4"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1,39</w:t>
            </w:r>
          </w:p>
        </w:tc>
        <w:tc>
          <w:tcPr>
            <w:tcW w:w="132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A75C9AC"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1,06</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C6C7DE"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0,79</w:t>
            </w:r>
          </w:p>
        </w:tc>
        <w:tc>
          <w:tcPr>
            <w:tcW w:w="1320" w:type="dxa"/>
            <w:tcBorders>
              <w:top w:val="single" w:sz="4" w:space="0" w:color="auto"/>
              <w:left w:val="single" w:sz="4" w:space="0" w:color="auto"/>
              <w:bottom w:val="single" w:sz="4" w:space="0" w:color="auto"/>
              <w:right w:val="single" w:sz="4" w:space="0" w:color="auto"/>
            </w:tcBorders>
            <w:shd w:val="clear" w:color="000000" w:fill="FCB479"/>
            <w:noWrap/>
            <w:vAlign w:val="bottom"/>
            <w:hideMark/>
          </w:tcPr>
          <w:p w14:paraId="4BEE5734"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0,95</w:t>
            </w:r>
          </w:p>
        </w:tc>
        <w:tc>
          <w:tcPr>
            <w:tcW w:w="1320"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14:paraId="119451A4"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1,10</w:t>
            </w:r>
          </w:p>
        </w:tc>
      </w:tr>
      <w:tr w:rsidR="00592326" w:rsidRPr="004C5051" w14:paraId="10AC70FF" w14:textId="77777777" w:rsidTr="00F53070">
        <w:trPr>
          <w:trHeight w:val="312"/>
        </w:trPr>
        <w:tc>
          <w:tcPr>
            <w:tcW w:w="2489" w:type="dxa"/>
            <w:tcBorders>
              <w:top w:val="nil"/>
              <w:left w:val="single" w:sz="4" w:space="0" w:color="auto"/>
              <w:bottom w:val="single" w:sz="4" w:space="0" w:color="auto"/>
              <w:right w:val="single" w:sz="4" w:space="0" w:color="auto"/>
            </w:tcBorders>
            <w:shd w:val="clear" w:color="000000" w:fill="D9D9D9"/>
            <w:noWrap/>
            <w:vAlign w:val="center"/>
            <w:hideMark/>
          </w:tcPr>
          <w:p w14:paraId="3D898191" w14:textId="77777777" w:rsidR="00592326" w:rsidRPr="004C5051" w:rsidRDefault="00592326" w:rsidP="00F53070">
            <w:pPr>
              <w:rPr>
                <w:rFonts w:ascii="Arial" w:hAnsi="Arial" w:cs="Arial"/>
                <w:b/>
                <w:bCs/>
                <w:sz w:val="18"/>
                <w:szCs w:val="18"/>
              </w:rPr>
            </w:pPr>
            <w:r w:rsidRPr="004C5051">
              <w:rPr>
                <w:rFonts w:ascii="Arial" w:hAnsi="Arial" w:cs="Arial"/>
                <w:b/>
                <w:bCs/>
                <w:sz w:val="18"/>
                <w:szCs w:val="18"/>
              </w:rPr>
              <w:t xml:space="preserve">Obrat zásob </w:t>
            </w:r>
          </w:p>
        </w:tc>
        <w:tc>
          <w:tcPr>
            <w:tcW w:w="13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3C72B7"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249,22</w:t>
            </w:r>
          </w:p>
        </w:tc>
        <w:tc>
          <w:tcPr>
            <w:tcW w:w="132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D09BB8F"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168,79</w:t>
            </w:r>
          </w:p>
        </w:tc>
        <w:tc>
          <w:tcPr>
            <w:tcW w:w="1320" w:type="dxa"/>
            <w:tcBorders>
              <w:top w:val="single" w:sz="4" w:space="0" w:color="auto"/>
              <w:left w:val="single" w:sz="4" w:space="0" w:color="auto"/>
              <w:bottom w:val="single" w:sz="4" w:space="0" w:color="auto"/>
              <w:right w:val="single" w:sz="4" w:space="0" w:color="auto"/>
            </w:tcBorders>
            <w:shd w:val="clear" w:color="000000" w:fill="E4E483"/>
            <w:noWrap/>
            <w:vAlign w:val="bottom"/>
            <w:hideMark/>
          </w:tcPr>
          <w:p w14:paraId="696D380F"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182,88</w:t>
            </w:r>
          </w:p>
        </w:tc>
        <w:tc>
          <w:tcPr>
            <w:tcW w:w="1320" w:type="dxa"/>
            <w:tcBorders>
              <w:top w:val="single" w:sz="4" w:space="0" w:color="auto"/>
              <w:left w:val="single" w:sz="4" w:space="0" w:color="auto"/>
              <w:bottom w:val="single" w:sz="4" w:space="0" w:color="auto"/>
              <w:right w:val="single" w:sz="4" w:space="0" w:color="auto"/>
            </w:tcBorders>
            <w:shd w:val="clear" w:color="000000" w:fill="FED980"/>
            <w:noWrap/>
            <w:vAlign w:val="bottom"/>
            <w:hideMark/>
          </w:tcPr>
          <w:p w14:paraId="1E0C92DC"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149,86</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6ABB9D"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26,40</w:t>
            </w:r>
          </w:p>
        </w:tc>
      </w:tr>
      <w:tr w:rsidR="00592326" w:rsidRPr="004C5051" w14:paraId="0C3D471A" w14:textId="77777777" w:rsidTr="00F53070">
        <w:trPr>
          <w:trHeight w:val="312"/>
        </w:trPr>
        <w:tc>
          <w:tcPr>
            <w:tcW w:w="2489" w:type="dxa"/>
            <w:tcBorders>
              <w:top w:val="nil"/>
              <w:left w:val="single" w:sz="4" w:space="0" w:color="auto"/>
              <w:bottom w:val="single" w:sz="4" w:space="0" w:color="auto"/>
              <w:right w:val="single" w:sz="4" w:space="0" w:color="auto"/>
            </w:tcBorders>
            <w:shd w:val="clear" w:color="000000" w:fill="D9D9D9"/>
            <w:noWrap/>
            <w:vAlign w:val="center"/>
            <w:hideMark/>
          </w:tcPr>
          <w:p w14:paraId="42779CE3" w14:textId="77777777" w:rsidR="00592326" w:rsidRPr="004C5051" w:rsidRDefault="00592326" w:rsidP="00F53070">
            <w:pPr>
              <w:rPr>
                <w:rFonts w:ascii="Arial" w:hAnsi="Arial" w:cs="Arial"/>
                <w:b/>
                <w:bCs/>
                <w:sz w:val="18"/>
                <w:szCs w:val="18"/>
              </w:rPr>
            </w:pPr>
            <w:r w:rsidRPr="004C5051">
              <w:rPr>
                <w:rFonts w:ascii="Arial" w:hAnsi="Arial" w:cs="Arial"/>
                <w:b/>
                <w:bCs/>
                <w:sz w:val="18"/>
                <w:szCs w:val="18"/>
              </w:rPr>
              <w:t>Obrat pohledávek</w:t>
            </w:r>
          </w:p>
        </w:tc>
        <w:tc>
          <w:tcPr>
            <w:tcW w:w="1320"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14:paraId="01CA776D"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4,67</w:t>
            </w:r>
          </w:p>
        </w:tc>
        <w:tc>
          <w:tcPr>
            <w:tcW w:w="1320" w:type="dxa"/>
            <w:tcBorders>
              <w:top w:val="single" w:sz="4" w:space="0" w:color="auto"/>
              <w:left w:val="single" w:sz="4" w:space="0" w:color="auto"/>
              <w:bottom w:val="single" w:sz="4" w:space="0" w:color="auto"/>
              <w:right w:val="single" w:sz="4" w:space="0" w:color="auto"/>
            </w:tcBorders>
            <w:shd w:val="clear" w:color="000000" w:fill="FEE082"/>
            <w:noWrap/>
            <w:vAlign w:val="bottom"/>
            <w:hideMark/>
          </w:tcPr>
          <w:p w14:paraId="4F544499"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4,35</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ED87DAB"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2,66</w:t>
            </w:r>
          </w:p>
        </w:tc>
        <w:tc>
          <w:tcPr>
            <w:tcW w:w="132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A0309"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4,49</w:t>
            </w:r>
          </w:p>
        </w:tc>
        <w:tc>
          <w:tcPr>
            <w:tcW w:w="13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23311C3"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5,16</w:t>
            </w:r>
          </w:p>
        </w:tc>
      </w:tr>
      <w:tr w:rsidR="00592326" w:rsidRPr="004C5051" w14:paraId="178F677D" w14:textId="77777777" w:rsidTr="00F53070">
        <w:trPr>
          <w:trHeight w:val="312"/>
        </w:trPr>
        <w:tc>
          <w:tcPr>
            <w:tcW w:w="2489" w:type="dxa"/>
            <w:tcBorders>
              <w:top w:val="nil"/>
              <w:left w:val="single" w:sz="4" w:space="0" w:color="auto"/>
              <w:bottom w:val="single" w:sz="4" w:space="0" w:color="auto"/>
              <w:right w:val="single" w:sz="4" w:space="0" w:color="auto"/>
            </w:tcBorders>
            <w:shd w:val="clear" w:color="000000" w:fill="D9D9D9"/>
            <w:noWrap/>
            <w:vAlign w:val="center"/>
            <w:hideMark/>
          </w:tcPr>
          <w:p w14:paraId="25DD7216" w14:textId="77777777" w:rsidR="00592326" w:rsidRPr="004C5051" w:rsidRDefault="00592326" w:rsidP="00F53070">
            <w:pPr>
              <w:rPr>
                <w:rFonts w:ascii="Arial" w:hAnsi="Arial" w:cs="Arial"/>
                <w:b/>
                <w:bCs/>
                <w:sz w:val="18"/>
                <w:szCs w:val="18"/>
              </w:rPr>
            </w:pPr>
            <w:r w:rsidRPr="004C5051">
              <w:rPr>
                <w:rFonts w:ascii="Arial" w:hAnsi="Arial" w:cs="Arial"/>
                <w:b/>
                <w:bCs/>
                <w:sz w:val="18"/>
                <w:szCs w:val="18"/>
              </w:rPr>
              <w:t xml:space="preserve">Obrat závazků </w:t>
            </w:r>
          </w:p>
        </w:tc>
        <w:tc>
          <w:tcPr>
            <w:tcW w:w="13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B6E6DF7"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9,60</w:t>
            </w:r>
          </w:p>
        </w:tc>
        <w:tc>
          <w:tcPr>
            <w:tcW w:w="1320"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14:paraId="167D6A82"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4,20</w:t>
            </w:r>
          </w:p>
        </w:tc>
        <w:tc>
          <w:tcPr>
            <w:tcW w:w="132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46BC588"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1,72</w:t>
            </w:r>
          </w:p>
        </w:tc>
        <w:tc>
          <w:tcPr>
            <w:tcW w:w="1320" w:type="dxa"/>
            <w:tcBorders>
              <w:top w:val="single" w:sz="4" w:space="0" w:color="auto"/>
              <w:left w:val="single" w:sz="4" w:space="0" w:color="auto"/>
              <w:bottom w:val="single" w:sz="4" w:space="0" w:color="auto"/>
              <w:right w:val="single" w:sz="4" w:space="0" w:color="auto"/>
            </w:tcBorders>
            <w:shd w:val="clear" w:color="000000" w:fill="FBA576"/>
            <w:noWrap/>
            <w:vAlign w:val="bottom"/>
            <w:hideMark/>
          </w:tcPr>
          <w:p w14:paraId="1585D71D"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2,52</w:t>
            </w:r>
          </w:p>
        </w:tc>
        <w:tc>
          <w:tcPr>
            <w:tcW w:w="132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A9A2BCE"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3,43</w:t>
            </w:r>
          </w:p>
        </w:tc>
      </w:tr>
      <w:tr w:rsidR="00592326" w:rsidRPr="004C5051" w14:paraId="6E2C5F5F" w14:textId="77777777" w:rsidTr="00F53070">
        <w:trPr>
          <w:trHeight w:val="312"/>
        </w:trPr>
        <w:tc>
          <w:tcPr>
            <w:tcW w:w="2489" w:type="dxa"/>
            <w:tcBorders>
              <w:top w:val="nil"/>
              <w:left w:val="single" w:sz="4" w:space="0" w:color="auto"/>
              <w:bottom w:val="single" w:sz="4" w:space="0" w:color="auto"/>
              <w:right w:val="single" w:sz="4" w:space="0" w:color="auto"/>
            </w:tcBorders>
            <w:shd w:val="clear" w:color="000000" w:fill="D9D9D9"/>
            <w:noWrap/>
            <w:vAlign w:val="center"/>
            <w:hideMark/>
          </w:tcPr>
          <w:p w14:paraId="7381DE3B" w14:textId="77777777" w:rsidR="00592326" w:rsidRPr="004C5051" w:rsidRDefault="00592326" w:rsidP="00F53070">
            <w:pPr>
              <w:rPr>
                <w:rFonts w:ascii="Arial" w:hAnsi="Arial" w:cs="Arial"/>
                <w:b/>
                <w:bCs/>
                <w:sz w:val="18"/>
                <w:szCs w:val="18"/>
              </w:rPr>
            </w:pPr>
            <w:r w:rsidRPr="004C5051">
              <w:rPr>
                <w:rFonts w:ascii="Arial" w:hAnsi="Arial" w:cs="Arial"/>
                <w:b/>
                <w:bCs/>
                <w:sz w:val="18"/>
                <w:szCs w:val="18"/>
              </w:rPr>
              <w:t xml:space="preserve">Doba obratu aktiv </w:t>
            </w:r>
          </w:p>
        </w:tc>
        <w:tc>
          <w:tcPr>
            <w:tcW w:w="1320" w:type="dxa"/>
            <w:tcBorders>
              <w:top w:val="nil"/>
              <w:left w:val="nil"/>
              <w:bottom w:val="single" w:sz="4" w:space="0" w:color="auto"/>
              <w:right w:val="single" w:sz="4" w:space="0" w:color="auto"/>
            </w:tcBorders>
            <w:shd w:val="clear" w:color="000000" w:fill="FFFFFF"/>
            <w:noWrap/>
            <w:vAlign w:val="bottom"/>
            <w:hideMark/>
          </w:tcPr>
          <w:p w14:paraId="583763A2"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262,42</w:t>
            </w:r>
          </w:p>
        </w:tc>
        <w:tc>
          <w:tcPr>
            <w:tcW w:w="1320" w:type="dxa"/>
            <w:tcBorders>
              <w:top w:val="nil"/>
              <w:left w:val="nil"/>
              <w:bottom w:val="single" w:sz="4" w:space="0" w:color="auto"/>
              <w:right w:val="single" w:sz="4" w:space="0" w:color="auto"/>
            </w:tcBorders>
            <w:shd w:val="clear" w:color="000000" w:fill="FFFFFF"/>
            <w:noWrap/>
            <w:vAlign w:val="bottom"/>
            <w:hideMark/>
          </w:tcPr>
          <w:p w14:paraId="5FF634C3"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343,91</w:t>
            </w:r>
          </w:p>
        </w:tc>
        <w:tc>
          <w:tcPr>
            <w:tcW w:w="1320" w:type="dxa"/>
            <w:tcBorders>
              <w:top w:val="nil"/>
              <w:left w:val="nil"/>
              <w:bottom w:val="single" w:sz="4" w:space="0" w:color="auto"/>
              <w:right w:val="single" w:sz="4" w:space="0" w:color="auto"/>
            </w:tcBorders>
            <w:shd w:val="clear" w:color="000000" w:fill="FFFFFF"/>
            <w:noWrap/>
            <w:vAlign w:val="bottom"/>
            <w:hideMark/>
          </w:tcPr>
          <w:p w14:paraId="035300CC"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463,51</w:t>
            </w:r>
          </w:p>
        </w:tc>
        <w:tc>
          <w:tcPr>
            <w:tcW w:w="1320" w:type="dxa"/>
            <w:tcBorders>
              <w:top w:val="nil"/>
              <w:left w:val="nil"/>
              <w:bottom w:val="single" w:sz="4" w:space="0" w:color="auto"/>
              <w:right w:val="single" w:sz="4" w:space="0" w:color="auto"/>
            </w:tcBorders>
            <w:shd w:val="clear" w:color="000000" w:fill="FFFFFF"/>
            <w:noWrap/>
            <w:vAlign w:val="bottom"/>
            <w:hideMark/>
          </w:tcPr>
          <w:p w14:paraId="2252516D"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385,66</w:t>
            </w:r>
          </w:p>
        </w:tc>
        <w:tc>
          <w:tcPr>
            <w:tcW w:w="1320" w:type="dxa"/>
            <w:tcBorders>
              <w:top w:val="nil"/>
              <w:left w:val="nil"/>
              <w:bottom w:val="single" w:sz="4" w:space="0" w:color="auto"/>
              <w:right w:val="single" w:sz="4" w:space="0" w:color="auto"/>
            </w:tcBorders>
            <w:shd w:val="clear" w:color="000000" w:fill="FFFFFF"/>
            <w:noWrap/>
            <w:vAlign w:val="bottom"/>
            <w:hideMark/>
          </w:tcPr>
          <w:p w14:paraId="4B0A88BC"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331,22</w:t>
            </w:r>
          </w:p>
        </w:tc>
      </w:tr>
      <w:tr w:rsidR="00592326" w:rsidRPr="004C5051" w14:paraId="4B683455" w14:textId="77777777" w:rsidTr="00F53070">
        <w:trPr>
          <w:trHeight w:val="312"/>
        </w:trPr>
        <w:tc>
          <w:tcPr>
            <w:tcW w:w="2489" w:type="dxa"/>
            <w:tcBorders>
              <w:top w:val="nil"/>
              <w:left w:val="single" w:sz="4" w:space="0" w:color="auto"/>
              <w:bottom w:val="single" w:sz="4" w:space="0" w:color="auto"/>
              <w:right w:val="single" w:sz="4" w:space="0" w:color="auto"/>
            </w:tcBorders>
            <w:shd w:val="clear" w:color="000000" w:fill="D9D9D9"/>
            <w:noWrap/>
            <w:vAlign w:val="center"/>
            <w:hideMark/>
          </w:tcPr>
          <w:p w14:paraId="3753BFDD" w14:textId="77777777" w:rsidR="00592326" w:rsidRPr="004C5051" w:rsidRDefault="00592326" w:rsidP="00F53070">
            <w:pPr>
              <w:rPr>
                <w:rFonts w:ascii="Arial" w:hAnsi="Arial" w:cs="Arial"/>
                <w:b/>
                <w:bCs/>
                <w:sz w:val="18"/>
                <w:szCs w:val="18"/>
              </w:rPr>
            </w:pPr>
            <w:r w:rsidRPr="004C5051">
              <w:rPr>
                <w:rFonts w:ascii="Arial" w:hAnsi="Arial" w:cs="Arial"/>
                <w:b/>
                <w:bCs/>
                <w:sz w:val="18"/>
                <w:szCs w:val="18"/>
              </w:rPr>
              <w:t>Doba obratu zásob</w:t>
            </w:r>
          </w:p>
        </w:tc>
        <w:tc>
          <w:tcPr>
            <w:tcW w:w="1320" w:type="dxa"/>
            <w:tcBorders>
              <w:top w:val="nil"/>
              <w:left w:val="nil"/>
              <w:bottom w:val="single" w:sz="4" w:space="0" w:color="auto"/>
              <w:right w:val="single" w:sz="4" w:space="0" w:color="auto"/>
            </w:tcBorders>
            <w:shd w:val="clear" w:color="000000" w:fill="FFFFFF"/>
            <w:noWrap/>
            <w:vAlign w:val="bottom"/>
            <w:hideMark/>
          </w:tcPr>
          <w:p w14:paraId="22F460F8"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1,46</w:t>
            </w:r>
          </w:p>
        </w:tc>
        <w:tc>
          <w:tcPr>
            <w:tcW w:w="1320" w:type="dxa"/>
            <w:tcBorders>
              <w:top w:val="nil"/>
              <w:left w:val="nil"/>
              <w:bottom w:val="single" w:sz="4" w:space="0" w:color="auto"/>
              <w:right w:val="single" w:sz="4" w:space="0" w:color="auto"/>
            </w:tcBorders>
            <w:shd w:val="clear" w:color="000000" w:fill="FFFFFF"/>
            <w:noWrap/>
            <w:vAlign w:val="bottom"/>
            <w:hideMark/>
          </w:tcPr>
          <w:p w14:paraId="1438E236"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2,16</w:t>
            </w:r>
          </w:p>
        </w:tc>
        <w:tc>
          <w:tcPr>
            <w:tcW w:w="1320" w:type="dxa"/>
            <w:tcBorders>
              <w:top w:val="nil"/>
              <w:left w:val="nil"/>
              <w:bottom w:val="single" w:sz="4" w:space="0" w:color="auto"/>
              <w:right w:val="single" w:sz="4" w:space="0" w:color="auto"/>
            </w:tcBorders>
            <w:shd w:val="clear" w:color="000000" w:fill="FFFFFF"/>
            <w:noWrap/>
            <w:vAlign w:val="bottom"/>
            <w:hideMark/>
          </w:tcPr>
          <w:p w14:paraId="654AFC78"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2,00</w:t>
            </w:r>
          </w:p>
        </w:tc>
        <w:tc>
          <w:tcPr>
            <w:tcW w:w="1320" w:type="dxa"/>
            <w:tcBorders>
              <w:top w:val="nil"/>
              <w:left w:val="nil"/>
              <w:bottom w:val="single" w:sz="4" w:space="0" w:color="auto"/>
              <w:right w:val="single" w:sz="4" w:space="0" w:color="auto"/>
            </w:tcBorders>
            <w:shd w:val="clear" w:color="000000" w:fill="FFFFFF"/>
            <w:noWrap/>
            <w:vAlign w:val="bottom"/>
            <w:hideMark/>
          </w:tcPr>
          <w:p w14:paraId="08C4730B"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2,44</w:t>
            </w:r>
          </w:p>
        </w:tc>
        <w:tc>
          <w:tcPr>
            <w:tcW w:w="1320" w:type="dxa"/>
            <w:tcBorders>
              <w:top w:val="nil"/>
              <w:left w:val="nil"/>
              <w:bottom w:val="single" w:sz="4" w:space="0" w:color="auto"/>
              <w:right w:val="single" w:sz="4" w:space="0" w:color="auto"/>
            </w:tcBorders>
            <w:shd w:val="clear" w:color="000000" w:fill="FFFFFF"/>
            <w:noWrap/>
            <w:vAlign w:val="bottom"/>
            <w:hideMark/>
          </w:tcPr>
          <w:p w14:paraId="737E329A"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13,82</w:t>
            </w:r>
          </w:p>
        </w:tc>
      </w:tr>
      <w:tr w:rsidR="00592326" w:rsidRPr="004C5051" w14:paraId="01E73257" w14:textId="77777777" w:rsidTr="00F425C0">
        <w:trPr>
          <w:trHeight w:val="312"/>
        </w:trPr>
        <w:tc>
          <w:tcPr>
            <w:tcW w:w="2489" w:type="dxa"/>
            <w:tcBorders>
              <w:top w:val="nil"/>
              <w:left w:val="single" w:sz="4" w:space="0" w:color="auto"/>
              <w:bottom w:val="single" w:sz="4" w:space="0" w:color="auto"/>
              <w:right w:val="single" w:sz="4" w:space="0" w:color="auto"/>
            </w:tcBorders>
            <w:shd w:val="clear" w:color="000000" w:fill="D9D9D9"/>
            <w:noWrap/>
            <w:vAlign w:val="center"/>
            <w:hideMark/>
          </w:tcPr>
          <w:p w14:paraId="77AC7A6A" w14:textId="77777777" w:rsidR="00592326" w:rsidRPr="004C5051" w:rsidRDefault="00592326" w:rsidP="00F53070">
            <w:pPr>
              <w:rPr>
                <w:rFonts w:ascii="Arial" w:hAnsi="Arial" w:cs="Arial"/>
                <w:b/>
                <w:bCs/>
                <w:sz w:val="18"/>
                <w:szCs w:val="18"/>
              </w:rPr>
            </w:pPr>
            <w:r w:rsidRPr="004C5051">
              <w:rPr>
                <w:rFonts w:ascii="Arial" w:hAnsi="Arial" w:cs="Arial"/>
                <w:b/>
                <w:bCs/>
                <w:sz w:val="18"/>
                <w:szCs w:val="18"/>
              </w:rPr>
              <w:t>Doba obratu pohledávek</w:t>
            </w:r>
          </w:p>
        </w:tc>
        <w:tc>
          <w:tcPr>
            <w:tcW w:w="1320" w:type="dxa"/>
            <w:tcBorders>
              <w:top w:val="nil"/>
              <w:left w:val="nil"/>
              <w:bottom w:val="single" w:sz="4" w:space="0" w:color="auto"/>
              <w:right w:val="single" w:sz="4" w:space="0" w:color="auto"/>
            </w:tcBorders>
            <w:shd w:val="clear" w:color="auto" w:fill="auto"/>
            <w:noWrap/>
            <w:vAlign w:val="bottom"/>
            <w:hideMark/>
          </w:tcPr>
          <w:p w14:paraId="2EE13709"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78,20</w:t>
            </w:r>
          </w:p>
        </w:tc>
        <w:tc>
          <w:tcPr>
            <w:tcW w:w="1320" w:type="dxa"/>
            <w:tcBorders>
              <w:top w:val="nil"/>
              <w:left w:val="nil"/>
              <w:bottom w:val="single" w:sz="4" w:space="0" w:color="auto"/>
              <w:right w:val="single" w:sz="4" w:space="0" w:color="auto"/>
            </w:tcBorders>
            <w:shd w:val="clear" w:color="auto" w:fill="auto"/>
            <w:noWrap/>
            <w:vAlign w:val="bottom"/>
            <w:hideMark/>
          </w:tcPr>
          <w:p w14:paraId="110917EF"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83,93</w:t>
            </w:r>
          </w:p>
        </w:tc>
        <w:tc>
          <w:tcPr>
            <w:tcW w:w="1320" w:type="dxa"/>
            <w:tcBorders>
              <w:top w:val="nil"/>
              <w:left w:val="nil"/>
              <w:bottom w:val="single" w:sz="4" w:space="0" w:color="auto"/>
              <w:right w:val="single" w:sz="4" w:space="0" w:color="auto"/>
            </w:tcBorders>
            <w:shd w:val="clear" w:color="000000" w:fill="FFFFFF"/>
            <w:noWrap/>
            <w:vAlign w:val="bottom"/>
            <w:hideMark/>
          </w:tcPr>
          <w:p w14:paraId="24E7E020"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137,04</w:t>
            </w:r>
          </w:p>
        </w:tc>
        <w:tc>
          <w:tcPr>
            <w:tcW w:w="1320" w:type="dxa"/>
            <w:tcBorders>
              <w:top w:val="nil"/>
              <w:left w:val="nil"/>
              <w:bottom w:val="single" w:sz="4" w:space="0" w:color="auto"/>
              <w:right w:val="single" w:sz="4" w:space="0" w:color="auto"/>
            </w:tcBorders>
            <w:shd w:val="clear" w:color="000000" w:fill="FFFFFF"/>
            <w:noWrap/>
            <w:vAlign w:val="bottom"/>
            <w:hideMark/>
          </w:tcPr>
          <w:p w14:paraId="6E8DFD38"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81,21</w:t>
            </w:r>
          </w:p>
        </w:tc>
        <w:tc>
          <w:tcPr>
            <w:tcW w:w="1320" w:type="dxa"/>
            <w:tcBorders>
              <w:top w:val="nil"/>
              <w:left w:val="nil"/>
              <w:bottom w:val="single" w:sz="4" w:space="0" w:color="auto"/>
              <w:right w:val="single" w:sz="4" w:space="0" w:color="auto"/>
            </w:tcBorders>
            <w:shd w:val="clear" w:color="000000" w:fill="FFFFFF"/>
            <w:noWrap/>
            <w:vAlign w:val="bottom"/>
            <w:hideMark/>
          </w:tcPr>
          <w:p w14:paraId="58384621"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70,72</w:t>
            </w:r>
          </w:p>
        </w:tc>
      </w:tr>
      <w:tr w:rsidR="00592326" w:rsidRPr="004C5051" w14:paraId="5B8311C4" w14:textId="77777777" w:rsidTr="00F425C0">
        <w:trPr>
          <w:trHeight w:val="312"/>
        </w:trPr>
        <w:tc>
          <w:tcPr>
            <w:tcW w:w="2489" w:type="dxa"/>
            <w:tcBorders>
              <w:top w:val="nil"/>
              <w:left w:val="single" w:sz="4" w:space="0" w:color="auto"/>
              <w:bottom w:val="single" w:sz="4" w:space="0" w:color="auto"/>
              <w:right w:val="single" w:sz="4" w:space="0" w:color="auto"/>
            </w:tcBorders>
            <w:shd w:val="clear" w:color="000000" w:fill="D9D9D9"/>
            <w:noWrap/>
            <w:vAlign w:val="center"/>
            <w:hideMark/>
          </w:tcPr>
          <w:p w14:paraId="1D82D89F" w14:textId="77777777" w:rsidR="00592326" w:rsidRPr="004C5051" w:rsidRDefault="00592326" w:rsidP="00F53070">
            <w:pPr>
              <w:rPr>
                <w:rFonts w:ascii="Arial" w:hAnsi="Arial" w:cs="Arial"/>
                <w:b/>
                <w:bCs/>
                <w:sz w:val="18"/>
                <w:szCs w:val="18"/>
              </w:rPr>
            </w:pPr>
            <w:r w:rsidRPr="004C5051">
              <w:rPr>
                <w:rFonts w:ascii="Arial" w:hAnsi="Arial" w:cs="Arial"/>
                <w:b/>
                <w:bCs/>
                <w:sz w:val="18"/>
                <w:szCs w:val="18"/>
              </w:rPr>
              <w:t>Doba obratu závazků</w:t>
            </w:r>
          </w:p>
        </w:tc>
        <w:tc>
          <w:tcPr>
            <w:tcW w:w="1320" w:type="dxa"/>
            <w:tcBorders>
              <w:top w:val="nil"/>
              <w:left w:val="nil"/>
              <w:bottom w:val="single" w:sz="4" w:space="0" w:color="auto"/>
              <w:right w:val="single" w:sz="4" w:space="0" w:color="auto"/>
            </w:tcBorders>
            <w:shd w:val="clear" w:color="auto" w:fill="F4B083" w:themeFill="accent2" w:themeFillTint="99"/>
            <w:noWrap/>
            <w:vAlign w:val="bottom"/>
            <w:hideMark/>
          </w:tcPr>
          <w:p w14:paraId="3FBD1B43"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38,02</w:t>
            </w:r>
          </w:p>
        </w:tc>
        <w:tc>
          <w:tcPr>
            <w:tcW w:w="1320" w:type="dxa"/>
            <w:tcBorders>
              <w:top w:val="nil"/>
              <w:left w:val="nil"/>
              <w:bottom w:val="single" w:sz="4" w:space="0" w:color="auto"/>
              <w:right w:val="single" w:sz="4" w:space="0" w:color="auto"/>
            </w:tcBorders>
            <w:shd w:val="clear" w:color="auto" w:fill="AAD686"/>
            <w:noWrap/>
            <w:vAlign w:val="bottom"/>
            <w:hideMark/>
          </w:tcPr>
          <w:p w14:paraId="54CBBF77"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86,99</w:t>
            </w:r>
          </w:p>
        </w:tc>
        <w:tc>
          <w:tcPr>
            <w:tcW w:w="1320" w:type="dxa"/>
            <w:tcBorders>
              <w:top w:val="nil"/>
              <w:left w:val="nil"/>
              <w:bottom w:val="single" w:sz="4" w:space="0" w:color="auto"/>
              <w:right w:val="single" w:sz="4" w:space="0" w:color="auto"/>
            </w:tcBorders>
            <w:shd w:val="clear" w:color="auto" w:fill="AAD686"/>
            <w:noWrap/>
            <w:vAlign w:val="bottom"/>
            <w:hideMark/>
          </w:tcPr>
          <w:p w14:paraId="277D282D"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212,49</w:t>
            </w:r>
          </w:p>
        </w:tc>
        <w:tc>
          <w:tcPr>
            <w:tcW w:w="1320" w:type="dxa"/>
            <w:tcBorders>
              <w:top w:val="nil"/>
              <w:left w:val="nil"/>
              <w:bottom w:val="single" w:sz="4" w:space="0" w:color="auto"/>
              <w:right w:val="single" w:sz="4" w:space="0" w:color="auto"/>
            </w:tcBorders>
            <w:shd w:val="clear" w:color="auto" w:fill="AAD686"/>
            <w:noWrap/>
            <w:vAlign w:val="bottom"/>
            <w:hideMark/>
          </w:tcPr>
          <w:p w14:paraId="077B0810"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144,96</w:t>
            </w:r>
          </w:p>
        </w:tc>
        <w:tc>
          <w:tcPr>
            <w:tcW w:w="1320" w:type="dxa"/>
            <w:tcBorders>
              <w:top w:val="nil"/>
              <w:left w:val="nil"/>
              <w:bottom w:val="single" w:sz="4" w:space="0" w:color="auto"/>
              <w:right w:val="single" w:sz="4" w:space="0" w:color="auto"/>
            </w:tcBorders>
            <w:shd w:val="clear" w:color="auto" w:fill="AAD686"/>
            <w:noWrap/>
            <w:vAlign w:val="bottom"/>
            <w:hideMark/>
          </w:tcPr>
          <w:p w14:paraId="15F10CC1" w14:textId="77777777" w:rsidR="00592326" w:rsidRPr="004C5051" w:rsidRDefault="00592326" w:rsidP="00592326">
            <w:pPr>
              <w:jc w:val="right"/>
              <w:rPr>
                <w:rFonts w:ascii="Arial" w:hAnsi="Arial" w:cs="Arial"/>
                <w:sz w:val="18"/>
                <w:szCs w:val="18"/>
              </w:rPr>
            </w:pPr>
            <w:r w:rsidRPr="004C5051">
              <w:rPr>
                <w:rFonts w:ascii="Arial" w:hAnsi="Arial" w:cs="Arial"/>
                <w:sz w:val="18"/>
                <w:szCs w:val="18"/>
              </w:rPr>
              <w:t>106,35</w:t>
            </w:r>
          </w:p>
        </w:tc>
      </w:tr>
    </w:tbl>
    <w:p w14:paraId="6DD10B74" w14:textId="77777777" w:rsidR="00592326" w:rsidRDefault="0061156F" w:rsidP="00DF5536">
      <w:pPr>
        <w:pStyle w:val="Dalodstavce"/>
        <w:ind w:firstLine="0"/>
        <w:jc w:val="right"/>
      </w:pPr>
      <w:r>
        <w:t xml:space="preserve">Tab. 13: Vývoj aktivity podniku Disting </w:t>
      </w:r>
    </w:p>
    <w:p w14:paraId="630E3B9D" w14:textId="19E1BD93" w:rsidR="002A08BD" w:rsidRDefault="00592326" w:rsidP="00592326">
      <w:pPr>
        <w:pStyle w:val="Odstavec1"/>
      </w:pPr>
      <w:r>
        <w:t xml:space="preserve">Na Grafu </w:t>
      </w:r>
      <w:r w:rsidR="002A08BD">
        <w:t>10</w:t>
      </w:r>
      <w:r w:rsidR="00A600B2">
        <w:t xml:space="preserve"> vidíme vývoj </w:t>
      </w:r>
      <w:r w:rsidR="00A77190">
        <w:t xml:space="preserve">aktivity </w:t>
      </w:r>
      <w:r w:rsidR="00D10CE1">
        <w:t>ve společnosti Disting</w:t>
      </w:r>
      <w:r w:rsidR="007935C6">
        <w:t xml:space="preserve">, nejvyšší hodnoty vykazuje </w:t>
      </w:r>
      <w:r w:rsidR="00E94F4B">
        <w:t>obrat zásob</w:t>
      </w:r>
      <w:r w:rsidR="00500180">
        <w:t xml:space="preserve">, který </w:t>
      </w:r>
      <w:r w:rsidR="005D5F70">
        <w:t>každý rokem klesá</w:t>
      </w:r>
      <w:r w:rsidR="006B3744">
        <w:t>. Pokud to srovnáme s dobou obratu zásob, což</w:t>
      </w:r>
      <w:r w:rsidR="003F6D61">
        <w:t xml:space="preserve"> </w:t>
      </w:r>
      <w:r w:rsidR="006B3744">
        <w:t>ukazuje průměrnou dobu držení zásob</w:t>
      </w:r>
      <w:r w:rsidR="00FA0CE0">
        <w:t>, vidíme, že tento ukazatel roste</w:t>
      </w:r>
      <w:r w:rsidR="003F6D61">
        <w:t xml:space="preserve">, což se naopak </w:t>
      </w:r>
      <w:r w:rsidR="005A6E61">
        <w:t>doporučuje</w:t>
      </w:r>
      <w:r w:rsidR="003F6D61">
        <w:t xml:space="preserve">, aby klesal. </w:t>
      </w:r>
      <w:r w:rsidR="00FA572A">
        <w:t xml:space="preserve">Cílem je mít vysoký obrat zásob a nízkou dobu obratu zásob, což znamená, že </w:t>
      </w:r>
      <w:r w:rsidR="002977AE">
        <w:t>zásoby rychle cirkulují a snižují se tak náklady na skladování</w:t>
      </w:r>
      <w:r w:rsidR="00B8594F">
        <w:t xml:space="preserve">. Na druhou stranu </w:t>
      </w:r>
      <w:r w:rsidR="007E5AB4">
        <w:t xml:space="preserve">vysoký obrat zásob může zvyšovat riziko </w:t>
      </w:r>
      <w:r w:rsidR="007E5AB4" w:rsidRPr="007E5AB4">
        <w:t>vyprodání zásob</w:t>
      </w:r>
      <w:r w:rsidR="00FB6F52">
        <w:t>. S delší dodací dobou dodavatelů zásob se toto riziko ještě zvyšuje.</w:t>
      </w:r>
      <w:r w:rsidR="007E5AB4" w:rsidRPr="007E5AB4">
        <w:t> </w:t>
      </w:r>
    </w:p>
    <w:p w14:paraId="423C6A49" w14:textId="436667E5" w:rsidR="004C5051" w:rsidRDefault="00D345E4" w:rsidP="00592326">
      <w:pPr>
        <w:pStyle w:val="Odstavec1"/>
      </w:pPr>
      <w:r>
        <w:rPr>
          <w:noProof/>
        </w:rPr>
        <w:drawing>
          <wp:inline distT="0" distB="0" distL="0" distR="0" wp14:anchorId="4AAC92E2" wp14:editId="598BC802">
            <wp:extent cx="4563533" cy="1816100"/>
            <wp:effectExtent l="0" t="0" r="8890" b="12700"/>
            <wp:docPr id="21" name="Graf 21">
              <a:extLst xmlns:a="http://schemas.openxmlformats.org/drawingml/2006/main">
                <a:ext uri="{FF2B5EF4-FFF2-40B4-BE49-F238E27FC236}">
                  <a16:creationId xmlns:a16="http://schemas.microsoft.com/office/drawing/2014/main" id="{631220E3-FC18-0E71-81D7-1E49A1163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4C5051">
        <w:fldChar w:fldCharType="begin"/>
      </w:r>
      <w:r w:rsidR="004C5051">
        <w:instrText xml:space="preserve"> LINK Excel.Sheet.12 "https://ucnmuni-my.sharepoint.com/personal/496301_muni_cz/Documents/2.%20semestr%20NMgr/FMAN%20Finanční%20management/FMAN%20VE%20VLAKU.xlsx" "poměrové ukazatele!R20C11:R28C16" \a \f 4 \h </w:instrText>
      </w:r>
      <w:r w:rsidR="00444042">
        <w:instrText xml:space="preserve"> \* MERGEFORMAT </w:instrText>
      </w:r>
      <w:r w:rsidR="004C5051">
        <w:fldChar w:fldCharType="separate"/>
      </w:r>
    </w:p>
    <w:p w14:paraId="4D825C4B" w14:textId="542D2D14" w:rsidR="004868C1" w:rsidRDefault="004C5051" w:rsidP="00D345E4">
      <w:pPr>
        <w:pStyle w:val="Dalodstavce"/>
        <w:ind w:firstLine="0"/>
        <w:jc w:val="right"/>
        <w:rPr>
          <w:noProof/>
        </w:rPr>
      </w:pPr>
      <w:r>
        <w:fldChar w:fldCharType="end"/>
      </w:r>
      <w:r w:rsidR="004868C1">
        <w:rPr>
          <w:noProof/>
        </w:rPr>
        <w:t>Graf 10: Vývoj aktivity</w:t>
      </w:r>
    </w:p>
    <w:p w14:paraId="128969F8" w14:textId="00D56A60" w:rsidR="00FA2DBA" w:rsidRDefault="004868C1" w:rsidP="0091220C">
      <w:pPr>
        <w:pStyle w:val="Dalodstavce"/>
        <w:ind w:firstLine="0"/>
      </w:pPr>
      <w:r>
        <w:rPr>
          <w:noProof/>
        </w:rPr>
        <w:lastRenderedPageBreak/>
        <w:t xml:space="preserve">Na Grafu 11 můžeme vidět </w:t>
      </w:r>
      <w:r w:rsidRPr="00FF3DF8">
        <w:rPr>
          <w:noProof/>
        </w:rPr>
        <w:t>vývoj</w:t>
      </w:r>
      <w:r w:rsidR="00994A2A" w:rsidRPr="00FF3DF8">
        <w:rPr>
          <w:noProof/>
        </w:rPr>
        <w:t xml:space="preserve"> obratu bez</w:t>
      </w:r>
      <w:r w:rsidR="00994A2A">
        <w:rPr>
          <w:noProof/>
        </w:rPr>
        <w:t xml:space="preserve"> obratu zásob, která všechny ostatní výrazně převyšuje. </w:t>
      </w:r>
      <w:r w:rsidR="00165351">
        <w:rPr>
          <w:noProof/>
        </w:rPr>
        <w:t>Obrat celkových aktiv je poměrně stabilní po celé sledované období</w:t>
      </w:r>
      <w:r w:rsidR="00B13338">
        <w:rPr>
          <w:noProof/>
        </w:rPr>
        <w:t xml:space="preserve"> a doba obratu akriv dosahuje svého maxima v roce 2019. Výrazně zajímavějšími ukazaeli jsou obrat pohledávek a závazků, </w:t>
      </w:r>
      <w:r w:rsidR="00B13338">
        <w:t xml:space="preserve">v literatuře se udává, </w:t>
      </w:r>
      <w:r w:rsidR="00EB7168">
        <w:t>že pokud</w:t>
      </w:r>
      <w:r w:rsidR="00B13338">
        <w:t xml:space="preserve"> je doba obratu závazku větší než doba obratu pohledávek, </w:t>
      </w:r>
      <w:r w:rsidR="00FA2DBA">
        <w:t>znamená to</w:t>
      </w:r>
      <w:r w:rsidR="0053636F">
        <w:t>,</w:t>
      </w:r>
      <w:r w:rsidR="00FA2DBA">
        <w:t xml:space="preserve"> </w:t>
      </w:r>
      <w:r w:rsidR="006B4E36">
        <w:t xml:space="preserve">že společnost </w:t>
      </w:r>
      <w:r w:rsidR="00C25CF3" w:rsidRPr="00C25CF3">
        <w:t>využív</w:t>
      </w:r>
      <w:r w:rsidR="00C25CF3">
        <w:t xml:space="preserve">á </w:t>
      </w:r>
      <w:r w:rsidR="00C25CF3" w:rsidRPr="00C25CF3">
        <w:t>bezúročných tzv. dodavatelských úvěrů</w:t>
      </w:r>
      <w:r w:rsidR="00C25CF3">
        <w:t xml:space="preserve">. </w:t>
      </w:r>
      <w:r w:rsidR="004B5CEA">
        <w:t>Cílem tedy je minimalizovat dobu obratu pohledávek a maximalizovat dobu obratu závazků</w:t>
      </w:r>
      <w:r w:rsidR="00B15E6E">
        <w:t>, což se spole</w:t>
      </w:r>
      <w:r w:rsidR="00F53070">
        <w:t>čnosti nedařilo v letech 2017, ale dařilo se</w:t>
      </w:r>
      <w:r w:rsidR="00F425C0">
        <w:t xml:space="preserve"> jí to ve všech ostatních letech.</w:t>
      </w:r>
    </w:p>
    <w:p w14:paraId="00639D91" w14:textId="77777777" w:rsidR="00F425C0" w:rsidRDefault="00F425C0" w:rsidP="0091220C">
      <w:pPr>
        <w:pStyle w:val="Dalodstavce"/>
        <w:ind w:firstLine="0"/>
      </w:pPr>
    </w:p>
    <w:p w14:paraId="753CF311" w14:textId="5151B822" w:rsidR="00370E7B" w:rsidRDefault="00370E7B" w:rsidP="0091220C">
      <w:pPr>
        <w:pStyle w:val="Dalodstavce"/>
        <w:ind w:firstLine="0"/>
      </w:pPr>
      <w:r>
        <w:rPr>
          <w:noProof/>
        </w:rPr>
        <w:drawing>
          <wp:inline distT="0" distB="0" distL="0" distR="0" wp14:anchorId="4711C22C" wp14:editId="640AF75D">
            <wp:extent cx="4510217" cy="2404110"/>
            <wp:effectExtent l="0" t="0" r="11430" b="8890"/>
            <wp:docPr id="33" name="Graf 33">
              <a:extLst xmlns:a="http://schemas.openxmlformats.org/drawingml/2006/main">
                <a:ext uri="{FF2B5EF4-FFF2-40B4-BE49-F238E27FC236}">
                  <a16:creationId xmlns:a16="http://schemas.microsoft.com/office/drawing/2014/main" id="{3E7C1C65-2BCB-6403-6276-996CCFCB7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81CF961" w14:textId="387EC97B" w:rsidR="00C36467" w:rsidRDefault="002A08BD" w:rsidP="00DF5536">
      <w:pPr>
        <w:pStyle w:val="Dalodstavce"/>
        <w:ind w:firstLine="709"/>
        <w:jc w:val="right"/>
      </w:pPr>
      <w:r>
        <w:t xml:space="preserve">Graf 11: Vývoj aktivity (bez obratu zásob) </w:t>
      </w:r>
    </w:p>
    <w:p w14:paraId="172EC374" w14:textId="3B2F9A89" w:rsidR="00FC36E8" w:rsidRDefault="00FC36E8" w:rsidP="0091220C">
      <w:pPr>
        <w:pStyle w:val="Dalodstavce"/>
        <w:ind w:firstLine="0"/>
      </w:pPr>
      <w:r>
        <w:rPr>
          <w:noProof/>
        </w:rPr>
        <w:drawing>
          <wp:inline distT="0" distB="0" distL="0" distR="0" wp14:anchorId="2C485B1A" wp14:editId="0BCFC1E9">
            <wp:extent cx="4509770" cy="2409567"/>
            <wp:effectExtent l="0" t="0" r="11430" b="16510"/>
            <wp:docPr id="34" name="Graf 34">
              <a:extLst xmlns:a="http://schemas.openxmlformats.org/drawingml/2006/main">
                <a:ext uri="{FF2B5EF4-FFF2-40B4-BE49-F238E27FC236}">
                  <a16:creationId xmlns:a16="http://schemas.microsoft.com/office/drawing/2014/main" id="{2AF4C255-BEDC-9729-DC5E-E22B15384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C55F3C0" w14:textId="12EFB6E7" w:rsidR="008E53F1" w:rsidRDefault="007209EE" w:rsidP="00DF5536">
      <w:pPr>
        <w:pStyle w:val="Dalodstavce"/>
        <w:ind w:firstLine="709"/>
        <w:jc w:val="right"/>
      </w:pPr>
      <w:r>
        <w:t xml:space="preserve"> </w:t>
      </w:r>
      <w:r w:rsidR="002A08BD">
        <w:t>Graf 12: Vývoj doby obratu</w:t>
      </w:r>
    </w:p>
    <w:p w14:paraId="50B18D6C" w14:textId="606745E9" w:rsidR="008E53F1" w:rsidRDefault="00FF3DF8" w:rsidP="00722C15">
      <w:pPr>
        <w:pStyle w:val="Nadpis2"/>
        <w:numPr>
          <w:ilvl w:val="1"/>
          <w:numId w:val="27"/>
        </w:numPr>
      </w:pPr>
      <w:bookmarkStart w:id="21" w:name="_Toc134175269"/>
      <w:r>
        <w:lastRenderedPageBreak/>
        <w:t>Poměrové ukazatele související se z</w:t>
      </w:r>
      <w:r w:rsidR="00722C15">
        <w:t>aměstnanci</w:t>
      </w:r>
      <w:bookmarkEnd w:id="21"/>
    </w:p>
    <w:tbl>
      <w:tblPr>
        <w:tblpPr w:leftFromText="141" w:rightFromText="141" w:vertAnchor="page" w:horzAnchor="margin" w:tblpXSpec="center" w:tblpY="5975"/>
        <w:tblW w:w="9396" w:type="dxa"/>
        <w:tblCellMar>
          <w:left w:w="70" w:type="dxa"/>
          <w:right w:w="70" w:type="dxa"/>
        </w:tblCellMar>
        <w:tblLook w:val="04A0" w:firstRow="1" w:lastRow="0" w:firstColumn="1" w:lastColumn="0" w:noHBand="0" w:noVBand="1"/>
      </w:tblPr>
      <w:tblGrid>
        <w:gridCol w:w="4596"/>
        <w:gridCol w:w="960"/>
        <w:gridCol w:w="960"/>
        <w:gridCol w:w="960"/>
        <w:gridCol w:w="960"/>
        <w:gridCol w:w="960"/>
      </w:tblGrid>
      <w:tr w:rsidR="00722C15" w:rsidRPr="000F55C5" w14:paraId="67C5C914" w14:textId="77777777" w:rsidTr="00722C15">
        <w:trPr>
          <w:trHeight w:val="264"/>
        </w:trPr>
        <w:tc>
          <w:tcPr>
            <w:tcW w:w="459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130C5E" w14:textId="77777777" w:rsidR="00722C15" w:rsidRPr="000F55C5" w:rsidRDefault="00722C15" w:rsidP="00722C15">
            <w:pPr>
              <w:rPr>
                <w:rFonts w:ascii="Arial" w:hAnsi="Arial" w:cs="Arial"/>
                <w:sz w:val="18"/>
                <w:szCs w:val="18"/>
              </w:rPr>
            </w:pPr>
            <w:r w:rsidRPr="000F55C5">
              <w:rPr>
                <w:rFonts w:ascii="Arial" w:hAnsi="Arial" w:cs="Arial"/>
                <w:sz w:val="18"/>
                <w:szCs w:val="18"/>
              </w:rPr>
              <w:t> </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33CE434C"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2017</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0AF88996"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2018</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7BC30433"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2019</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03850806"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2020</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21918C73"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2021</w:t>
            </w:r>
          </w:p>
        </w:tc>
      </w:tr>
      <w:tr w:rsidR="00722C15" w:rsidRPr="000F55C5" w14:paraId="6F9C51F7" w14:textId="77777777" w:rsidTr="00722C15">
        <w:trPr>
          <w:trHeight w:val="264"/>
        </w:trPr>
        <w:tc>
          <w:tcPr>
            <w:tcW w:w="4596" w:type="dxa"/>
            <w:tcBorders>
              <w:top w:val="nil"/>
              <w:left w:val="single" w:sz="4" w:space="0" w:color="auto"/>
              <w:bottom w:val="single" w:sz="4" w:space="0" w:color="auto"/>
              <w:right w:val="single" w:sz="4" w:space="0" w:color="auto"/>
            </w:tcBorders>
            <w:shd w:val="clear" w:color="000000" w:fill="D9D9D9"/>
            <w:noWrap/>
            <w:vAlign w:val="center"/>
            <w:hideMark/>
          </w:tcPr>
          <w:p w14:paraId="29BFF20A" w14:textId="77777777" w:rsidR="00722C15" w:rsidRPr="000F55C5" w:rsidRDefault="00722C15" w:rsidP="00722C15">
            <w:pPr>
              <w:rPr>
                <w:rFonts w:ascii="Arial" w:hAnsi="Arial" w:cs="Arial"/>
                <w:b/>
                <w:bCs/>
                <w:sz w:val="18"/>
                <w:szCs w:val="18"/>
              </w:rPr>
            </w:pPr>
            <w:r w:rsidRPr="000F55C5">
              <w:rPr>
                <w:rFonts w:ascii="Arial" w:hAnsi="Arial" w:cs="Arial"/>
                <w:b/>
                <w:bCs/>
                <w:sz w:val="18"/>
                <w:szCs w:val="18"/>
              </w:rPr>
              <w:t>Počet zaměstnanců</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3B52114"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85</w:t>
            </w:r>
          </w:p>
        </w:tc>
        <w:tc>
          <w:tcPr>
            <w:tcW w:w="960" w:type="dxa"/>
            <w:tcBorders>
              <w:top w:val="single" w:sz="4" w:space="0" w:color="auto"/>
              <w:left w:val="single" w:sz="4" w:space="0" w:color="auto"/>
              <w:bottom w:val="single" w:sz="4" w:space="0" w:color="auto"/>
              <w:right w:val="single" w:sz="4" w:space="0" w:color="auto"/>
            </w:tcBorders>
            <w:shd w:val="clear" w:color="000000" w:fill="FA9D75"/>
            <w:noWrap/>
            <w:vAlign w:val="bottom"/>
            <w:hideMark/>
          </w:tcPr>
          <w:p w14:paraId="16C2E5FE"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93</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DFE0010"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105</w:t>
            </w:r>
          </w:p>
        </w:tc>
        <w:tc>
          <w:tcPr>
            <w:tcW w:w="960" w:type="dxa"/>
            <w:tcBorders>
              <w:top w:val="single" w:sz="4" w:space="0" w:color="auto"/>
              <w:left w:val="single" w:sz="4" w:space="0" w:color="auto"/>
              <w:bottom w:val="single" w:sz="4" w:space="0" w:color="auto"/>
              <w:right w:val="single" w:sz="4" w:space="0" w:color="auto"/>
            </w:tcBorders>
            <w:shd w:val="clear" w:color="000000" w:fill="77C47D"/>
            <w:noWrap/>
            <w:vAlign w:val="bottom"/>
            <w:hideMark/>
          </w:tcPr>
          <w:p w14:paraId="245547E5"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119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B3ED1C"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121</w:t>
            </w:r>
          </w:p>
        </w:tc>
      </w:tr>
      <w:tr w:rsidR="00722C15" w:rsidRPr="000F55C5" w14:paraId="5DE37093" w14:textId="77777777" w:rsidTr="00722C15">
        <w:trPr>
          <w:trHeight w:val="264"/>
        </w:trPr>
        <w:tc>
          <w:tcPr>
            <w:tcW w:w="4596" w:type="dxa"/>
            <w:tcBorders>
              <w:top w:val="nil"/>
              <w:left w:val="single" w:sz="4" w:space="0" w:color="auto"/>
              <w:bottom w:val="single" w:sz="4" w:space="0" w:color="auto"/>
              <w:right w:val="single" w:sz="4" w:space="0" w:color="auto"/>
            </w:tcBorders>
            <w:shd w:val="clear" w:color="000000" w:fill="D9D9D9"/>
            <w:noWrap/>
            <w:vAlign w:val="center"/>
            <w:hideMark/>
          </w:tcPr>
          <w:p w14:paraId="5B01683D" w14:textId="77777777" w:rsidR="00722C15" w:rsidRPr="000F55C5" w:rsidRDefault="00722C15" w:rsidP="00722C15">
            <w:pPr>
              <w:rPr>
                <w:rFonts w:ascii="Arial" w:hAnsi="Arial" w:cs="Arial"/>
                <w:b/>
                <w:bCs/>
                <w:sz w:val="18"/>
                <w:szCs w:val="18"/>
              </w:rPr>
            </w:pPr>
            <w:r w:rsidRPr="000F55C5">
              <w:rPr>
                <w:rFonts w:ascii="Arial" w:hAnsi="Arial" w:cs="Arial"/>
                <w:b/>
                <w:bCs/>
                <w:sz w:val="18"/>
                <w:szCs w:val="18"/>
              </w:rPr>
              <w:t>Produktivita práce (Tržby / počet zaměstnanců)</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08E192"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542</w:t>
            </w:r>
          </w:p>
        </w:tc>
        <w:tc>
          <w:tcPr>
            <w:tcW w:w="960" w:type="dxa"/>
            <w:tcBorders>
              <w:top w:val="single" w:sz="4" w:space="0" w:color="auto"/>
              <w:left w:val="single" w:sz="4" w:space="0" w:color="auto"/>
              <w:bottom w:val="single" w:sz="4" w:space="0" w:color="auto"/>
              <w:right w:val="single" w:sz="4" w:space="0" w:color="auto"/>
            </w:tcBorders>
            <w:shd w:val="clear" w:color="000000" w:fill="B1D580"/>
            <w:noWrap/>
            <w:vAlign w:val="bottom"/>
            <w:hideMark/>
          </w:tcPr>
          <w:p w14:paraId="4FC29014"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488</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61E3AA3"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434</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0BC6439"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400</w:t>
            </w:r>
          </w:p>
        </w:tc>
        <w:tc>
          <w:tcPr>
            <w:tcW w:w="960" w:type="dxa"/>
            <w:tcBorders>
              <w:top w:val="single" w:sz="4" w:space="0" w:color="auto"/>
              <w:left w:val="single" w:sz="4" w:space="0" w:color="auto"/>
              <w:bottom w:val="single" w:sz="4" w:space="0" w:color="auto"/>
              <w:right w:val="single" w:sz="4" w:space="0" w:color="auto"/>
            </w:tcBorders>
            <w:shd w:val="clear" w:color="000000" w:fill="FDD780"/>
            <w:noWrap/>
            <w:vAlign w:val="bottom"/>
            <w:hideMark/>
          </w:tcPr>
          <w:p w14:paraId="565D8C7D"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429</w:t>
            </w:r>
          </w:p>
        </w:tc>
      </w:tr>
      <w:tr w:rsidR="00722C15" w:rsidRPr="000F55C5" w14:paraId="1005D25A" w14:textId="77777777" w:rsidTr="00722C15">
        <w:trPr>
          <w:trHeight w:val="264"/>
        </w:trPr>
        <w:tc>
          <w:tcPr>
            <w:tcW w:w="4596" w:type="dxa"/>
            <w:tcBorders>
              <w:top w:val="nil"/>
              <w:left w:val="single" w:sz="4" w:space="0" w:color="auto"/>
              <w:bottom w:val="single" w:sz="4" w:space="0" w:color="auto"/>
              <w:right w:val="single" w:sz="4" w:space="0" w:color="auto"/>
            </w:tcBorders>
            <w:shd w:val="clear" w:color="000000" w:fill="D9D9D9"/>
            <w:noWrap/>
            <w:vAlign w:val="center"/>
            <w:hideMark/>
          </w:tcPr>
          <w:p w14:paraId="7962A28C" w14:textId="77777777" w:rsidR="00722C15" w:rsidRPr="000F55C5" w:rsidRDefault="00722C15" w:rsidP="00722C15">
            <w:pPr>
              <w:rPr>
                <w:rFonts w:ascii="Arial" w:hAnsi="Arial" w:cs="Arial"/>
                <w:b/>
                <w:bCs/>
                <w:sz w:val="18"/>
                <w:szCs w:val="18"/>
              </w:rPr>
            </w:pPr>
            <w:r w:rsidRPr="000F55C5">
              <w:rPr>
                <w:rFonts w:ascii="Arial" w:hAnsi="Arial" w:cs="Arial"/>
                <w:b/>
                <w:bCs/>
                <w:sz w:val="18"/>
                <w:szCs w:val="18"/>
              </w:rPr>
              <w:t>Průměrná mzda na pracovníka (měsíční mzdové náklady na zaměstnance)</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02CB52"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28136</w:t>
            </w:r>
          </w:p>
        </w:tc>
        <w:tc>
          <w:tcPr>
            <w:tcW w:w="960" w:type="dxa"/>
            <w:tcBorders>
              <w:top w:val="single" w:sz="4" w:space="0" w:color="auto"/>
              <w:left w:val="single" w:sz="4" w:space="0" w:color="auto"/>
              <w:bottom w:val="single" w:sz="4" w:space="0" w:color="auto"/>
              <w:right w:val="single" w:sz="4" w:space="0" w:color="auto"/>
            </w:tcBorders>
            <w:shd w:val="clear" w:color="000000" w:fill="E4E483"/>
            <w:noWrap/>
            <w:vAlign w:val="bottom"/>
            <w:hideMark/>
          </w:tcPr>
          <w:p w14:paraId="7E3EE95E"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26862</w:t>
            </w:r>
          </w:p>
        </w:tc>
        <w:tc>
          <w:tcPr>
            <w:tcW w:w="960"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14:paraId="4E8BC085"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25315</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2659471"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22419</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DFCA2FE"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26587</w:t>
            </w:r>
          </w:p>
        </w:tc>
      </w:tr>
      <w:tr w:rsidR="00722C15" w:rsidRPr="000F55C5" w14:paraId="56254E54" w14:textId="77777777" w:rsidTr="00722C15">
        <w:trPr>
          <w:trHeight w:val="264"/>
        </w:trPr>
        <w:tc>
          <w:tcPr>
            <w:tcW w:w="4596" w:type="dxa"/>
            <w:tcBorders>
              <w:top w:val="nil"/>
              <w:left w:val="single" w:sz="4" w:space="0" w:color="auto"/>
              <w:bottom w:val="single" w:sz="4" w:space="0" w:color="auto"/>
              <w:right w:val="single" w:sz="4" w:space="0" w:color="auto"/>
            </w:tcBorders>
            <w:shd w:val="clear" w:color="000000" w:fill="D9D9D9"/>
            <w:noWrap/>
            <w:vAlign w:val="center"/>
            <w:hideMark/>
          </w:tcPr>
          <w:p w14:paraId="4A6385B6" w14:textId="77777777" w:rsidR="00722C15" w:rsidRPr="000F55C5" w:rsidRDefault="00722C15" w:rsidP="00722C15">
            <w:pPr>
              <w:rPr>
                <w:rFonts w:ascii="Arial" w:hAnsi="Arial" w:cs="Arial"/>
                <w:b/>
                <w:bCs/>
                <w:sz w:val="18"/>
                <w:szCs w:val="18"/>
              </w:rPr>
            </w:pPr>
            <w:r w:rsidRPr="000F55C5">
              <w:rPr>
                <w:rFonts w:ascii="Arial" w:hAnsi="Arial" w:cs="Arial"/>
                <w:b/>
                <w:bCs/>
                <w:sz w:val="18"/>
                <w:szCs w:val="18"/>
              </w:rPr>
              <w:t>Podíl personálních nákladů na obratu</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0D67BD"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62,25%</w:t>
            </w:r>
          </w:p>
        </w:tc>
        <w:tc>
          <w:tcPr>
            <w:tcW w:w="960" w:type="dxa"/>
            <w:tcBorders>
              <w:top w:val="single" w:sz="4" w:space="0" w:color="auto"/>
              <w:left w:val="single" w:sz="4" w:space="0" w:color="auto"/>
              <w:bottom w:val="single" w:sz="4" w:space="0" w:color="auto"/>
              <w:right w:val="single" w:sz="4" w:space="0" w:color="auto"/>
            </w:tcBorders>
            <w:shd w:val="clear" w:color="000000" w:fill="DAE081"/>
            <w:noWrap/>
            <w:vAlign w:val="bottom"/>
            <w:hideMark/>
          </w:tcPr>
          <w:p w14:paraId="0851A896"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66,03%</w:t>
            </w:r>
          </w:p>
        </w:tc>
        <w:tc>
          <w:tcPr>
            <w:tcW w:w="960" w:type="dxa"/>
            <w:tcBorders>
              <w:top w:val="single" w:sz="4" w:space="0" w:color="auto"/>
              <w:left w:val="single" w:sz="4" w:space="0" w:color="auto"/>
              <w:bottom w:val="single" w:sz="4" w:space="0" w:color="auto"/>
              <w:right w:val="single" w:sz="4" w:space="0" w:color="auto"/>
            </w:tcBorders>
            <w:shd w:val="clear" w:color="000000" w:fill="FDB87B"/>
            <w:noWrap/>
            <w:vAlign w:val="bottom"/>
            <w:hideMark/>
          </w:tcPr>
          <w:p w14:paraId="3FBD3DB0"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70,05%</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9F44F72"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67,18%</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C989F56"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74,41%</w:t>
            </w:r>
          </w:p>
        </w:tc>
      </w:tr>
      <w:tr w:rsidR="00722C15" w:rsidRPr="000F55C5" w14:paraId="3B027C8F" w14:textId="77777777" w:rsidTr="00722C15">
        <w:trPr>
          <w:trHeight w:val="264"/>
        </w:trPr>
        <w:tc>
          <w:tcPr>
            <w:tcW w:w="4596" w:type="dxa"/>
            <w:tcBorders>
              <w:top w:val="nil"/>
              <w:left w:val="single" w:sz="4" w:space="0" w:color="auto"/>
              <w:bottom w:val="single" w:sz="4" w:space="0" w:color="auto"/>
              <w:right w:val="single" w:sz="4" w:space="0" w:color="auto"/>
            </w:tcBorders>
            <w:shd w:val="clear" w:color="000000" w:fill="D9D9D9"/>
            <w:noWrap/>
            <w:vAlign w:val="center"/>
            <w:hideMark/>
          </w:tcPr>
          <w:p w14:paraId="703ACD2C" w14:textId="77777777" w:rsidR="00722C15" w:rsidRPr="000F55C5" w:rsidRDefault="00722C15" w:rsidP="00722C15">
            <w:pPr>
              <w:rPr>
                <w:rFonts w:ascii="Arial" w:hAnsi="Arial" w:cs="Arial"/>
                <w:b/>
                <w:bCs/>
                <w:sz w:val="18"/>
                <w:szCs w:val="18"/>
              </w:rPr>
            </w:pPr>
            <w:r w:rsidRPr="000F55C5">
              <w:rPr>
                <w:rFonts w:ascii="Arial" w:hAnsi="Arial" w:cs="Arial"/>
                <w:b/>
                <w:bCs/>
                <w:sz w:val="18"/>
                <w:szCs w:val="18"/>
              </w:rPr>
              <w:t>Podíl personálních nákladů na celkových nákladech</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ADDF6F7"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74,39%</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581D73"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75,41%</w:t>
            </w:r>
          </w:p>
        </w:tc>
        <w:tc>
          <w:tcPr>
            <w:tcW w:w="960" w:type="dxa"/>
            <w:tcBorders>
              <w:top w:val="single" w:sz="4" w:space="0" w:color="auto"/>
              <w:left w:val="single" w:sz="4" w:space="0" w:color="auto"/>
              <w:bottom w:val="single" w:sz="4" w:space="0" w:color="auto"/>
              <w:right w:val="single" w:sz="4" w:space="0" w:color="auto"/>
            </w:tcBorders>
            <w:shd w:val="clear" w:color="000000" w:fill="C2D980"/>
            <w:noWrap/>
            <w:vAlign w:val="bottom"/>
            <w:hideMark/>
          </w:tcPr>
          <w:p w14:paraId="5F6E95B3"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71,16%</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071D476"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66,12%</w:t>
            </w:r>
          </w:p>
        </w:tc>
        <w:tc>
          <w:tcPr>
            <w:tcW w:w="960" w:type="dxa"/>
            <w:tcBorders>
              <w:top w:val="single" w:sz="4" w:space="0" w:color="auto"/>
              <w:left w:val="single" w:sz="4" w:space="0" w:color="auto"/>
              <w:bottom w:val="single" w:sz="4" w:space="0" w:color="auto"/>
              <w:right w:val="single" w:sz="4" w:space="0" w:color="auto"/>
            </w:tcBorders>
            <w:shd w:val="clear" w:color="000000" w:fill="F97B6F"/>
            <w:noWrap/>
            <w:vAlign w:val="bottom"/>
            <w:hideMark/>
          </w:tcPr>
          <w:p w14:paraId="19F083F1" w14:textId="77777777" w:rsidR="00722C15" w:rsidRPr="000F55C5" w:rsidRDefault="00722C15" w:rsidP="00722C15">
            <w:pPr>
              <w:jc w:val="right"/>
              <w:rPr>
                <w:rFonts w:ascii="Arial" w:hAnsi="Arial" w:cs="Arial"/>
                <w:sz w:val="18"/>
                <w:szCs w:val="18"/>
              </w:rPr>
            </w:pPr>
            <w:r w:rsidRPr="000F55C5">
              <w:rPr>
                <w:rFonts w:ascii="Arial" w:hAnsi="Arial" w:cs="Arial"/>
                <w:sz w:val="18"/>
                <w:szCs w:val="18"/>
              </w:rPr>
              <w:t>75,27%</w:t>
            </w:r>
          </w:p>
        </w:tc>
      </w:tr>
    </w:tbl>
    <w:p w14:paraId="7D1458A9" w14:textId="573DB6CB" w:rsidR="00396190" w:rsidRDefault="00A54703" w:rsidP="0091220C">
      <w:pPr>
        <w:pStyle w:val="Dalodstavce"/>
        <w:ind w:firstLine="0"/>
      </w:pPr>
      <w:r>
        <w:t xml:space="preserve">Počet zaměstnanců firmy Disting </w:t>
      </w:r>
      <w:r w:rsidR="00DA19D0">
        <w:t>významně roste. Od roku 2017 do roku 2021 došlo k nárůstu z 85 na 121 zaměstnanců</w:t>
      </w:r>
      <w:r w:rsidR="00843BEB">
        <w:t>, což je nár</w:t>
      </w:r>
      <w:r w:rsidR="001E46A1">
        <w:t xml:space="preserve">ůst o téměř 50 %. </w:t>
      </w:r>
      <w:r w:rsidR="00DA19D0">
        <w:t xml:space="preserve"> </w:t>
      </w:r>
      <w:r w:rsidR="00B9693F">
        <w:t>Osobní tedy</w:t>
      </w:r>
      <w:r w:rsidR="00DA19D0">
        <w:t xml:space="preserve"> </w:t>
      </w:r>
      <w:r w:rsidR="00B9693F">
        <w:t xml:space="preserve">personální náklady </w:t>
      </w:r>
      <w:r w:rsidR="00826D91">
        <w:t>v absolutní hodnotě každý rok během sledovaného období rostly, což může být způsobeno</w:t>
      </w:r>
      <w:r w:rsidR="001E46A1">
        <w:t xml:space="preserve"> nejen růstem počtu zaměstnanců, ale také </w:t>
      </w:r>
      <w:r w:rsidR="00826D91">
        <w:t>valorizací mezd</w:t>
      </w:r>
      <w:r>
        <w:t>.</w:t>
      </w:r>
      <w:r w:rsidR="00D6435B">
        <w:t xml:space="preserve"> Do analýzy poměrových ukazatelů jsme se proto rozhodli přidat také ukazatele produktivity práce a </w:t>
      </w:r>
      <w:r w:rsidR="00396190">
        <w:t xml:space="preserve">další ukazatele související se zaměstnanci. Vývoj všech ukazatelů je zobrazen v Tab. 14. </w:t>
      </w:r>
    </w:p>
    <w:p w14:paraId="44EEE1B9" w14:textId="0D927998" w:rsidR="0061156F" w:rsidRDefault="0061156F" w:rsidP="00DF5536">
      <w:pPr>
        <w:pStyle w:val="Dalodstavce"/>
        <w:ind w:firstLine="709"/>
        <w:jc w:val="right"/>
      </w:pPr>
      <w:r>
        <w:t xml:space="preserve">Tab. 14: Vývoj </w:t>
      </w:r>
      <w:r w:rsidR="00BE6129">
        <w:t>ukazatelů spojených se zaměstnanci</w:t>
      </w:r>
    </w:p>
    <w:p w14:paraId="7E6355EC" w14:textId="51A4E4E3" w:rsidR="00C36467" w:rsidRDefault="00AA4CDD" w:rsidP="00722C15">
      <w:pPr>
        <w:pStyle w:val="Odstavec1"/>
      </w:pPr>
      <w:r>
        <w:t xml:space="preserve">Graf 13 </w:t>
      </w:r>
      <w:r w:rsidRPr="00FF3DF8">
        <w:t xml:space="preserve">ukazuje vývoj počtu zaměstnanců na levé </w:t>
      </w:r>
      <w:r w:rsidR="00EB0C7C" w:rsidRPr="00FF3DF8">
        <w:t xml:space="preserve">svislé ose a vývoj produktivity práce na pravé svislé ose. Přestože </w:t>
      </w:r>
      <w:r w:rsidR="007F3563" w:rsidRPr="00FF3DF8">
        <w:t>počet zaměstnanců roste každým sledovaným</w:t>
      </w:r>
      <w:r w:rsidR="007F3563">
        <w:t xml:space="preserve"> rokem, produktivita práce byla nejvyšší v první sledovaný rok, tedy v roce 2017 a nejnižšího bodu dosáhla v roce 2020, od kterého následně roste. </w:t>
      </w:r>
      <w:r>
        <w:t xml:space="preserve"> </w:t>
      </w:r>
    </w:p>
    <w:p w14:paraId="7156B2A3" w14:textId="68A750E5" w:rsidR="00C36467" w:rsidRDefault="00DC6B8E" w:rsidP="0091220C">
      <w:pPr>
        <w:pStyle w:val="Dalodstavce"/>
        <w:ind w:firstLine="0"/>
      </w:pPr>
      <w:r>
        <w:rPr>
          <w:noProof/>
        </w:rPr>
        <w:drawing>
          <wp:inline distT="0" distB="0" distL="0" distR="0" wp14:anchorId="75D75900" wp14:editId="303ACF4F">
            <wp:extent cx="4540250" cy="2489200"/>
            <wp:effectExtent l="0" t="0" r="12700" b="6350"/>
            <wp:docPr id="35" name="Graf 35">
              <a:extLst xmlns:a="http://schemas.openxmlformats.org/drawingml/2006/main">
                <a:ext uri="{FF2B5EF4-FFF2-40B4-BE49-F238E27FC236}">
                  <a16:creationId xmlns:a16="http://schemas.microsoft.com/office/drawing/2014/main" id="{4B585C4C-FB4C-812F-868E-F665E8028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3AEFC61" w14:textId="074B1A85" w:rsidR="00B54FC5" w:rsidRDefault="00396190" w:rsidP="00722C15">
      <w:pPr>
        <w:pStyle w:val="Dalodstavce"/>
        <w:ind w:firstLine="0"/>
        <w:jc w:val="right"/>
      </w:pPr>
      <w:r>
        <w:tab/>
        <w:t>Graf 13: Vývoj počtu zaměstnanců a produktivity práce</w:t>
      </w:r>
    </w:p>
    <w:p w14:paraId="71E969F9" w14:textId="31CB3F94" w:rsidR="007F3563" w:rsidRDefault="00470CEC" w:rsidP="0091220C">
      <w:pPr>
        <w:pStyle w:val="Dalodstavce"/>
        <w:ind w:firstLine="0"/>
      </w:pPr>
      <w:r>
        <w:lastRenderedPageBreak/>
        <w:t>Níže j</w:t>
      </w:r>
      <w:r w:rsidR="00B54FC5">
        <w:t>sou představeny další poměrové ukazatele, které ukazují vývoj podílů personálních nákladů na obratu a na celkových nákladech. Podíl personálních nákladů je ve všech obdobích větší než 60 %, což značí</w:t>
      </w:r>
      <w:r w:rsidR="0035283B">
        <w:t xml:space="preserve"> že výroba je velice pracovně náročná, jelikož jsou tyto poměry opravdu vysoké. </w:t>
      </w:r>
    </w:p>
    <w:p w14:paraId="21BA4539" w14:textId="35C88A1E" w:rsidR="00EC5AC4" w:rsidRDefault="00EC5AC4" w:rsidP="0091220C">
      <w:pPr>
        <w:pStyle w:val="Dalodstavce"/>
        <w:ind w:firstLine="0"/>
      </w:pPr>
      <w:r>
        <w:rPr>
          <w:noProof/>
        </w:rPr>
        <w:drawing>
          <wp:inline distT="0" distB="0" distL="0" distR="0" wp14:anchorId="69677198" wp14:editId="74AA4FA6">
            <wp:extent cx="4554855" cy="3081867"/>
            <wp:effectExtent l="0" t="0" r="17145" b="4445"/>
            <wp:docPr id="38" name="Graf 38">
              <a:extLst xmlns:a="http://schemas.openxmlformats.org/drawingml/2006/main">
                <a:ext uri="{FF2B5EF4-FFF2-40B4-BE49-F238E27FC236}">
                  <a16:creationId xmlns:a16="http://schemas.microsoft.com/office/drawing/2014/main" id="{841117FC-0DB7-C7BA-EB29-6DF040FD1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72CEA6F" w14:textId="270D92DA" w:rsidR="00396190" w:rsidRDefault="00396190" w:rsidP="00DF5536">
      <w:pPr>
        <w:pStyle w:val="Dalodstavce"/>
        <w:ind w:firstLine="0"/>
        <w:jc w:val="right"/>
      </w:pPr>
      <w:r>
        <w:tab/>
        <w:t>Graf 14: Vývoj personálních nákladů</w:t>
      </w:r>
    </w:p>
    <w:p w14:paraId="67D8A570" w14:textId="77777777" w:rsidR="00260CCE" w:rsidRDefault="00260CCE" w:rsidP="0091220C">
      <w:pPr>
        <w:pStyle w:val="Dalodstavce"/>
        <w:ind w:firstLine="0"/>
      </w:pPr>
    </w:p>
    <w:p w14:paraId="0119E508" w14:textId="603952B5" w:rsidR="00722C15" w:rsidRDefault="00722C15" w:rsidP="00722C15">
      <w:pPr>
        <w:pStyle w:val="Nadpis2"/>
        <w:numPr>
          <w:ilvl w:val="1"/>
          <w:numId w:val="27"/>
        </w:numPr>
      </w:pPr>
      <w:bookmarkStart w:id="22" w:name="_Toc134175270"/>
      <w:r>
        <w:t>Zadluženost</w:t>
      </w:r>
      <w:bookmarkEnd w:id="22"/>
      <w:r>
        <w:t xml:space="preserve"> </w:t>
      </w:r>
    </w:p>
    <w:p w14:paraId="5EF823EE" w14:textId="0B9C955B" w:rsidR="00C36467" w:rsidRDefault="00260CCE" w:rsidP="0091220C">
      <w:pPr>
        <w:pStyle w:val="Dalodstavce"/>
        <w:ind w:firstLine="0"/>
      </w:pPr>
      <w:r>
        <w:t xml:space="preserve">Dalším podstatným poměrovým ukazatelem, který musí firma sledovat je </w:t>
      </w:r>
      <w:r w:rsidR="00A02ED6">
        <w:rPr>
          <w:b/>
          <w:bCs/>
        </w:rPr>
        <w:t>zadluženost</w:t>
      </w:r>
      <w:r w:rsidR="00A02ED6">
        <w:t xml:space="preserve">. </w:t>
      </w:r>
      <w:r w:rsidR="001124E0">
        <w:t xml:space="preserve">Zadluženost nám dává obecnou informaci o tom, do jaké míry je </w:t>
      </w:r>
      <w:r w:rsidR="003B3105">
        <w:t xml:space="preserve">firma financována cizími zdroji. </w:t>
      </w:r>
      <w:r w:rsidR="001C1573">
        <w:t xml:space="preserve">Vyšší zadluženost však není automaticky indikátorem </w:t>
      </w:r>
      <w:r w:rsidR="001B0C5E">
        <w:t xml:space="preserve">špatného hospodaření podniku, protože </w:t>
      </w:r>
      <w:r w:rsidR="009C07F7">
        <w:t>právě při vyšší zadluženosti se zvyšuje rentabilita firmy</w:t>
      </w:r>
      <w:r w:rsidR="00FE7DD6">
        <w:t xml:space="preserve">. </w:t>
      </w:r>
      <w:r w:rsidR="00D8375C">
        <w:t xml:space="preserve">Na druhou stranu však s sebou vyšší zadluženost nese vyšší riziko pro věřitele, pro které </w:t>
      </w:r>
      <w:r w:rsidR="001E5D77">
        <w:t xml:space="preserve">se následně snižuje atraktivita firmy. </w:t>
      </w:r>
      <w:r w:rsidR="00F728F0">
        <w:t xml:space="preserve">V tabulce 15 jsou zobrazeny základní ukazatele týkající se zadluženosti firmy. </w:t>
      </w:r>
    </w:p>
    <w:p w14:paraId="3E953E1E" w14:textId="442E92C4" w:rsidR="00260CCE" w:rsidRDefault="00EA0AF0" w:rsidP="006E60DD">
      <w:pPr>
        <w:pStyle w:val="Dalodstavce"/>
        <w:ind w:firstLine="0"/>
        <w:jc w:val="right"/>
      </w:pPr>
      <w:r w:rsidRPr="00EA0AF0">
        <w:rPr>
          <w:noProof/>
        </w:rPr>
        <w:lastRenderedPageBreak/>
        <w:drawing>
          <wp:anchor distT="0" distB="0" distL="114300" distR="114300" simplePos="0" relativeHeight="251658258" behindDoc="1" locked="0" layoutInCell="1" allowOverlap="1" wp14:anchorId="49C13F25" wp14:editId="79553C34">
            <wp:simplePos x="0" y="0"/>
            <wp:positionH relativeFrom="column">
              <wp:posOffset>-710565</wp:posOffset>
            </wp:positionH>
            <wp:positionV relativeFrom="paragraph">
              <wp:posOffset>0</wp:posOffset>
            </wp:positionV>
            <wp:extent cx="5938520" cy="1210945"/>
            <wp:effectExtent l="0" t="0" r="5080" b="0"/>
            <wp:wrapTight wrapText="bothSides">
              <wp:wrapPolygon edited="0">
                <wp:start x="0" y="0"/>
                <wp:lineTo x="0" y="21294"/>
                <wp:lineTo x="21572" y="21294"/>
                <wp:lineTo x="21572"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38520" cy="1210945"/>
                    </a:xfrm>
                    <a:prstGeom prst="rect">
                      <a:avLst/>
                    </a:prstGeom>
                  </pic:spPr>
                </pic:pic>
              </a:graphicData>
            </a:graphic>
            <wp14:sizeRelH relativeFrom="margin">
              <wp14:pctWidth>0</wp14:pctWidth>
            </wp14:sizeRelH>
            <wp14:sizeRelV relativeFrom="margin">
              <wp14:pctHeight>0</wp14:pctHeight>
            </wp14:sizeRelV>
          </wp:anchor>
        </w:drawing>
      </w:r>
      <w:r w:rsidR="007D30C4">
        <w:t xml:space="preserve">Tab. </w:t>
      </w:r>
      <w:r w:rsidR="007E0B8D">
        <w:t>15: Vývoj zadluženosti</w:t>
      </w:r>
    </w:p>
    <w:p w14:paraId="712AC834" w14:textId="77777777" w:rsidR="001A0240" w:rsidRDefault="001A0240" w:rsidP="00C870B0">
      <w:pPr>
        <w:pStyle w:val="Dalodstavce"/>
        <w:ind w:firstLine="0"/>
      </w:pPr>
    </w:p>
    <w:p w14:paraId="60C69C6A" w14:textId="37482A66" w:rsidR="001A0240" w:rsidRDefault="0076374D" w:rsidP="00C870B0">
      <w:pPr>
        <w:pStyle w:val="Dalodstavce"/>
        <w:ind w:firstLine="0"/>
      </w:pPr>
      <w:r>
        <w:t>Míra celkové zadluženosti nám dává</w:t>
      </w:r>
      <w:r w:rsidR="003A7CEA">
        <w:t xml:space="preserve"> představu o tom, do jakého rizika je společnost</w:t>
      </w:r>
      <w:r w:rsidR="00DA7CF5">
        <w:t xml:space="preserve"> ochotná jít a jaký je její přístup k využívání cizích zdrojů. Z tabulky je patrné, že </w:t>
      </w:r>
      <w:r w:rsidR="00341FAA">
        <w:t xml:space="preserve">společnost v roce 2019 podstatně vystoupila ze svého konzervativního přístupu k využívání cizích zdrojů a využila úvěrů k výstavbě nových výrobních prostor. </w:t>
      </w:r>
      <w:r w:rsidR="00737995">
        <w:t xml:space="preserve">I tak </w:t>
      </w:r>
      <w:r w:rsidR="00775C43">
        <w:t xml:space="preserve">je 45% procentní zadlužení velmi dobrým výsledkem a je patrné, že i díky svému </w:t>
      </w:r>
      <w:r w:rsidR="00F75EB7">
        <w:t xml:space="preserve">konzervativnějšímu přístupu společnost ustála dobu covidové krize. </w:t>
      </w:r>
      <w:r w:rsidR="00FA37B8">
        <w:t xml:space="preserve">Co se týče míry zadluženosti vlastního kapitálu, zde došlo k podstatně vyššímu nárůstu </w:t>
      </w:r>
      <w:r w:rsidR="00494939">
        <w:t>kvůli velkému náhlému čerpání cizích zdrojů a velmi malého navýšení vlastního kapitálu</w:t>
      </w:r>
      <w:r w:rsidR="00773E9C">
        <w:t xml:space="preserve"> o necelé 4 miliony korun. I zde se však </w:t>
      </w:r>
      <w:r w:rsidR="00272DAB">
        <w:t xml:space="preserve">hodnota drží pod symbolickou 1, tedy vlastní kapitál stále převyšuje cizí zdroje a společnost je schopna své závazky </w:t>
      </w:r>
      <w:r w:rsidR="00D649F4">
        <w:t xml:space="preserve">krýt. </w:t>
      </w:r>
      <w:r w:rsidR="00904AEF">
        <w:t xml:space="preserve">I přes velmi negativní období covidové krize však byla společnost velmi úspěšná ve splácení svých </w:t>
      </w:r>
      <w:r w:rsidR="00C870B0">
        <w:t>závazků,</w:t>
      </w:r>
      <w:r w:rsidR="00904AEF">
        <w:t xml:space="preserve"> a to i přes klesající tržby, s tím spojenou klesající rentabilitu a další. </w:t>
      </w:r>
      <w:r w:rsidR="00997418">
        <w:t xml:space="preserve">Posledním ukazatelem je úrokové krytí, které nám dává informaci o tom, </w:t>
      </w:r>
      <w:r w:rsidR="000C35FC">
        <w:t xml:space="preserve">kolikrát jsou úroky z poskytnutých úvěrů kryty </w:t>
      </w:r>
      <w:r w:rsidR="00447A56">
        <w:t xml:space="preserve">výsledkem hospodaření firmy </w:t>
      </w:r>
      <w:r w:rsidR="008E5DEE">
        <w:t xml:space="preserve">v daném účetním roce. </w:t>
      </w:r>
      <w:r w:rsidR="007A31A2">
        <w:t xml:space="preserve">Z tohoto ukazatele je zcela patrné, že </w:t>
      </w:r>
      <w:r w:rsidR="009D290A">
        <w:t xml:space="preserve">společnost v roce 2017 neměla téměř žádné nákladové úroky a dosahovala obrovských zisků. V roce </w:t>
      </w:r>
      <w:r w:rsidR="003B5577">
        <w:t>2019–2021</w:t>
      </w:r>
      <w:r w:rsidR="000E1E9A">
        <w:t xml:space="preserve"> však </w:t>
      </w:r>
      <w:r w:rsidR="003B5577">
        <w:t xml:space="preserve">společnost kvůli velkému úvěru a </w:t>
      </w:r>
      <w:r w:rsidR="00AA3EB5">
        <w:t>obrovskému poklesu zisku dosáhla kritických výsledků, kdy v roce 2020</w:t>
      </w:r>
      <w:r w:rsidR="00B12B28">
        <w:t xml:space="preserve"> byl zisk pouze 1,5x větší než úroky firmy. </w:t>
      </w:r>
      <w:r w:rsidR="00E317D6">
        <w:t xml:space="preserve">I tak se však ani v tomto roce společnost nedostala do problémů a </w:t>
      </w:r>
      <w:r w:rsidR="00F5210D">
        <w:t xml:space="preserve">byla svým ziskem stále schopna úroky krýt. </w:t>
      </w:r>
      <w:r w:rsidR="00AC00FD">
        <w:t xml:space="preserve">Tento vývoj je taktéž znázorněn v grafu 15 na následující stránce. </w:t>
      </w:r>
    </w:p>
    <w:p w14:paraId="6E0B6C16" w14:textId="77777777" w:rsidR="006E60DD" w:rsidRDefault="006E60DD" w:rsidP="006E60DD">
      <w:pPr>
        <w:pStyle w:val="Dalodstavce"/>
        <w:ind w:firstLine="0"/>
      </w:pPr>
    </w:p>
    <w:p w14:paraId="41DDE2E2" w14:textId="77777777" w:rsidR="00E777AF" w:rsidRDefault="00E777AF" w:rsidP="006E60DD">
      <w:pPr>
        <w:pStyle w:val="Dalodstavce"/>
        <w:ind w:firstLine="0"/>
      </w:pPr>
    </w:p>
    <w:p w14:paraId="5C6DFD9E" w14:textId="77777777" w:rsidR="00E777AF" w:rsidRDefault="00E777AF" w:rsidP="006E60DD">
      <w:pPr>
        <w:pStyle w:val="Dalodstavce"/>
        <w:ind w:firstLine="0"/>
      </w:pPr>
    </w:p>
    <w:p w14:paraId="1576DF90" w14:textId="77777777" w:rsidR="00E777AF" w:rsidRDefault="00E777AF" w:rsidP="006E60DD">
      <w:pPr>
        <w:pStyle w:val="Dalodstavce"/>
        <w:ind w:firstLine="0"/>
      </w:pPr>
    </w:p>
    <w:p w14:paraId="00D1C8DA" w14:textId="7DA8DB47" w:rsidR="00E777AF" w:rsidRDefault="00766D93" w:rsidP="006E60DD">
      <w:pPr>
        <w:pStyle w:val="Dalodstavce"/>
        <w:ind w:firstLine="0"/>
      </w:pPr>
      <w:r>
        <w:rPr>
          <w:noProof/>
        </w:rPr>
        <w:lastRenderedPageBreak/>
        <w:drawing>
          <wp:inline distT="0" distB="0" distL="0" distR="0" wp14:anchorId="51F11D0A" wp14:editId="33186F3D">
            <wp:extent cx="4677410" cy="271970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77410" cy="2719705"/>
                    </a:xfrm>
                    <a:prstGeom prst="rect">
                      <a:avLst/>
                    </a:prstGeom>
                  </pic:spPr>
                </pic:pic>
              </a:graphicData>
            </a:graphic>
          </wp:inline>
        </w:drawing>
      </w:r>
    </w:p>
    <w:p w14:paraId="72B9341D" w14:textId="4AC6A5AB" w:rsidR="00260CCE" w:rsidRDefault="00AC00FD" w:rsidP="00AC00FD">
      <w:pPr>
        <w:pStyle w:val="Dalodstavce"/>
        <w:ind w:firstLine="0"/>
        <w:jc w:val="right"/>
      </w:pPr>
      <w:r>
        <w:t xml:space="preserve">Graf 15: Vývoj zadluženosti </w:t>
      </w:r>
    </w:p>
    <w:p w14:paraId="2B05D6BA" w14:textId="77777777" w:rsidR="00260CCE" w:rsidRDefault="00260CCE" w:rsidP="0091220C">
      <w:pPr>
        <w:pStyle w:val="Dalodstavce"/>
        <w:ind w:firstLine="0"/>
      </w:pPr>
    </w:p>
    <w:p w14:paraId="5868F01C" w14:textId="6DF5EA80" w:rsidR="007003E0" w:rsidRDefault="007003E0" w:rsidP="007003E0">
      <w:pPr>
        <w:pStyle w:val="Nadpis2"/>
        <w:numPr>
          <w:ilvl w:val="1"/>
          <w:numId w:val="27"/>
        </w:numPr>
      </w:pPr>
      <w:bookmarkStart w:id="23" w:name="_Toc134175271"/>
      <w:r>
        <w:t>Likvidita</w:t>
      </w:r>
      <w:bookmarkEnd w:id="23"/>
      <w:r>
        <w:t xml:space="preserve"> </w:t>
      </w:r>
    </w:p>
    <w:p w14:paraId="6F0249BB" w14:textId="5EE18CC2" w:rsidR="00FE7373" w:rsidRDefault="00AA2079" w:rsidP="0091220C">
      <w:pPr>
        <w:pStyle w:val="Dalodstavce"/>
        <w:ind w:firstLine="0"/>
      </w:pPr>
      <w:r>
        <w:t xml:space="preserve">Posledním </w:t>
      </w:r>
      <w:r w:rsidR="000320B3">
        <w:t xml:space="preserve">poměrovým ukazatelem, který rozebereme je </w:t>
      </w:r>
      <w:r w:rsidR="000320B3" w:rsidRPr="000320B3">
        <w:rPr>
          <w:b/>
          <w:bCs/>
        </w:rPr>
        <w:t>likvidita</w:t>
      </w:r>
      <w:r w:rsidR="000320B3">
        <w:t xml:space="preserve">. </w:t>
      </w:r>
      <w:r w:rsidR="00C90341">
        <w:t xml:space="preserve">Likvidita nám dává informaci o tom, </w:t>
      </w:r>
      <w:r w:rsidR="00A1675A">
        <w:t xml:space="preserve">do jaké míry je firma schopna splácet své krátkodobé závazky </w:t>
      </w:r>
      <w:r w:rsidR="008937D8">
        <w:rPr>
          <w:rStyle w:val="Znakapoznpodarou"/>
        </w:rPr>
        <w:footnoteReference w:id="14"/>
      </w:r>
      <w:r w:rsidR="00C05F2A">
        <w:t>.</w:t>
      </w:r>
      <w:r w:rsidR="004273F6">
        <w:t xml:space="preserve"> Běžná likvidita je </w:t>
      </w:r>
      <w:r w:rsidR="00AF4571">
        <w:t xml:space="preserve">tzv. ukazatelem solventnosti, </w:t>
      </w:r>
      <w:r w:rsidR="00480B76">
        <w:t>Ideálně by se měla pohybovat v rozmezí 1,8 – 2,5.</w:t>
      </w:r>
      <w:r w:rsidR="00B12EB5">
        <w:t xml:space="preserve"> Likvidita společnosti je však mnohonásobně </w:t>
      </w:r>
      <w:r w:rsidR="006C1D14">
        <w:t>vyšší,</w:t>
      </w:r>
      <w:r w:rsidR="00B12EB5">
        <w:t xml:space="preserve"> a </w:t>
      </w:r>
      <w:r w:rsidR="00D7606D">
        <w:t xml:space="preserve">to zejména kvůli tomu, že společnost drží poměrně </w:t>
      </w:r>
      <w:r w:rsidR="00B20160">
        <w:t xml:space="preserve">vysoké peněžní prostředky. </w:t>
      </w:r>
      <w:r w:rsidR="001D6310">
        <w:t xml:space="preserve">Pohotová likvidita se </w:t>
      </w:r>
      <w:r w:rsidR="0086652B">
        <w:t>od bežné likvidity liší tím, že od</w:t>
      </w:r>
      <w:r w:rsidR="00104C84">
        <w:t xml:space="preserve"> oběžných aktiv odečteme zásoby. </w:t>
      </w:r>
      <w:r w:rsidR="00C35A52">
        <w:t>Jelikož jsou oba ukazatele téměř totožné, je zcela patrné, že společnost nedrží velké množství zásob</w:t>
      </w:r>
      <w:r w:rsidR="00CA5226">
        <w:t xml:space="preserve">. </w:t>
      </w:r>
      <w:r w:rsidR="00624648">
        <w:t xml:space="preserve">Doporučená okamžitá likvidita se pohybuje v rozmezí 0,2 – 0,5. </w:t>
      </w:r>
      <w:r w:rsidR="00075B6E">
        <w:t>I zde je tedy velmi p</w:t>
      </w:r>
      <w:r w:rsidR="0076073E">
        <w:t>a</w:t>
      </w:r>
      <w:r w:rsidR="00075B6E">
        <w:t xml:space="preserve">trné, že společnost je podstatně likvidnější, než je potřeba. </w:t>
      </w:r>
      <w:r w:rsidR="009567AA">
        <w:t xml:space="preserve">Nejvyšší likviditu vidíme v roce 2019 napříč všemi </w:t>
      </w:r>
      <w:r w:rsidR="00CA3B96">
        <w:t>ukazateli</w:t>
      </w:r>
      <w:r w:rsidR="00DF3DED">
        <w:t xml:space="preserve">. To je způsobeno tím, že společnost potřebovala významně navýšit </w:t>
      </w:r>
      <w:r w:rsidR="00941D12">
        <w:t xml:space="preserve">své likvidní prostředky kvůli stavbě nové budovy. Jednotlivé hodnoty jsou zobrazeny v tabulce </w:t>
      </w:r>
      <w:r w:rsidR="005E1E0A">
        <w:t>16 a jejich vývoj v grafu 16</w:t>
      </w:r>
      <w:r w:rsidR="00FE7373">
        <w:t xml:space="preserve">, které se nachází na následující straně. </w:t>
      </w:r>
    </w:p>
    <w:p w14:paraId="6FF19BDA" w14:textId="7BFEC2B4" w:rsidR="00FE7373" w:rsidRDefault="00B30B3E" w:rsidP="009526EE">
      <w:pPr>
        <w:pStyle w:val="Dalodstavce"/>
        <w:ind w:firstLine="0"/>
        <w:jc w:val="right"/>
      </w:pPr>
      <w:r w:rsidRPr="00B30B3E">
        <w:rPr>
          <w:noProof/>
        </w:rPr>
        <w:lastRenderedPageBreak/>
        <w:drawing>
          <wp:anchor distT="0" distB="0" distL="114300" distR="114300" simplePos="0" relativeHeight="251658259" behindDoc="1" locked="0" layoutInCell="1" allowOverlap="1" wp14:anchorId="778080C7" wp14:editId="3A469082">
            <wp:simplePos x="0" y="0"/>
            <wp:positionH relativeFrom="column">
              <wp:posOffset>-958215</wp:posOffset>
            </wp:positionH>
            <wp:positionV relativeFrom="paragraph">
              <wp:posOffset>0</wp:posOffset>
            </wp:positionV>
            <wp:extent cx="6423025" cy="1309370"/>
            <wp:effectExtent l="0" t="0" r="3175" b="0"/>
            <wp:wrapTight wrapText="bothSides">
              <wp:wrapPolygon edited="0">
                <wp:start x="0" y="0"/>
                <wp:lineTo x="0" y="21370"/>
                <wp:lineTo x="21568" y="21370"/>
                <wp:lineTo x="21568"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423025" cy="1309370"/>
                    </a:xfrm>
                    <a:prstGeom prst="rect">
                      <a:avLst/>
                    </a:prstGeom>
                  </pic:spPr>
                </pic:pic>
              </a:graphicData>
            </a:graphic>
            <wp14:sizeRelH relativeFrom="margin">
              <wp14:pctWidth>0</wp14:pctWidth>
            </wp14:sizeRelH>
            <wp14:sizeRelV relativeFrom="margin">
              <wp14:pctHeight>0</wp14:pctHeight>
            </wp14:sizeRelV>
          </wp:anchor>
        </w:drawing>
      </w:r>
      <w:r w:rsidR="009526EE">
        <w:t xml:space="preserve">Tabulka 16: </w:t>
      </w:r>
      <w:r w:rsidR="00A61C0B">
        <w:t xml:space="preserve">Vývoj likvidity </w:t>
      </w:r>
    </w:p>
    <w:p w14:paraId="24580898" w14:textId="77777777" w:rsidR="00A61C0B" w:rsidRDefault="00A61C0B" w:rsidP="009526EE">
      <w:pPr>
        <w:pStyle w:val="Dalodstavce"/>
        <w:ind w:firstLine="0"/>
        <w:jc w:val="right"/>
      </w:pPr>
    </w:p>
    <w:p w14:paraId="59847652" w14:textId="03EAD838" w:rsidR="00A61C0B" w:rsidRDefault="00D7353F" w:rsidP="009526EE">
      <w:pPr>
        <w:pStyle w:val="Dalodstavce"/>
        <w:ind w:firstLine="0"/>
        <w:jc w:val="right"/>
      </w:pPr>
      <w:r>
        <w:rPr>
          <w:noProof/>
        </w:rPr>
        <w:drawing>
          <wp:inline distT="0" distB="0" distL="0" distR="0" wp14:anchorId="637596A3" wp14:editId="2BEF8A5A">
            <wp:extent cx="4944159" cy="2323070"/>
            <wp:effectExtent l="0" t="0" r="0" b="127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47654" cy="2324712"/>
                    </a:xfrm>
                    <a:prstGeom prst="rect">
                      <a:avLst/>
                    </a:prstGeom>
                  </pic:spPr>
                </pic:pic>
              </a:graphicData>
            </a:graphic>
          </wp:inline>
        </w:drawing>
      </w:r>
    </w:p>
    <w:p w14:paraId="226D42F2" w14:textId="22FF00F5" w:rsidR="00717652" w:rsidRDefault="00717652" w:rsidP="009526EE">
      <w:pPr>
        <w:pStyle w:val="Dalodstavce"/>
        <w:ind w:firstLine="0"/>
        <w:jc w:val="right"/>
      </w:pPr>
      <w:r>
        <w:t>Graf 16: Vývoj likvidity</w:t>
      </w:r>
    </w:p>
    <w:p w14:paraId="70C8C2BC" w14:textId="77777777" w:rsidR="00FE7373" w:rsidRDefault="00FE7373" w:rsidP="0091220C">
      <w:pPr>
        <w:pStyle w:val="Dalodstavce"/>
        <w:ind w:firstLine="0"/>
      </w:pPr>
    </w:p>
    <w:p w14:paraId="5F9F4DFE" w14:textId="77777777" w:rsidR="00FE7373" w:rsidRDefault="00FE7373" w:rsidP="0091220C">
      <w:pPr>
        <w:pStyle w:val="Dalodstavce"/>
        <w:ind w:firstLine="0"/>
      </w:pPr>
    </w:p>
    <w:p w14:paraId="0CD6BC73" w14:textId="77777777" w:rsidR="00FE7373" w:rsidRDefault="00FE7373" w:rsidP="0091220C">
      <w:pPr>
        <w:pStyle w:val="Dalodstavce"/>
        <w:ind w:firstLine="0"/>
      </w:pPr>
    </w:p>
    <w:p w14:paraId="6E137414" w14:textId="77777777" w:rsidR="00FE7373" w:rsidRDefault="00FE7373" w:rsidP="0091220C">
      <w:pPr>
        <w:pStyle w:val="Dalodstavce"/>
        <w:ind w:firstLine="0"/>
      </w:pPr>
    </w:p>
    <w:p w14:paraId="63A842EF" w14:textId="77777777" w:rsidR="00FE7373" w:rsidRDefault="00FE7373" w:rsidP="0091220C">
      <w:pPr>
        <w:pStyle w:val="Dalodstavce"/>
        <w:ind w:firstLine="0"/>
      </w:pPr>
    </w:p>
    <w:p w14:paraId="6DA401E5" w14:textId="77777777" w:rsidR="00FE7373" w:rsidRDefault="00FE7373" w:rsidP="0091220C">
      <w:pPr>
        <w:pStyle w:val="Dalodstavce"/>
        <w:ind w:firstLine="0"/>
      </w:pPr>
    </w:p>
    <w:p w14:paraId="6D0FFF6B" w14:textId="77777777" w:rsidR="00FE7373" w:rsidRDefault="00FE7373" w:rsidP="0091220C">
      <w:pPr>
        <w:pStyle w:val="Dalodstavce"/>
        <w:ind w:firstLine="0"/>
      </w:pPr>
    </w:p>
    <w:p w14:paraId="571C8A28" w14:textId="77777777" w:rsidR="00FE7373" w:rsidRDefault="00FE7373" w:rsidP="0091220C">
      <w:pPr>
        <w:pStyle w:val="Dalodstavce"/>
        <w:ind w:firstLine="0"/>
      </w:pPr>
    </w:p>
    <w:p w14:paraId="427A984C" w14:textId="77777777" w:rsidR="00FE7373" w:rsidRDefault="00FE7373" w:rsidP="0091220C">
      <w:pPr>
        <w:pStyle w:val="Dalodstavce"/>
        <w:ind w:firstLine="0"/>
      </w:pPr>
    </w:p>
    <w:p w14:paraId="04F9CD4E" w14:textId="77777777" w:rsidR="00FE7373" w:rsidRDefault="00FE7373" w:rsidP="0091220C">
      <w:pPr>
        <w:pStyle w:val="Dalodstavce"/>
        <w:ind w:firstLine="0"/>
      </w:pPr>
    </w:p>
    <w:p w14:paraId="75CEEA80" w14:textId="247E1C7D" w:rsidR="00FE7373" w:rsidRDefault="00396D5F" w:rsidP="00722C15">
      <w:pPr>
        <w:pStyle w:val="Nadpis2"/>
        <w:numPr>
          <w:ilvl w:val="1"/>
          <w:numId w:val="27"/>
        </w:numPr>
      </w:pPr>
      <w:bookmarkStart w:id="24" w:name="_Toc134175272"/>
      <w:r>
        <w:lastRenderedPageBreak/>
        <w:t>SWOT matice vycházející z analýzy poměrových ukazatelů</w:t>
      </w:r>
      <w:bookmarkEnd w:id="24"/>
    </w:p>
    <w:p w14:paraId="7EBD247A" w14:textId="77777777" w:rsidR="00FE7373" w:rsidRDefault="00FE7373" w:rsidP="0091220C">
      <w:pPr>
        <w:pStyle w:val="Dalodstavce"/>
        <w:ind w:firstLine="0"/>
      </w:pPr>
    </w:p>
    <w:tbl>
      <w:tblPr>
        <w:tblStyle w:val="Mkatabulky"/>
        <w:tblW w:w="9613" w:type="dxa"/>
        <w:jc w:val="left"/>
        <w:tblInd w:w="-1140" w:type="dxa"/>
        <w:tblLook w:val="04A0" w:firstRow="1" w:lastRow="0" w:firstColumn="1" w:lastColumn="0" w:noHBand="0" w:noVBand="1"/>
      </w:tblPr>
      <w:tblGrid>
        <w:gridCol w:w="600"/>
        <w:gridCol w:w="4506"/>
        <w:gridCol w:w="4507"/>
      </w:tblGrid>
      <w:tr w:rsidR="00325491" w:rsidRPr="0077144C" w14:paraId="246D3232" w14:textId="77777777">
        <w:trPr>
          <w:cnfStyle w:val="100000000000" w:firstRow="1" w:lastRow="0" w:firstColumn="0" w:lastColumn="0" w:oddVBand="0" w:evenVBand="0" w:oddHBand="0" w:evenHBand="0" w:firstRowFirstColumn="0" w:firstRowLastColumn="0" w:lastRowFirstColumn="0" w:lastRowLastColumn="0"/>
          <w:trHeight w:val="534"/>
          <w:jc w:val="left"/>
        </w:trPr>
        <w:tc>
          <w:tcPr>
            <w:tcW w:w="600" w:type="dxa"/>
            <w:shd w:val="clear" w:color="auto" w:fill="D9E2F3" w:themeFill="accent5" w:themeFillTint="33"/>
          </w:tcPr>
          <w:p w14:paraId="07062A87" w14:textId="77777777" w:rsidR="00325491" w:rsidRPr="0077144C" w:rsidRDefault="00325491">
            <w:pPr>
              <w:pStyle w:val="Dalodstavce"/>
              <w:spacing w:before="0" w:after="0"/>
              <w:rPr>
                <w:rFonts w:asciiTheme="minorHAnsi" w:hAnsiTheme="minorHAnsi"/>
              </w:rPr>
            </w:pPr>
          </w:p>
        </w:tc>
        <w:tc>
          <w:tcPr>
            <w:tcW w:w="4506" w:type="dxa"/>
            <w:shd w:val="clear" w:color="auto" w:fill="D9E2F3" w:themeFill="accent5" w:themeFillTint="33"/>
          </w:tcPr>
          <w:p w14:paraId="129A3A30" w14:textId="77777777" w:rsidR="00325491" w:rsidRPr="0077144C" w:rsidRDefault="00325491">
            <w:pPr>
              <w:pStyle w:val="Dalodstavce"/>
              <w:spacing w:before="0" w:after="0"/>
              <w:ind w:firstLine="0"/>
              <w:jc w:val="center"/>
              <w:rPr>
                <w:rFonts w:asciiTheme="minorHAnsi" w:hAnsiTheme="minorHAnsi"/>
              </w:rPr>
            </w:pPr>
            <w:r w:rsidRPr="0077144C">
              <w:rPr>
                <w:rFonts w:asciiTheme="minorHAnsi" w:hAnsiTheme="minorHAnsi"/>
              </w:rPr>
              <w:t>POMOCNÉ</w:t>
            </w:r>
          </w:p>
        </w:tc>
        <w:tc>
          <w:tcPr>
            <w:tcW w:w="4507" w:type="dxa"/>
            <w:shd w:val="clear" w:color="auto" w:fill="D9E2F3" w:themeFill="accent5" w:themeFillTint="33"/>
          </w:tcPr>
          <w:p w14:paraId="41B6FF4E" w14:textId="77777777" w:rsidR="00325491" w:rsidRPr="0077144C" w:rsidRDefault="00325491">
            <w:pPr>
              <w:pStyle w:val="Dalodstavce"/>
              <w:spacing w:before="0" w:after="0"/>
              <w:ind w:firstLine="0"/>
              <w:jc w:val="center"/>
              <w:rPr>
                <w:rFonts w:asciiTheme="minorHAnsi" w:hAnsiTheme="minorHAnsi"/>
              </w:rPr>
            </w:pPr>
            <w:r w:rsidRPr="0077144C">
              <w:rPr>
                <w:rFonts w:asciiTheme="minorHAnsi" w:hAnsiTheme="minorHAnsi"/>
              </w:rPr>
              <w:t>ŠKODLIVÉ</w:t>
            </w:r>
          </w:p>
        </w:tc>
      </w:tr>
      <w:tr w:rsidR="00325491" w:rsidRPr="0077144C" w14:paraId="7BC216E3" w14:textId="77777777">
        <w:trPr>
          <w:cantSplit/>
          <w:trHeight w:val="2955"/>
          <w:jc w:val="left"/>
        </w:trPr>
        <w:tc>
          <w:tcPr>
            <w:tcW w:w="600" w:type="dxa"/>
            <w:shd w:val="clear" w:color="auto" w:fill="D9E2F3" w:themeFill="accent5" w:themeFillTint="33"/>
            <w:textDirection w:val="btLr"/>
          </w:tcPr>
          <w:p w14:paraId="0C2B805C" w14:textId="77777777" w:rsidR="00325491" w:rsidRPr="0077144C" w:rsidRDefault="00325491">
            <w:pPr>
              <w:pStyle w:val="Dalodstavce"/>
              <w:spacing w:before="0" w:after="0"/>
              <w:ind w:left="113" w:right="113" w:firstLine="0"/>
              <w:jc w:val="center"/>
              <w:rPr>
                <w:rFonts w:asciiTheme="minorHAnsi" w:hAnsiTheme="minorHAnsi"/>
              </w:rPr>
            </w:pPr>
            <w:r w:rsidRPr="0077144C">
              <w:rPr>
                <w:rFonts w:asciiTheme="minorHAnsi" w:hAnsiTheme="minorHAnsi"/>
              </w:rPr>
              <w:t>VNITŘNÍ PROSTŘEDÍ</w:t>
            </w:r>
          </w:p>
        </w:tc>
        <w:tc>
          <w:tcPr>
            <w:tcW w:w="4506" w:type="dxa"/>
            <w:vAlign w:val="top"/>
          </w:tcPr>
          <w:p w14:paraId="7BE7F4E1"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SILNÉ STRÁNKY (S)</w:t>
            </w:r>
          </w:p>
          <w:p w14:paraId="4B452C58" w14:textId="77777777" w:rsidR="007038D6" w:rsidRDefault="007038D6" w:rsidP="00325491">
            <w:pPr>
              <w:pStyle w:val="Dalodstavce"/>
              <w:numPr>
                <w:ilvl w:val="0"/>
                <w:numId w:val="21"/>
              </w:numPr>
              <w:spacing w:before="0" w:after="0"/>
              <w:ind w:left="643"/>
              <w:jc w:val="left"/>
              <w:rPr>
                <w:rFonts w:asciiTheme="minorHAnsi" w:hAnsiTheme="minorHAnsi"/>
              </w:rPr>
            </w:pPr>
            <w:r>
              <w:rPr>
                <w:rFonts w:asciiTheme="minorHAnsi" w:hAnsiTheme="minorHAnsi"/>
              </w:rPr>
              <w:t xml:space="preserve"> </w:t>
            </w:r>
            <w:r w:rsidR="0082117B">
              <w:rPr>
                <w:rFonts w:asciiTheme="minorHAnsi" w:hAnsiTheme="minorHAnsi"/>
              </w:rPr>
              <w:t>Vysoké hodnoty rentabilit v letech 2017 a 2018</w:t>
            </w:r>
          </w:p>
          <w:p w14:paraId="7E90D3E9" w14:textId="77777777" w:rsidR="0082117B" w:rsidRDefault="0082117B" w:rsidP="00325491">
            <w:pPr>
              <w:pStyle w:val="Dalodstavce"/>
              <w:numPr>
                <w:ilvl w:val="0"/>
                <w:numId w:val="21"/>
              </w:numPr>
              <w:spacing w:before="0" w:after="0"/>
              <w:ind w:left="643"/>
              <w:jc w:val="left"/>
              <w:rPr>
                <w:rFonts w:asciiTheme="minorHAnsi" w:hAnsiTheme="minorHAnsi"/>
              </w:rPr>
            </w:pPr>
            <w:r>
              <w:rPr>
                <w:rFonts w:asciiTheme="minorHAnsi" w:hAnsiTheme="minorHAnsi"/>
              </w:rPr>
              <w:t>Propad hodnot rentabilit v roce 2019 a 2020</w:t>
            </w:r>
          </w:p>
          <w:p w14:paraId="5439A8EC" w14:textId="77777777" w:rsidR="00325491" w:rsidRDefault="009322A1" w:rsidP="00325491">
            <w:pPr>
              <w:pStyle w:val="Dalodstavce"/>
              <w:numPr>
                <w:ilvl w:val="0"/>
                <w:numId w:val="21"/>
              </w:numPr>
              <w:spacing w:before="0" w:after="0"/>
              <w:ind w:left="643"/>
              <w:jc w:val="left"/>
              <w:rPr>
                <w:rFonts w:asciiTheme="minorHAnsi" w:hAnsiTheme="minorHAnsi"/>
              </w:rPr>
            </w:pPr>
            <w:r>
              <w:rPr>
                <w:rFonts w:asciiTheme="minorHAnsi" w:hAnsiTheme="minorHAnsi"/>
              </w:rPr>
              <w:t xml:space="preserve">Doba obratu závazků je dlouhodobě vyšší než doba obratu závazků </w:t>
            </w:r>
          </w:p>
          <w:p w14:paraId="0CAA4311" w14:textId="40E1F425" w:rsidR="004A0DB7" w:rsidRPr="0077144C" w:rsidRDefault="004A0DB7" w:rsidP="00325491">
            <w:pPr>
              <w:pStyle w:val="Dalodstavce"/>
              <w:numPr>
                <w:ilvl w:val="0"/>
                <w:numId w:val="21"/>
              </w:numPr>
              <w:spacing w:before="0" w:after="0"/>
              <w:ind w:left="643"/>
              <w:jc w:val="left"/>
              <w:rPr>
                <w:rFonts w:asciiTheme="minorHAnsi" w:hAnsiTheme="minorHAnsi"/>
              </w:rPr>
            </w:pPr>
            <w:r>
              <w:rPr>
                <w:rFonts w:asciiTheme="minorHAnsi" w:hAnsiTheme="minorHAnsi"/>
              </w:rPr>
              <w:t xml:space="preserve">Atraktivita firmy pro věřitele </w:t>
            </w:r>
          </w:p>
        </w:tc>
        <w:tc>
          <w:tcPr>
            <w:tcW w:w="4507" w:type="dxa"/>
            <w:vAlign w:val="top"/>
          </w:tcPr>
          <w:p w14:paraId="7ADBA93B"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SLABÉ STRÁNKY (W)</w:t>
            </w:r>
          </w:p>
          <w:p w14:paraId="7B3C50F6" w14:textId="77777777" w:rsidR="007038D6" w:rsidRDefault="00EB7168" w:rsidP="007038D6">
            <w:pPr>
              <w:pStyle w:val="Dalodstavce"/>
              <w:numPr>
                <w:ilvl w:val="0"/>
                <w:numId w:val="21"/>
              </w:numPr>
              <w:spacing w:before="0" w:after="0"/>
              <w:ind w:left="530"/>
              <w:jc w:val="left"/>
              <w:rPr>
                <w:rFonts w:asciiTheme="minorHAnsi" w:hAnsiTheme="minorHAnsi"/>
              </w:rPr>
            </w:pPr>
            <w:r>
              <w:rPr>
                <w:rFonts w:asciiTheme="minorHAnsi" w:hAnsiTheme="minorHAnsi"/>
              </w:rPr>
              <w:t>Velmi vysoký obrat zásob</w:t>
            </w:r>
          </w:p>
          <w:p w14:paraId="24900E7C" w14:textId="17A8D38B" w:rsidR="00977A09" w:rsidRDefault="00535088" w:rsidP="007038D6">
            <w:pPr>
              <w:pStyle w:val="Dalodstavce"/>
              <w:numPr>
                <w:ilvl w:val="0"/>
                <w:numId w:val="21"/>
              </w:numPr>
              <w:spacing w:before="0" w:after="0"/>
              <w:ind w:left="530"/>
              <w:jc w:val="left"/>
              <w:rPr>
                <w:rFonts w:asciiTheme="minorHAnsi" w:hAnsiTheme="minorHAnsi"/>
              </w:rPr>
            </w:pPr>
            <w:r>
              <w:rPr>
                <w:rFonts w:asciiTheme="minorHAnsi" w:hAnsiTheme="minorHAnsi"/>
              </w:rPr>
              <w:t xml:space="preserve">Pokles produktivity práce </w:t>
            </w:r>
            <w:r w:rsidR="00977A09">
              <w:rPr>
                <w:rFonts w:asciiTheme="minorHAnsi" w:hAnsiTheme="minorHAnsi"/>
              </w:rPr>
              <w:t xml:space="preserve">při růstu počtu zaměstnanců </w:t>
            </w:r>
          </w:p>
          <w:p w14:paraId="76EED7CF" w14:textId="1BFBC3B7" w:rsidR="007038D6" w:rsidRDefault="007038D6" w:rsidP="007038D6">
            <w:pPr>
              <w:pStyle w:val="Dalodstavce"/>
              <w:numPr>
                <w:ilvl w:val="0"/>
                <w:numId w:val="21"/>
              </w:numPr>
              <w:spacing w:before="0" w:after="0"/>
              <w:ind w:left="530"/>
              <w:jc w:val="left"/>
              <w:rPr>
                <w:rFonts w:asciiTheme="minorHAnsi" w:hAnsiTheme="minorHAnsi"/>
              </w:rPr>
            </w:pPr>
            <w:r w:rsidRPr="007038D6">
              <w:rPr>
                <w:rFonts w:asciiTheme="minorHAnsi" w:hAnsiTheme="minorHAnsi"/>
              </w:rPr>
              <w:t xml:space="preserve">Personální náročnost výroby </w:t>
            </w:r>
          </w:p>
          <w:p w14:paraId="0ACCBE84" w14:textId="77777777" w:rsidR="00325491" w:rsidRDefault="007038D6" w:rsidP="00325491">
            <w:pPr>
              <w:pStyle w:val="Dalodstavce"/>
              <w:numPr>
                <w:ilvl w:val="0"/>
                <w:numId w:val="21"/>
              </w:numPr>
              <w:spacing w:before="0" w:after="0"/>
              <w:ind w:left="530"/>
              <w:jc w:val="left"/>
              <w:rPr>
                <w:rFonts w:asciiTheme="minorHAnsi" w:hAnsiTheme="minorHAnsi"/>
              </w:rPr>
            </w:pPr>
            <w:r w:rsidRPr="007038D6">
              <w:rPr>
                <w:rFonts w:asciiTheme="minorHAnsi" w:hAnsiTheme="minorHAnsi"/>
              </w:rPr>
              <w:t>Vysoké personální náklady</w:t>
            </w:r>
          </w:p>
          <w:p w14:paraId="1ED319D8" w14:textId="77777777" w:rsidR="002533B1" w:rsidRDefault="002533B1" w:rsidP="00325491">
            <w:pPr>
              <w:pStyle w:val="Dalodstavce"/>
              <w:numPr>
                <w:ilvl w:val="0"/>
                <w:numId w:val="21"/>
              </w:numPr>
              <w:spacing w:before="0" w:after="0"/>
              <w:ind w:left="530"/>
              <w:jc w:val="left"/>
              <w:rPr>
                <w:rFonts w:asciiTheme="minorHAnsi" w:hAnsiTheme="minorHAnsi"/>
              </w:rPr>
            </w:pPr>
            <w:r>
              <w:rPr>
                <w:rFonts w:asciiTheme="minorHAnsi" w:hAnsiTheme="minorHAnsi"/>
              </w:rPr>
              <w:t xml:space="preserve">Nepřiměřeně vysoká likvidita </w:t>
            </w:r>
          </w:p>
          <w:p w14:paraId="6846B607" w14:textId="743966D2" w:rsidR="00C30890" w:rsidRPr="0077144C" w:rsidRDefault="00C30890" w:rsidP="00325491">
            <w:pPr>
              <w:pStyle w:val="Dalodstavce"/>
              <w:numPr>
                <w:ilvl w:val="0"/>
                <w:numId w:val="21"/>
              </w:numPr>
              <w:spacing w:before="0" w:after="0"/>
              <w:ind w:left="530"/>
              <w:jc w:val="left"/>
              <w:rPr>
                <w:rFonts w:asciiTheme="minorHAnsi" w:hAnsiTheme="minorHAnsi"/>
              </w:rPr>
            </w:pPr>
            <w:r>
              <w:rPr>
                <w:rFonts w:asciiTheme="minorHAnsi" w:hAnsiTheme="minorHAnsi"/>
              </w:rPr>
              <w:t>Velká úroková zátěž v porovnání s nízkými současnými zisky</w:t>
            </w:r>
          </w:p>
        </w:tc>
      </w:tr>
      <w:tr w:rsidR="00325491" w:rsidRPr="0077144C" w14:paraId="0BE5537D" w14:textId="77777777">
        <w:trPr>
          <w:cantSplit/>
          <w:trHeight w:val="2955"/>
          <w:jc w:val="left"/>
        </w:trPr>
        <w:tc>
          <w:tcPr>
            <w:tcW w:w="600" w:type="dxa"/>
            <w:shd w:val="clear" w:color="auto" w:fill="D9E2F3" w:themeFill="accent5" w:themeFillTint="33"/>
            <w:textDirection w:val="btLr"/>
          </w:tcPr>
          <w:p w14:paraId="5FF4F554" w14:textId="77777777" w:rsidR="00325491" w:rsidRPr="0077144C" w:rsidRDefault="00325491">
            <w:pPr>
              <w:pStyle w:val="Dalodstavce"/>
              <w:spacing w:before="0" w:after="0"/>
              <w:ind w:left="113" w:right="113" w:firstLine="0"/>
              <w:jc w:val="center"/>
              <w:rPr>
                <w:rFonts w:asciiTheme="minorHAnsi" w:hAnsiTheme="minorHAnsi"/>
              </w:rPr>
            </w:pPr>
            <w:r w:rsidRPr="0077144C">
              <w:rPr>
                <w:rFonts w:asciiTheme="minorHAnsi" w:hAnsiTheme="minorHAnsi"/>
              </w:rPr>
              <w:t>VNĚJŠÍ PROSTŘEDÍ</w:t>
            </w:r>
          </w:p>
        </w:tc>
        <w:tc>
          <w:tcPr>
            <w:tcW w:w="4506" w:type="dxa"/>
            <w:vAlign w:val="top"/>
          </w:tcPr>
          <w:p w14:paraId="537482E3"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PŘÍLEŽITOSTI (O)</w:t>
            </w:r>
          </w:p>
          <w:p w14:paraId="5B9B0931" w14:textId="77777777" w:rsidR="00325491" w:rsidRDefault="008E3860" w:rsidP="00325491">
            <w:pPr>
              <w:pStyle w:val="Dalodstavce"/>
              <w:numPr>
                <w:ilvl w:val="0"/>
                <w:numId w:val="21"/>
              </w:numPr>
              <w:spacing w:before="0" w:after="0"/>
              <w:ind w:left="530"/>
              <w:jc w:val="left"/>
              <w:rPr>
                <w:rFonts w:asciiTheme="minorHAnsi" w:hAnsiTheme="minorHAnsi"/>
              </w:rPr>
            </w:pPr>
            <w:r>
              <w:rPr>
                <w:rFonts w:asciiTheme="minorHAnsi" w:hAnsiTheme="minorHAnsi"/>
              </w:rPr>
              <w:t xml:space="preserve">Volné peněžní prostředky, které společnost může investovat do automatizace a </w:t>
            </w:r>
            <w:r w:rsidR="00D4148B">
              <w:rPr>
                <w:rFonts w:asciiTheme="minorHAnsi" w:hAnsiTheme="minorHAnsi"/>
              </w:rPr>
              <w:t xml:space="preserve">strojů – případné snížení množství zaměstnanců </w:t>
            </w:r>
          </w:p>
          <w:p w14:paraId="37CE2378" w14:textId="09BE10E6" w:rsidR="004A0DB7" w:rsidRPr="0077144C" w:rsidRDefault="004A0DB7" w:rsidP="00325491">
            <w:pPr>
              <w:pStyle w:val="Dalodstavce"/>
              <w:numPr>
                <w:ilvl w:val="0"/>
                <w:numId w:val="21"/>
              </w:numPr>
              <w:spacing w:before="0" w:after="0"/>
              <w:ind w:left="530"/>
              <w:jc w:val="left"/>
              <w:rPr>
                <w:rFonts w:asciiTheme="minorHAnsi" w:hAnsiTheme="minorHAnsi"/>
              </w:rPr>
            </w:pPr>
          </w:p>
        </w:tc>
        <w:tc>
          <w:tcPr>
            <w:tcW w:w="4507" w:type="dxa"/>
            <w:vAlign w:val="top"/>
          </w:tcPr>
          <w:p w14:paraId="7A3386BC"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HROZBY (T)</w:t>
            </w:r>
          </w:p>
          <w:p w14:paraId="1A4E1BA7" w14:textId="77777777" w:rsidR="00325491" w:rsidRDefault="00254DE7" w:rsidP="00325491">
            <w:pPr>
              <w:pStyle w:val="Dalodstavce"/>
              <w:numPr>
                <w:ilvl w:val="0"/>
                <w:numId w:val="21"/>
              </w:numPr>
              <w:spacing w:before="0" w:after="0"/>
              <w:ind w:left="530"/>
              <w:jc w:val="left"/>
              <w:rPr>
                <w:rFonts w:asciiTheme="minorHAnsi" w:hAnsiTheme="minorHAnsi"/>
              </w:rPr>
            </w:pPr>
            <w:r>
              <w:rPr>
                <w:rFonts w:asciiTheme="minorHAnsi" w:hAnsiTheme="minorHAnsi"/>
              </w:rPr>
              <w:t xml:space="preserve">Zvyšování úrokových sazeb </w:t>
            </w:r>
          </w:p>
          <w:p w14:paraId="1A5F36BD" w14:textId="77777777" w:rsidR="00254DE7" w:rsidRDefault="00A16F87" w:rsidP="00325491">
            <w:pPr>
              <w:pStyle w:val="Dalodstavce"/>
              <w:numPr>
                <w:ilvl w:val="0"/>
                <w:numId w:val="21"/>
              </w:numPr>
              <w:spacing w:before="0" w:after="0"/>
              <w:ind w:left="530"/>
              <w:jc w:val="left"/>
              <w:rPr>
                <w:rFonts w:asciiTheme="minorHAnsi" w:hAnsiTheme="minorHAnsi"/>
              </w:rPr>
            </w:pPr>
            <w:r>
              <w:rPr>
                <w:rFonts w:asciiTheme="minorHAnsi" w:hAnsiTheme="minorHAnsi"/>
              </w:rPr>
              <w:t xml:space="preserve">Ekonomická nestabilita způsobující nízké zisky společnosti </w:t>
            </w:r>
          </w:p>
          <w:p w14:paraId="25C4D9D4" w14:textId="6F706D4B" w:rsidR="004E3219" w:rsidRPr="0077144C" w:rsidRDefault="008E3860" w:rsidP="00325491">
            <w:pPr>
              <w:pStyle w:val="Dalodstavce"/>
              <w:numPr>
                <w:ilvl w:val="0"/>
                <w:numId w:val="21"/>
              </w:numPr>
              <w:spacing w:before="0" w:after="0"/>
              <w:ind w:left="530"/>
              <w:jc w:val="left"/>
              <w:rPr>
                <w:rFonts w:asciiTheme="minorHAnsi" w:hAnsiTheme="minorHAnsi"/>
              </w:rPr>
            </w:pPr>
            <w:r>
              <w:rPr>
                <w:rFonts w:asciiTheme="minorHAnsi" w:hAnsiTheme="minorHAnsi"/>
              </w:rPr>
              <w:t>Nedostatečné množství zakázek pro vysoký počet zaměstnanců</w:t>
            </w:r>
          </w:p>
        </w:tc>
      </w:tr>
    </w:tbl>
    <w:p w14:paraId="68EDDAF2" w14:textId="77777777" w:rsidR="00325491" w:rsidRDefault="00325491" w:rsidP="00325491">
      <w:pPr>
        <w:pStyle w:val="Dalodstavce"/>
      </w:pPr>
    </w:p>
    <w:p w14:paraId="3251B9A5" w14:textId="25AE6904" w:rsidR="00396D5F" w:rsidRPr="00325491" w:rsidRDefault="0091505C" w:rsidP="0091505C">
      <w:pPr>
        <w:pStyle w:val="Nadpis2"/>
        <w:numPr>
          <w:ilvl w:val="1"/>
          <w:numId w:val="27"/>
        </w:numPr>
      </w:pPr>
      <w:bookmarkStart w:id="25" w:name="_Toc134175273"/>
      <w:r>
        <w:t>Závěr kapitoly</w:t>
      </w:r>
      <w:bookmarkEnd w:id="25"/>
    </w:p>
    <w:p w14:paraId="53A78C17" w14:textId="6BCD3439" w:rsidR="00AA54EB" w:rsidRPr="00325491" w:rsidRDefault="00AA54EB" w:rsidP="0091505C">
      <w:pPr>
        <w:pStyle w:val="Dalodstavce"/>
        <w:ind w:firstLine="0"/>
      </w:pPr>
      <w:r w:rsidRPr="00AA54EB">
        <w:t xml:space="preserve">Pro každý typ ukazatele existují optimální hodnoty, které by společnost měla sledovat a snažit </w:t>
      </w:r>
      <w:r w:rsidR="00183417">
        <w:t>se jim blížit</w:t>
      </w:r>
      <w:r w:rsidRPr="00AA54EB">
        <w:t xml:space="preserve">. Tyto hodnoty se mohou lišit v závislosti na odvětví a velikosti společnosti. Cílem této </w:t>
      </w:r>
      <w:r>
        <w:t>kapitoly</w:t>
      </w:r>
      <w:r w:rsidRPr="00AA54EB">
        <w:t xml:space="preserve"> </w:t>
      </w:r>
      <w:r>
        <w:t>bylo</w:t>
      </w:r>
      <w:r w:rsidRPr="00AA54EB">
        <w:t xml:space="preserve"> prozkoumat </w:t>
      </w:r>
      <w:r w:rsidR="00183417">
        <w:t xml:space="preserve">a vypočítat </w:t>
      </w:r>
      <w:r w:rsidRPr="00AA54EB">
        <w:t xml:space="preserve">jednotlivé typy ukazatelů a poskytnout přehled </w:t>
      </w:r>
      <w:r>
        <w:t>jej</w:t>
      </w:r>
      <w:r w:rsidR="00183417">
        <w:t>i</w:t>
      </w:r>
      <w:r>
        <w:t>ch hodnot</w:t>
      </w:r>
      <w:r w:rsidRPr="00AA54EB">
        <w:t xml:space="preserve"> pro finanční analýzu společnost</w:t>
      </w:r>
      <w:r>
        <w:t>i.</w:t>
      </w:r>
      <w:r w:rsidR="0091505C">
        <w:t xml:space="preserve"> Z provedené </w:t>
      </w:r>
      <w:r w:rsidR="00E43877">
        <w:t xml:space="preserve">analýzy </w:t>
      </w:r>
      <w:r w:rsidR="0091505C">
        <w:t xml:space="preserve">je patrné, že společnost </w:t>
      </w:r>
      <w:r w:rsidR="00904B66">
        <w:t xml:space="preserve">zejména díky velmi dobrému období předcházející covidové krizi velmi dobře zvládla i tento zásah, který byl na její výsledky hospodaření, tržby, rentability a další velmi silný. </w:t>
      </w:r>
      <w:r w:rsidR="00517296">
        <w:t xml:space="preserve">Společnost by však </w:t>
      </w:r>
      <w:r w:rsidR="00517296">
        <w:lastRenderedPageBreak/>
        <w:t xml:space="preserve">měla velmi zvážit snížení počtu zaměstnanců v případě, že se </w:t>
      </w:r>
      <w:r w:rsidR="00476769">
        <w:t xml:space="preserve">její množství objednávek a tržby výrazně nezvýší v letech 2022 a 2023. </w:t>
      </w:r>
      <w:r w:rsidR="00AA573A">
        <w:t xml:space="preserve">Příležitostí pro Disting s.r.o. by tedy bylo investovat volné peněžní prostředky, které </w:t>
      </w:r>
      <w:r w:rsidR="00CA6DB0">
        <w:t xml:space="preserve">způsobují přílišně vysokou likviditu do automatizace a výrobních strojů a snižování závislosti na lidských zdrojích. Tomuto kroku by případně mohla pomoci taky vysoká atraktivita podniku pro věřitele. </w:t>
      </w:r>
    </w:p>
    <w:p w14:paraId="219B44C5" w14:textId="77777777" w:rsidR="00325491" w:rsidRDefault="00635FC4" w:rsidP="00722C15">
      <w:pPr>
        <w:pStyle w:val="Nadpis1"/>
        <w:numPr>
          <w:ilvl w:val="0"/>
          <w:numId w:val="27"/>
        </w:numPr>
      </w:pPr>
      <w:bookmarkStart w:id="26" w:name="_Toc134175274"/>
      <w:r>
        <w:lastRenderedPageBreak/>
        <w:t>Finanční a provozní páka, pyramidové rozklady</w:t>
      </w:r>
      <w:bookmarkEnd w:id="26"/>
    </w:p>
    <w:p w14:paraId="04E0D4EE" w14:textId="3DEFD125" w:rsidR="00187C57" w:rsidRPr="00187C57" w:rsidRDefault="00187C57" w:rsidP="00187C57">
      <w:pPr>
        <w:pStyle w:val="Dalodstavce"/>
        <w:ind w:firstLine="0"/>
      </w:pPr>
      <w:r w:rsidRPr="00E618F9">
        <w:t xml:space="preserve">V této kapitole se budeme věnovat </w:t>
      </w:r>
      <w:r>
        <w:t>třem</w:t>
      </w:r>
      <w:r w:rsidRPr="00E618F9">
        <w:t xml:space="preserve"> klíčovým konceptům finančního managementu </w:t>
      </w:r>
      <w:r w:rsidR="00377338" w:rsidRPr="00E618F9">
        <w:t>–</w:t>
      </w:r>
      <w:r w:rsidRPr="00E618F9">
        <w:t xml:space="preserve"> finanční </w:t>
      </w:r>
      <w:r>
        <w:t xml:space="preserve">páce, </w:t>
      </w:r>
      <w:r w:rsidRPr="00E618F9">
        <w:t>provozní páce</w:t>
      </w:r>
      <w:r>
        <w:t xml:space="preserve"> a pyramidovým rozkladům</w:t>
      </w:r>
      <w:r w:rsidRPr="00E618F9">
        <w:t xml:space="preserve">. Tyto pojmy představují důležité ukazatele, které pomáhají měřit a porovnávat efektivitu podniků. </w:t>
      </w:r>
    </w:p>
    <w:p w14:paraId="6F85690C" w14:textId="6D0B2A4F" w:rsidR="00B40A16" w:rsidRPr="006871DD" w:rsidRDefault="006871DD" w:rsidP="006871DD">
      <w:pPr>
        <w:pStyle w:val="Nadpis2"/>
        <w:numPr>
          <w:ilvl w:val="0"/>
          <w:numId w:val="0"/>
        </w:numPr>
      </w:pPr>
      <w:bookmarkStart w:id="27" w:name="_Toc134175275"/>
      <w:r>
        <w:t>5.1</w:t>
      </w:r>
      <w:r>
        <w:tab/>
      </w:r>
      <w:r w:rsidR="00A5257D" w:rsidRPr="006871DD">
        <w:t>Finanční a provozní páka</w:t>
      </w:r>
      <w:bookmarkEnd w:id="27"/>
    </w:p>
    <w:p w14:paraId="4B2BB045" w14:textId="2C0DFB71" w:rsidR="00325491" w:rsidRDefault="009F1EFA" w:rsidP="00325491">
      <w:pPr>
        <w:pStyle w:val="Dalodstavce"/>
      </w:pPr>
      <w:r>
        <w:rPr>
          <w:noProof/>
        </w:rPr>
        <w:drawing>
          <wp:anchor distT="0" distB="0" distL="114300" distR="114300" simplePos="0" relativeHeight="251658261" behindDoc="1" locked="0" layoutInCell="1" allowOverlap="1" wp14:anchorId="39304675" wp14:editId="0A74DC43">
            <wp:simplePos x="0" y="0"/>
            <wp:positionH relativeFrom="column">
              <wp:posOffset>2169160</wp:posOffset>
            </wp:positionH>
            <wp:positionV relativeFrom="paragraph">
              <wp:posOffset>816610</wp:posOffset>
            </wp:positionV>
            <wp:extent cx="2697480" cy="667338"/>
            <wp:effectExtent l="0" t="0" r="0" b="0"/>
            <wp:wrapTight wrapText="bothSides">
              <wp:wrapPolygon edited="0">
                <wp:start x="13729" y="3086"/>
                <wp:lineTo x="458" y="8640"/>
                <wp:lineTo x="458" y="13577"/>
                <wp:lineTo x="13881" y="14194"/>
                <wp:lineTo x="13881" y="19131"/>
                <wp:lineTo x="16627" y="19131"/>
                <wp:lineTo x="16322" y="14194"/>
                <wp:lineTo x="20441" y="13577"/>
                <wp:lineTo x="20441" y="9257"/>
                <wp:lineTo x="16475" y="3086"/>
                <wp:lineTo x="13729" y="3086"/>
              </wp:wrapPolygon>
            </wp:wrapTight>
            <wp:docPr id="1888688381" name="Obrázek 188868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7480" cy="667338"/>
                    </a:xfrm>
                    <a:prstGeom prst="rect">
                      <a:avLst/>
                    </a:prstGeom>
                    <a:noFill/>
                  </pic:spPr>
                </pic:pic>
              </a:graphicData>
            </a:graphic>
          </wp:anchor>
        </w:drawing>
      </w:r>
      <w:r w:rsidR="00E618F9" w:rsidRPr="00E618F9">
        <w:t>Finanční páka je v podstatě míra využití finančního dluhu k financování aktiv podniku. To znamená, že podnik s vysokou finanční pákou používá více dluhu než vlastního kapitálu k financování svých aktiv.</w:t>
      </w:r>
      <w:r w:rsidR="00A47431">
        <w:t xml:space="preserve"> Vzorce, které byly k výpočtům využity jsou uvedeny zde: </w:t>
      </w:r>
    </w:p>
    <w:p w14:paraId="26C40B75" w14:textId="2848E101" w:rsidR="00FD3A21" w:rsidRDefault="009F1EFA" w:rsidP="00325491">
      <w:pPr>
        <w:pStyle w:val="Dalodstavce"/>
      </w:pPr>
      <w:r>
        <w:rPr>
          <w:noProof/>
        </w:rPr>
        <w:drawing>
          <wp:anchor distT="0" distB="0" distL="114300" distR="114300" simplePos="0" relativeHeight="251658262" behindDoc="1" locked="0" layoutInCell="1" allowOverlap="1" wp14:anchorId="47BBE0E3" wp14:editId="14F332CF">
            <wp:simplePos x="0" y="0"/>
            <wp:positionH relativeFrom="column">
              <wp:posOffset>-147320</wp:posOffset>
            </wp:positionH>
            <wp:positionV relativeFrom="paragraph">
              <wp:posOffset>24130</wp:posOffset>
            </wp:positionV>
            <wp:extent cx="2171700" cy="610235"/>
            <wp:effectExtent l="0" t="0" r="0" b="0"/>
            <wp:wrapTight wrapText="bothSides">
              <wp:wrapPolygon edited="0">
                <wp:start x="14400" y="1349"/>
                <wp:lineTo x="568" y="7417"/>
                <wp:lineTo x="568" y="12812"/>
                <wp:lineTo x="11179" y="14160"/>
                <wp:lineTo x="11747" y="18206"/>
                <wp:lineTo x="17432" y="19555"/>
                <wp:lineTo x="18379" y="19555"/>
                <wp:lineTo x="20084" y="18206"/>
                <wp:lineTo x="21032" y="16183"/>
                <wp:lineTo x="21032" y="9440"/>
                <wp:lineTo x="18568" y="3371"/>
                <wp:lineTo x="16674" y="1349"/>
                <wp:lineTo x="14400" y="1349"/>
              </wp:wrapPolygon>
            </wp:wrapTight>
            <wp:docPr id="784361759" name="Obrázek 78436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71700" cy="610235"/>
                    </a:xfrm>
                    <a:prstGeom prst="rect">
                      <a:avLst/>
                    </a:prstGeom>
                    <a:noFill/>
                  </pic:spPr>
                </pic:pic>
              </a:graphicData>
            </a:graphic>
          </wp:anchor>
        </w:drawing>
      </w:r>
    </w:p>
    <w:p w14:paraId="32E9B2A2" w14:textId="668EFCC7" w:rsidR="004F5216" w:rsidRDefault="004F5216" w:rsidP="00325491">
      <w:pPr>
        <w:pStyle w:val="Dalodstavce"/>
      </w:pPr>
    </w:p>
    <w:p w14:paraId="53F9755A" w14:textId="27B1106C" w:rsidR="00A47431" w:rsidRDefault="00B873B4" w:rsidP="00325491">
      <w:pPr>
        <w:pStyle w:val="Dalodstavce"/>
      </w:pPr>
      <w:r>
        <w:t xml:space="preserve">Tab. 17 ukazuje výsledné hodnoty těchto ukazatelů. </w:t>
      </w:r>
      <w:r w:rsidR="00206C38">
        <w:t>Jelikož společnost</w:t>
      </w:r>
      <w:r w:rsidR="005B2F86">
        <w:t xml:space="preserve"> Disting má poměrně stabilní hodnoty vlastního kapitálu, změna finanční páky se odvíjí především od změn celkových aktiv. </w:t>
      </w:r>
      <w:r w:rsidR="009105D5">
        <w:t xml:space="preserve">V případě, že podnik dosahuje zisku, vede zvyšování zadluženosti ke zvyšování ROE. </w:t>
      </w:r>
      <w:r w:rsidR="004F5F1C">
        <w:t xml:space="preserve">Aby ke zvyšování ROE docházelo, je nutné, aby </w:t>
      </w:r>
      <w:r w:rsidR="0002657B">
        <w:t>míra zhodnocení celkového kapitálu byla vyšší než míra cizího kapitálu bez úspory na dani. Zvyšování zadluženosti s sebou však také přináší rizika</w:t>
      </w:r>
      <w:r w:rsidR="00BC76B1">
        <w:t xml:space="preserve"> kvůli vysokým úrokům. </w:t>
      </w:r>
    </w:p>
    <w:tbl>
      <w:tblPr>
        <w:tblpPr w:leftFromText="141" w:rightFromText="141" w:vertAnchor="text" w:horzAnchor="margin" w:tblpY="80"/>
        <w:tblW w:w="7652" w:type="dxa"/>
        <w:tblCellMar>
          <w:left w:w="70" w:type="dxa"/>
          <w:right w:w="70" w:type="dxa"/>
        </w:tblCellMar>
        <w:tblLook w:val="04A0" w:firstRow="1" w:lastRow="0" w:firstColumn="1" w:lastColumn="0" w:noHBand="0" w:noVBand="1"/>
      </w:tblPr>
      <w:tblGrid>
        <w:gridCol w:w="2422"/>
        <w:gridCol w:w="1046"/>
        <w:gridCol w:w="1046"/>
        <w:gridCol w:w="1046"/>
        <w:gridCol w:w="1046"/>
        <w:gridCol w:w="1046"/>
      </w:tblGrid>
      <w:tr w:rsidR="005B07F8" w:rsidRPr="009063DC" w14:paraId="222A90B8" w14:textId="77777777" w:rsidTr="005B07F8">
        <w:trPr>
          <w:trHeight w:val="253"/>
        </w:trPr>
        <w:tc>
          <w:tcPr>
            <w:tcW w:w="2422"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28B5FE83" w14:textId="77777777" w:rsidR="009063DC" w:rsidRPr="009063DC" w:rsidRDefault="009063DC" w:rsidP="009063DC">
            <w:pPr>
              <w:rPr>
                <w:rFonts w:ascii="Arial" w:hAnsi="Arial" w:cs="Arial"/>
                <w:b/>
                <w:bCs/>
                <w:color w:val="FFFFFF"/>
                <w:sz w:val="20"/>
                <w:szCs w:val="20"/>
              </w:rPr>
            </w:pPr>
            <w:r w:rsidRPr="009063DC">
              <w:rPr>
                <w:rFonts w:ascii="Arial" w:hAnsi="Arial" w:cs="Arial"/>
                <w:b/>
                <w:bCs/>
                <w:color w:val="FFFFFF"/>
                <w:sz w:val="20"/>
                <w:szCs w:val="20"/>
              </w:rPr>
              <w:t>Finanční páka</w:t>
            </w:r>
          </w:p>
        </w:tc>
        <w:tc>
          <w:tcPr>
            <w:tcW w:w="1046"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68F1A8B3" w14:textId="77777777" w:rsidR="009063DC" w:rsidRPr="009063DC" w:rsidRDefault="009063DC" w:rsidP="009063DC">
            <w:pPr>
              <w:jc w:val="center"/>
              <w:rPr>
                <w:rFonts w:ascii="Arial" w:hAnsi="Arial" w:cs="Arial"/>
                <w:b/>
                <w:bCs/>
                <w:color w:val="FFFFFF"/>
                <w:sz w:val="20"/>
                <w:szCs w:val="20"/>
              </w:rPr>
            </w:pPr>
            <w:r w:rsidRPr="009063DC">
              <w:rPr>
                <w:rFonts w:ascii="Arial" w:hAnsi="Arial" w:cs="Arial"/>
                <w:b/>
                <w:bCs/>
                <w:color w:val="FFFFFF"/>
                <w:sz w:val="20"/>
                <w:szCs w:val="20"/>
              </w:rPr>
              <w:t>2017</w:t>
            </w:r>
          </w:p>
        </w:tc>
        <w:tc>
          <w:tcPr>
            <w:tcW w:w="1046"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19E1D550" w14:textId="77777777" w:rsidR="009063DC" w:rsidRPr="009063DC" w:rsidRDefault="009063DC" w:rsidP="009063DC">
            <w:pPr>
              <w:jc w:val="center"/>
              <w:rPr>
                <w:rFonts w:ascii="Arial" w:hAnsi="Arial" w:cs="Arial"/>
                <w:b/>
                <w:bCs/>
                <w:color w:val="FFFFFF"/>
                <w:sz w:val="20"/>
                <w:szCs w:val="20"/>
              </w:rPr>
            </w:pPr>
            <w:r w:rsidRPr="009063DC">
              <w:rPr>
                <w:rFonts w:ascii="Arial" w:hAnsi="Arial" w:cs="Arial"/>
                <w:b/>
                <w:bCs/>
                <w:color w:val="FFFFFF"/>
                <w:sz w:val="20"/>
                <w:szCs w:val="20"/>
              </w:rPr>
              <w:t>2018</w:t>
            </w:r>
          </w:p>
        </w:tc>
        <w:tc>
          <w:tcPr>
            <w:tcW w:w="1046"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07C12253" w14:textId="77777777" w:rsidR="009063DC" w:rsidRPr="009063DC" w:rsidRDefault="009063DC" w:rsidP="009063DC">
            <w:pPr>
              <w:jc w:val="center"/>
              <w:rPr>
                <w:rFonts w:ascii="Arial" w:hAnsi="Arial" w:cs="Arial"/>
                <w:b/>
                <w:bCs/>
                <w:color w:val="FFFFFF"/>
                <w:sz w:val="20"/>
                <w:szCs w:val="20"/>
              </w:rPr>
            </w:pPr>
            <w:r w:rsidRPr="009063DC">
              <w:rPr>
                <w:rFonts w:ascii="Arial" w:hAnsi="Arial" w:cs="Arial"/>
                <w:b/>
                <w:bCs/>
                <w:color w:val="FFFFFF"/>
                <w:sz w:val="20"/>
                <w:szCs w:val="20"/>
              </w:rPr>
              <w:t>2019</w:t>
            </w:r>
          </w:p>
        </w:tc>
        <w:tc>
          <w:tcPr>
            <w:tcW w:w="1046"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174E8FD7" w14:textId="77777777" w:rsidR="009063DC" w:rsidRPr="009063DC" w:rsidRDefault="009063DC" w:rsidP="009063DC">
            <w:pPr>
              <w:jc w:val="center"/>
              <w:rPr>
                <w:rFonts w:ascii="Arial" w:hAnsi="Arial" w:cs="Arial"/>
                <w:b/>
                <w:bCs/>
                <w:color w:val="FFFFFF"/>
                <w:sz w:val="20"/>
                <w:szCs w:val="20"/>
              </w:rPr>
            </w:pPr>
            <w:r w:rsidRPr="009063DC">
              <w:rPr>
                <w:rFonts w:ascii="Arial" w:hAnsi="Arial" w:cs="Arial"/>
                <w:b/>
                <w:bCs/>
                <w:color w:val="FFFFFF"/>
                <w:sz w:val="20"/>
                <w:szCs w:val="20"/>
              </w:rPr>
              <w:t>2020</w:t>
            </w:r>
          </w:p>
        </w:tc>
        <w:tc>
          <w:tcPr>
            <w:tcW w:w="1046"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3BF0DBBC" w14:textId="77777777" w:rsidR="009063DC" w:rsidRPr="009063DC" w:rsidRDefault="009063DC" w:rsidP="009063DC">
            <w:pPr>
              <w:jc w:val="center"/>
              <w:rPr>
                <w:rFonts w:ascii="Arial" w:hAnsi="Arial" w:cs="Arial"/>
                <w:b/>
                <w:bCs/>
                <w:color w:val="FFFFFF"/>
                <w:sz w:val="20"/>
                <w:szCs w:val="20"/>
              </w:rPr>
            </w:pPr>
            <w:r w:rsidRPr="009063DC">
              <w:rPr>
                <w:rFonts w:ascii="Arial" w:hAnsi="Arial" w:cs="Arial"/>
                <w:b/>
                <w:bCs/>
                <w:color w:val="FFFFFF"/>
                <w:sz w:val="20"/>
                <w:szCs w:val="20"/>
              </w:rPr>
              <w:t>2021</w:t>
            </w:r>
          </w:p>
        </w:tc>
      </w:tr>
      <w:tr w:rsidR="009063DC" w:rsidRPr="009063DC" w14:paraId="2B575BD1" w14:textId="77777777" w:rsidTr="005B07F8">
        <w:trPr>
          <w:trHeight w:val="253"/>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E9904" w14:textId="77777777" w:rsidR="009063DC" w:rsidRPr="009063DC" w:rsidRDefault="009063DC" w:rsidP="009063DC">
            <w:pPr>
              <w:rPr>
                <w:rFonts w:ascii="Arial" w:hAnsi="Arial" w:cs="Arial"/>
                <w:color w:val="000000"/>
                <w:sz w:val="20"/>
                <w:szCs w:val="20"/>
              </w:rPr>
            </w:pPr>
            <w:r w:rsidRPr="009063DC">
              <w:rPr>
                <w:rFonts w:ascii="Arial" w:hAnsi="Arial" w:cs="Arial"/>
                <w:color w:val="000000"/>
                <w:sz w:val="20"/>
                <w:szCs w:val="20"/>
              </w:rPr>
              <w:t>Aktiva celkem</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114CF"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33 148</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80153"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42 781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78281"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57 826</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64EED"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50 355</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EBF8E"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47 078</w:t>
            </w:r>
          </w:p>
        </w:tc>
      </w:tr>
      <w:tr w:rsidR="009063DC" w:rsidRPr="009063DC" w14:paraId="30E4316F" w14:textId="77777777" w:rsidTr="005B07F8">
        <w:trPr>
          <w:trHeight w:val="253"/>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A215D" w14:textId="77777777" w:rsidR="009063DC" w:rsidRPr="009063DC" w:rsidRDefault="009063DC" w:rsidP="009063DC">
            <w:pPr>
              <w:rPr>
                <w:rFonts w:ascii="Arial" w:hAnsi="Arial" w:cs="Arial"/>
                <w:color w:val="000000"/>
                <w:sz w:val="20"/>
                <w:szCs w:val="20"/>
              </w:rPr>
            </w:pPr>
            <w:r w:rsidRPr="009063DC">
              <w:rPr>
                <w:rFonts w:ascii="Arial" w:hAnsi="Arial" w:cs="Arial"/>
                <w:color w:val="000000"/>
                <w:sz w:val="20"/>
                <w:szCs w:val="20"/>
              </w:rPr>
              <w:t>Vlastní kapitál</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ECEB7"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28 267</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D2BD4"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31 905</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74CD8"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31 195</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BB25E"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31 425</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686F4"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31 957</w:t>
            </w:r>
          </w:p>
        </w:tc>
      </w:tr>
      <w:tr w:rsidR="005B07F8" w:rsidRPr="009063DC" w14:paraId="541813E3" w14:textId="77777777" w:rsidTr="005B07F8">
        <w:trPr>
          <w:trHeight w:val="253"/>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92D4A" w14:textId="77777777" w:rsidR="009063DC" w:rsidRPr="009063DC" w:rsidRDefault="009063DC" w:rsidP="009063DC">
            <w:pPr>
              <w:rPr>
                <w:rFonts w:ascii="Arial" w:hAnsi="Arial" w:cs="Arial"/>
                <w:b/>
                <w:bCs/>
                <w:color w:val="000000"/>
                <w:sz w:val="20"/>
                <w:szCs w:val="20"/>
              </w:rPr>
            </w:pPr>
            <w:r w:rsidRPr="009063DC">
              <w:rPr>
                <w:rFonts w:ascii="Arial" w:hAnsi="Arial" w:cs="Arial"/>
                <w:b/>
                <w:bCs/>
                <w:color w:val="000000"/>
                <w:sz w:val="20"/>
                <w:szCs w:val="20"/>
              </w:rPr>
              <w:t>Finanční páka</w:t>
            </w:r>
          </w:p>
        </w:tc>
        <w:tc>
          <w:tcPr>
            <w:tcW w:w="104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B5B520A" w14:textId="77777777" w:rsidR="009063DC" w:rsidRPr="009063DC" w:rsidRDefault="009063DC" w:rsidP="009063DC">
            <w:pPr>
              <w:jc w:val="right"/>
              <w:rPr>
                <w:rFonts w:ascii="Arial" w:hAnsi="Arial" w:cs="Arial"/>
                <w:b/>
                <w:bCs/>
                <w:color w:val="000000"/>
                <w:sz w:val="20"/>
                <w:szCs w:val="20"/>
              </w:rPr>
            </w:pPr>
            <w:r w:rsidRPr="009063DC">
              <w:rPr>
                <w:rFonts w:ascii="Arial" w:hAnsi="Arial" w:cs="Arial"/>
                <w:b/>
                <w:bCs/>
                <w:color w:val="000000"/>
                <w:sz w:val="20"/>
                <w:szCs w:val="20"/>
              </w:rPr>
              <w:t>1,17</w:t>
            </w:r>
          </w:p>
        </w:tc>
        <w:tc>
          <w:tcPr>
            <w:tcW w:w="1046"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14:paraId="39672186" w14:textId="77777777" w:rsidR="009063DC" w:rsidRPr="009063DC" w:rsidRDefault="009063DC" w:rsidP="009063DC">
            <w:pPr>
              <w:jc w:val="right"/>
              <w:rPr>
                <w:rFonts w:ascii="Arial" w:hAnsi="Arial" w:cs="Arial"/>
                <w:b/>
                <w:bCs/>
                <w:color w:val="000000"/>
                <w:sz w:val="20"/>
                <w:szCs w:val="20"/>
              </w:rPr>
            </w:pPr>
            <w:r w:rsidRPr="009063DC">
              <w:rPr>
                <w:rFonts w:ascii="Arial" w:hAnsi="Arial" w:cs="Arial"/>
                <w:b/>
                <w:bCs/>
                <w:color w:val="000000"/>
                <w:sz w:val="20"/>
                <w:szCs w:val="20"/>
              </w:rPr>
              <w:t>1,34</w:t>
            </w:r>
          </w:p>
        </w:tc>
        <w:tc>
          <w:tcPr>
            <w:tcW w:w="104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7DEDFE" w14:textId="77777777" w:rsidR="009063DC" w:rsidRPr="009063DC" w:rsidRDefault="009063DC" w:rsidP="009063DC">
            <w:pPr>
              <w:jc w:val="right"/>
              <w:rPr>
                <w:rFonts w:ascii="Arial" w:hAnsi="Arial" w:cs="Arial"/>
                <w:b/>
                <w:bCs/>
                <w:color w:val="000000"/>
                <w:sz w:val="20"/>
                <w:szCs w:val="20"/>
              </w:rPr>
            </w:pPr>
            <w:r w:rsidRPr="009063DC">
              <w:rPr>
                <w:rFonts w:ascii="Arial" w:hAnsi="Arial" w:cs="Arial"/>
                <w:b/>
                <w:bCs/>
                <w:color w:val="000000"/>
                <w:sz w:val="20"/>
                <w:szCs w:val="20"/>
              </w:rPr>
              <w:t>1,85</w:t>
            </w:r>
          </w:p>
        </w:tc>
        <w:tc>
          <w:tcPr>
            <w:tcW w:w="1046" w:type="dxa"/>
            <w:tcBorders>
              <w:top w:val="single" w:sz="4" w:space="0" w:color="auto"/>
              <w:left w:val="single" w:sz="4" w:space="0" w:color="auto"/>
              <w:bottom w:val="single" w:sz="4" w:space="0" w:color="auto"/>
              <w:right w:val="single" w:sz="4" w:space="0" w:color="auto"/>
            </w:tcBorders>
            <w:shd w:val="clear" w:color="000000" w:fill="FDBF7C"/>
            <w:noWrap/>
            <w:vAlign w:val="bottom"/>
            <w:hideMark/>
          </w:tcPr>
          <w:p w14:paraId="2E1FFAB9" w14:textId="77777777" w:rsidR="009063DC" w:rsidRPr="009063DC" w:rsidRDefault="009063DC" w:rsidP="009063DC">
            <w:pPr>
              <w:jc w:val="right"/>
              <w:rPr>
                <w:rFonts w:ascii="Arial" w:hAnsi="Arial" w:cs="Arial"/>
                <w:b/>
                <w:bCs/>
                <w:color w:val="000000"/>
                <w:sz w:val="20"/>
                <w:szCs w:val="20"/>
              </w:rPr>
            </w:pPr>
            <w:r w:rsidRPr="009063DC">
              <w:rPr>
                <w:rFonts w:ascii="Arial" w:hAnsi="Arial" w:cs="Arial"/>
                <w:b/>
                <w:bCs/>
                <w:color w:val="000000"/>
                <w:sz w:val="20"/>
                <w:szCs w:val="20"/>
              </w:rPr>
              <w:t>1,60</w:t>
            </w:r>
          </w:p>
        </w:tc>
        <w:tc>
          <w:tcPr>
            <w:tcW w:w="1046"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BE24FB2" w14:textId="77777777" w:rsidR="009063DC" w:rsidRPr="009063DC" w:rsidRDefault="009063DC" w:rsidP="009063DC">
            <w:pPr>
              <w:jc w:val="right"/>
              <w:rPr>
                <w:rFonts w:ascii="Arial" w:hAnsi="Arial" w:cs="Arial"/>
                <w:b/>
                <w:bCs/>
                <w:color w:val="000000"/>
                <w:sz w:val="20"/>
                <w:szCs w:val="20"/>
              </w:rPr>
            </w:pPr>
            <w:r w:rsidRPr="009063DC">
              <w:rPr>
                <w:rFonts w:ascii="Arial" w:hAnsi="Arial" w:cs="Arial"/>
                <w:b/>
                <w:bCs/>
                <w:color w:val="000000"/>
                <w:sz w:val="20"/>
                <w:szCs w:val="20"/>
              </w:rPr>
              <w:t>1,47</w:t>
            </w:r>
          </w:p>
        </w:tc>
      </w:tr>
      <w:tr w:rsidR="009063DC" w:rsidRPr="009063DC" w14:paraId="79073CFE" w14:textId="77777777" w:rsidTr="005B07F8">
        <w:trPr>
          <w:trHeight w:val="253"/>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FDC75" w14:textId="77777777" w:rsidR="009063DC" w:rsidRPr="009063DC" w:rsidRDefault="009063DC" w:rsidP="009063DC">
            <w:pPr>
              <w:rPr>
                <w:rFonts w:ascii="Arial" w:hAnsi="Arial" w:cs="Arial"/>
                <w:color w:val="000000"/>
                <w:sz w:val="20"/>
                <w:szCs w:val="20"/>
              </w:rPr>
            </w:pPr>
            <w:r w:rsidRPr="009063DC">
              <w:rPr>
                <w:rFonts w:ascii="Arial" w:hAnsi="Arial" w:cs="Arial"/>
                <w:color w:val="000000"/>
                <w:sz w:val="20"/>
                <w:szCs w:val="20"/>
              </w:rPr>
              <w:t>ROE (ČZ/VK)</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94B0B"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22,38%</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0DD54"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15,16%</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7D4EE"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1,57%</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07A23"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0,73%</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A7C16"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1,66%</w:t>
            </w:r>
          </w:p>
        </w:tc>
      </w:tr>
      <w:tr w:rsidR="009063DC" w:rsidRPr="009063DC" w14:paraId="7FEDE753" w14:textId="77777777" w:rsidTr="005B07F8">
        <w:trPr>
          <w:trHeight w:val="253"/>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BD6C8" w14:textId="77777777" w:rsidR="009063DC" w:rsidRPr="009063DC" w:rsidRDefault="009063DC" w:rsidP="009063DC">
            <w:pPr>
              <w:rPr>
                <w:rFonts w:ascii="Arial" w:hAnsi="Arial" w:cs="Arial"/>
                <w:color w:val="000000"/>
                <w:sz w:val="20"/>
                <w:szCs w:val="20"/>
              </w:rPr>
            </w:pPr>
            <w:r w:rsidRPr="009063DC">
              <w:rPr>
                <w:rFonts w:ascii="Arial" w:hAnsi="Arial" w:cs="Arial"/>
                <w:color w:val="000000"/>
                <w:sz w:val="20"/>
                <w:szCs w:val="20"/>
              </w:rPr>
              <w:t>ROA (EBIT/A)</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B8FE6"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23,92%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C2AD8"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14,35%</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47477"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1,83%</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4C475"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1,80%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1A46F" w14:textId="77777777" w:rsidR="009063DC" w:rsidRPr="009063DC" w:rsidRDefault="009063DC" w:rsidP="009063DC">
            <w:pPr>
              <w:jc w:val="right"/>
              <w:rPr>
                <w:rFonts w:ascii="Arial" w:hAnsi="Arial" w:cs="Arial"/>
                <w:color w:val="000000"/>
                <w:sz w:val="20"/>
                <w:szCs w:val="20"/>
              </w:rPr>
            </w:pPr>
            <w:r w:rsidRPr="009063DC">
              <w:rPr>
                <w:rFonts w:ascii="Arial" w:hAnsi="Arial" w:cs="Arial"/>
                <w:color w:val="000000"/>
                <w:sz w:val="20"/>
                <w:szCs w:val="20"/>
              </w:rPr>
              <w:t>2,33%</w:t>
            </w:r>
          </w:p>
        </w:tc>
      </w:tr>
      <w:tr w:rsidR="005B07F8" w:rsidRPr="009063DC" w14:paraId="1A7B96AB" w14:textId="77777777" w:rsidTr="005B07F8">
        <w:trPr>
          <w:trHeight w:val="253"/>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05369" w14:textId="77777777" w:rsidR="009063DC" w:rsidRPr="009063DC" w:rsidRDefault="009063DC" w:rsidP="009063DC">
            <w:pPr>
              <w:rPr>
                <w:rFonts w:ascii="Arial" w:hAnsi="Arial" w:cs="Arial"/>
                <w:b/>
                <w:bCs/>
                <w:color w:val="000000"/>
                <w:sz w:val="20"/>
                <w:szCs w:val="20"/>
              </w:rPr>
            </w:pPr>
            <w:r w:rsidRPr="009063DC">
              <w:rPr>
                <w:rFonts w:ascii="Arial" w:hAnsi="Arial" w:cs="Arial"/>
                <w:b/>
                <w:bCs/>
                <w:color w:val="000000"/>
                <w:sz w:val="20"/>
                <w:szCs w:val="20"/>
              </w:rPr>
              <w:t>Index finanční páky</w:t>
            </w:r>
          </w:p>
        </w:tc>
        <w:tc>
          <w:tcPr>
            <w:tcW w:w="1046"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271CD184" w14:textId="77777777" w:rsidR="009063DC" w:rsidRPr="009063DC" w:rsidRDefault="009063DC" w:rsidP="009063DC">
            <w:pPr>
              <w:jc w:val="right"/>
              <w:rPr>
                <w:rFonts w:ascii="Arial" w:hAnsi="Arial" w:cs="Arial"/>
                <w:b/>
                <w:bCs/>
                <w:color w:val="000000"/>
                <w:sz w:val="20"/>
                <w:szCs w:val="20"/>
              </w:rPr>
            </w:pPr>
            <w:r w:rsidRPr="009063DC">
              <w:rPr>
                <w:rFonts w:ascii="Arial" w:hAnsi="Arial" w:cs="Arial"/>
                <w:b/>
                <w:bCs/>
                <w:color w:val="000000"/>
                <w:sz w:val="20"/>
                <w:szCs w:val="20"/>
              </w:rPr>
              <w:t>0,94</w:t>
            </w:r>
          </w:p>
        </w:tc>
        <w:tc>
          <w:tcPr>
            <w:tcW w:w="104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9E7DC9" w14:textId="77777777" w:rsidR="009063DC" w:rsidRPr="009063DC" w:rsidRDefault="009063DC" w:rsidP="009063DC">
            <w:pPr>
              <w:jc w:val="right"/>
              <w:rPr>
                <w:rFonts w:ascii="Arial" w:hAnsi="Arial" w:cs="Arial"/>
                <w:b/>
                <w:bCs/>
                <w:color w:val="000000"/>
                <w:sz w:val="20"/>
                <w:szCs w:val="20"/>
              </w:rPr>
            </w:pPr>
            <w:r w:rsidRPr="009063DC">
              <w:rPr>
                <w:rFonts w:ascii="Arial" w:hAnsi="Arial" w:cs="Arial"/>
                <w:b/>
                <w:bCs/>
                <w:color w:val="000000"/>
                <w:sz w:val="20"/>
                <w:szCs w:val="20"/>
              </w:rPr>
              <w:t>1,06</w:t>
            </w:r>
          </w:p>
        </w:tc>
        <w:tc>
          <w:tcPr>
            <w:tcW w:w="1046"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64C50C7" w14:textId="77777777" w:rsidR="009063DC" w:rsidRPr="009063DC" w:rsidRDefault="009063DC" w:rsidP="009063DC">
            <w:pPr>
              <w:jc w:val="right"/>
              <w:rPr>
                <w:rFonts w:ascii="Arial" w:hAnsi="Arial" w:cs="Arial"/>
                <w:b/>
                <w:bCs/>
                <w:color w:val="000000"/>
                <w:sz w:val="20"/>
                <w:szCs w:val="20"/>
              </w:rPr>
            </w:pPr>
            <w:r w:rsidRPr="009063DC">
              <w:rPr>
                <w:rFonts w:ascii="Arial" w:hAnsi="Arial" w:cs="Arial"/>
                <w:b/>
                <w:bCs/>
                <w:color w:val="000000"/>
                <w:sz w:val="20"/>
                <w:szCs w:val="20"/>
              </w:rPr>
              <w:t>0,86</w:t>
            </w:r>
          </w:p>
        </w:tc>
        <w:tc>
          <w:tcPr>
            <w:tcW w:w="104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8C3A415" w14:textId="77777777" w:rsidR="009063DC" w:rsidRPr="009063DC" w:rsidRDefault="009063DC" w:rsidP="009063DC">
            <w:pPr>
              <w:jc w:val="right"/>
              <w:rPr>
                <w:rFonts w:ascii="Arial" w:hAnsi="Arial" w:cs="Arial"/>
                <w:b/>
                <w:bCs/>
                <w:color w:val="000000"/>
                <w:sz w:val="20"/>
                <w:szCs w:val="20"/>
              </w:rPr>
            </w:pPr>
            <w:r w:rsidRPr="009063DC">
              <w:rPr>
                <w:rFonts w:ascii="Arial" w:hAnsi="Arial" w:cs="Arial"/>
                <w:b/>
                <w:bCs/>
                <w:color w:val="000000"/>
                <w:sz w:val="20"/>
                <w:szCs w:val="20"/>
              </w:rPr>
              <w:t>0,41</w:t>
            </w:r>
          </w:p>
        </w:tc>
        <w:tc>
          <w:tcPr>
            <w:tcW w:w="1046"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14:paraId="747A7F89" w14:textId="77777777" w:rsidR="009063DC" w:rsidRPr="009063DC" w:rsidRDefault="009063DC" w:rsidP="009063DC">
            <w:pPr>
              <w:jc w:val="right"/>
              <w:rPr>
                <w:rFonts w:ascii="Arial" w:hAnsi="Arial" w:cs="Arial"/>
                <w:b/>
                <w:bCs/>
                <w:color w:val="000000"/>
                <w:sz w:val="20"/>
                <w:szCs w:val="20"/>
              </w:rPr>
            </w:pPr>
            <w:r w:rsidRPr="009063DC">
              <w:rPr>
                <w:rFonts w:ascii="Arial" w:hAnsi="Arial" w:cs="Arial"/>
                <w:b/>
                <w:bCs/>
                <w:color w:val="000000"/>
                <w:sz w:val="20"/>
                <w:szCs w:val="20"/>
              </w:rPr>
              <w:t>0,72</w:t>
            </w:r>
          </w:p>
        </w:tc>
      </w:tr>
    </w:tbl>
    <w:p w14:paraId="44C7C799" w14:textId="31C368EF" w:rsidR="009063DC" w:rsidRDefault="005B07F8" w:rsidP="00377338">
      <w:pPr>
        <w:pStyle w:val="Dalodstavce"/>
        <w:ind w:firstLine="0"/>
        <w:jc w:val="right"/>
      </w:pPr>
      <w:r>
        <w:t xml:space="preserve">Tab. 17: Finanční páka  </w:t>
      </w:r>
    </w:p>
    <w:p w14:paraId="37A108DA" w14:textId="77777777" w:rsidR="00BC76B1" w:rsidRDefault="00BC76B1" w:rsidP="00BC76B1">
      <w:pPr>
        <w:pStyle w:val="Dalodstavce"/>
        <w:jc w:val="left"/>
      </w:pPr>
    </w:p>
    <w:p w14:paraId="70E0DFD8" w14:textId="13EE72FA" w:rsidR="00BC76B1" w:rsidRDefault="00D24281" w:rsidP="00D24281">
      <w:pPr>
        <w:pStyle w:val="Dalodstavce"/>
      </w:pPr>
      <w:r>
        <w:lastRenderedPageBreak/>
        <w:t xml:space="preserve">Na Grafu </w:t>
      </w:r>
      <w:r w:rsidR="001342B3">
        <w:t xml:space="preserve">17 vidíme vývoj hodnot finanční páky ve společnosti Disting v období let 2017-2021. </w:t>
      </w:r>
      <w:r w:rsidR="00A54F29">
        <w:t xml:space="preserve">Finanční páka je nejnižší v roce 2017, kdy můžeme vidět, že je společnost velice konzervativní a </w:t>
      </w:r>
      <w:r w:rsidR="008D1D69">
        <w:t xml:space="preserve">averzní k riziku, jelikož preferuje nízké zadlužení. Naopak nejvyšší hodnoty finanční páka dosahuje v roce 2019, kdy se firma rozhodla pro </w:t>
      </w:r>
      <w:r w:rsidR="00D67859">
        <w:t xml:space="preserve">rozšíření svých továren, na což využila právě bankovní úvěry. </w:t>
      </w:r>
    </w:p>
    <w:p w14:paraId="71DB7B54" w14:textId="58C96C60" w:rsidR="009063DC" w:rsidRDefault="00400B21" w:rsidP="00325491">
      <w:pPr>
        <w:pStyle w:val="Dalodstavce"/>
      </w:pPr>
      <w:r>
        <w:rPr>
          <w:noProof/>
        </w:rPr>
        <w:drawing>
          <wp:inline distT="0" distB="0" distL="0" distR="0" wp14:anchorId="424F92F0" wp14:editId="6293AC8C">
            <wp:extent cx="4427220" cy="2423160"/>
            <wp:effectExtent l="0" t="0" r="11430" b="15240"/>
            <wp:docPr id="1688863821" name="Graf 1">
              <a:extLst xmlns:a="http://schemas.openxmlformats.org/drawingml/2006/main">
                <a:ext uri="{FF2B5EF4-FFF2-40B4-BE49-F238E27FC236}">
                  <a16:creationId xmlns:a16="http://schemas.microsoft.com/office/drawing/2014/main" id="{AD219890-33A0-E774-623C-0E6CC7718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62AACAC" w14:textId="48246552" w:rsidR="00D24281" w:rsidRDefault="00D24281" w:rsidP="00D24281">
      <w:pPr>
        <w:pStyle w:val="Dalodstavce"/>
        <w:jc w:val="right"/>
      </w:pPr>
      <w:r>
        <w:t>Graf 17: Vývoj finanční páky</w:t>
      </w:r>
    </w:p>
    <w:p w14:paraId="266CA3EC" w14:textId="19987B70" w:rsidR="00400B21" w:rsidRDefault="00097B78" w:rsidP="00D24281">
      <w:pPr>
        <w:pStyle w:val="Dalodstavce"/>
        <w:ind w:firstLine="0"/>
      </w:pPr>
      <w:r>
        <w:t xml:space="preserve">Vývoj </w:t>
      </w:r>
      <w:r w:rsidR="00947097">
        <w:t xml:space="preserve">indexu finanční páky </w:t>
      </w:r>
      <w:r w:rsidR="00E14DA1">
        <w:t xml:space="preserve">zobrazuje Graf 18. Z toho můžeme pozorovat, že </w:t>
      </w:r>
      <w:r w:rsidR="007D696E">
        <w:t xml:space="preserve">efekt finanční páky působil kladně pouze </w:t>
      </w:r>
      <w:r w:rsidR="00277E56">
        <w:t>jediný rok a to v roce 2018</w:t>
      </w:r>
      <w:r w:rsidR="00A93DB9">
        <w:t xml:space="preserve">, </w:t>
      </w:r>
      <w:r w:rsidR="00A8516B">
        <w:t xml:space="preserve">jelikož jde o jediný rok, ve kterém je splněna podmínka, že ROE je větší než ROA. </w:t>
      </w:r>
      <w:r w:rsidR="00BF189B">
        <w:t xml:space="preserve">Jde tedy o jediný případ, kdy index  finanční páky je větší než 1, což je doporučená hodnota. </w:t>
      </w:r>
    </w:p>
    <w:p w14:paraId="73E646DC" w14:textId="5BFFB2F1" w:rsidR="00400B21" w:rsidRDefault="00284ABE" w:rsidP="00325491">
      <w:pPr>
        <w:pStyle w:val="Dalodstavce"/>
      </w:pPr>
      <w:r>
        <w:rPr>
          <w:noProof/>
        </w:rPr>
        <w:lastRenderedPageBreak/>
        <w:drawing>
          <wp:inline distT="0" distB="0" distL="0" distR="0" wp14:anchorId="7B80B9F7" wp14:editId="0C88AAD2">
            <wp:extent cx="4554220" cy="2824480"/>
            <wp:effectExtent l="0" t="0" r="17780" b="13970"/>
            <wp:docPr id="965317333" name="Graf 1">
              <a:extLst xmlns:a="http://schemas.openxmlformats.org/drawingml/2006/main">
                <a:ext uri="{FF2B5EF4-FFF2-40B4-BE49-F238E27FC236}">
                  <a16:creationId xmlns:a16="http://schemas.microsoft.com/office/drawing/2014/main" id="{5AE40255-5738-F02A-02D4-FFD120916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DD9652B" w14:textId="198DB3CA" w:rsidR="00D24281" w:rsidRDefault="00D24281" w:rsidP="00D24281">
      <w:pPr>
        <w:pStyle w:val="Dalodstavce"/>
        <w:jc w:val="right"/>
      </w:pPr>
      <w:r>
        <w:t>Graf 18: Vývoj indexu finanční páky</w:t>
      </w:r>
    </w:p>
    <w:p w14:paraId="0A193E85" w14:textId="77777777" w:rsidR="00F04B63" w:rsidRDefault="00F04B63" w:rsidP="00325491">
      <w:pPr>
        <w:pStyle w:val="Dalodstavce"/>
      </w:pPr>
    </w:p>
    <w:p w14:paraId="5159E3D2" w14:textId="6052784B" w:rsidR="00805D05" w:rsidRDefault="002B7610" w:rsidP="00805D05">
      <w:pPr>
        <w:pStyle w:val="Dalodstavce"/>
      </w:pPr>
      <w:r w:rsidRPr="002B7610">
        <w:t>Provozní páka se týká vztahu mezi objemem výroby (tržbami) a ziskem, při různých poměrech mezi fixními a variabilními náklady. Pokud je podíl fixních nákladů na celkových nákladech vyšší, bude se zisk podniku více měnit při změnách tržeb. To znamená, že podnik s větším podílem fixních nákladů bude mít větší citlivost na změny tržeb.</w:t>
      </w:r>
      <w:r w:rsidR="00805D05">
        <w:t xml:space="preserve"> V této seminární práci budeme v</w:t>
      </w:r>
      <w:r w:rsidR="00805D05" w:rsidRPr="00805D05">
        <w:t xml:space="preserve">elikost provozní páky měřit </w:t>
      </w:r>
      <w:r w:rsidR="00805D05">
        <w:t xml:space="preserve">pomocí </w:t>
      </w:r>
      <w:r w:rsidR="00805D05" w:rsidRPr="00805D05">
        <w:t>stupně</w:t>
      </w:r>
      <w:r w:rsidR="00805D05">
        <w:t xml:space="preserve"> </w:t>
      </w:r>
      <w:r w:rsidR="00805D05" w:rsidRPr="00805D05">
        <w:t>provozní páky (S)</w:t>
      </w:r>
      <w:r w:rsidR="00805D05">
        <w:t xml:space="preserve">. </w:t>
      </w:r>
    </w:p>
    <w:p w14:paraId="46D61176" w14:textId="1355A403" w:rsidR="00805D05" w:rsidRPr="00805D05" w:rsidRDefault="00FE6706" w:rsidP="00805D05">
      <w:pPr>
        <w:pStyle w:val="Dalodstavce"/>
      </w:pPr>
      <w:r>
        <w:rPr>
          <w:noProof/>
        </w:rPr>
        <w:drawing>
          <wp:anchor distT="0" distB="0" distL="114300" distR="114300" simplePos="0" relativeHeight="251658260" behindDoc="0" locked="0" layoutInCell="1" allowOverlap="1" wp14:anchorId="257D5403" wp14:editId="27EDA3CC">
            <wp:simplePos x="0" y="0"/>
            <wp:positionH relativeFrom="page">
              <wp:align>center</wp:align>
            </wp:positionH>
            <wp:positionV relativeFrom="paragraph">
              <wp:posOffset>0</wp:posOffset>
            </wp:positionV>
            <wp:extent cx="1828800" cy="1185990"/>
            <wp:effectExtent l="0" t="0" r="0" b="0"/>
            <wp:wrapSquare wrapText="bothSides"/>
            <wp:docPr id="351430734" name="Obrázek 3514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800" cy="1185990"/>
                    </a:xfrm>
                    <a:prstGeom prst="rect">
                      <a:avLst/>
                    </a:prstGeom>
                    <a:noFill/>
                  </pic:spPr>
                </pic:pic>
              </a:graphicData>
            </a:graphic>
          </wp:anchor>
        </w:drawing>
      </w:r>
    </w:p>
    <w:p w14:paraId="5DF0834F" w14:textId="0085E083" w:rsidR="00805D05" w:rsidRDefault="00805D05" w:rsidP="00221E94">
      <w:pPr>
        <w:pStyle w:val="Dalodstavce"/>
      </w:pPr>
    </w:p>
    <w:p w14:paraId="14552DF7" w14:textId="77777777" w:rsidR="008602D1" w:rsidRDefault="008602D1" w:rsidP="00221E94">
      <w:pPr>
        <w:pStyle w:val="Dalodstavce"/>
      </w:pPr>
    </w:p>
    <w:p w14:paraId="367E6BD9" w14:textId="77777777" w:rsidR="008602D1" w:rsidRDefault="008602D1" w:rsidP="00221E94">
      <w:pPr>
        <w:pStyle w:val="Dalodstavce"/>
      </w:pPr>
    </w:p>
    <w:p w14:paraId="735425A8" w14:textId="77777777" w:rsidR="008602D1" w:rsidRDefault="008602D1" w:rsidP="00221E94">
      <w:pPr>
        <w:pStyle w:val="Dalodstavce"/>
      </w:pPr>
    </w:p>
    <w:p w14:paraId="76DD1139" w14:textId="1BB65B56" w:rsidR="008602D1" w:rsidRDefault="00CA54E9" w:rsidP="00221E94">
      <w:pPr>
        <w:pStyle w:val="Dalodstavce"/>
      </w:pPr>
      <w:r>
        <w:t xml:space="preserve">Jako zisk (Z) v tomto případě počítáme EBIT </w:t>
      </w:r>
      <w:r w:rsidRPr="00CA54E9">
        <w:t>„Earnings Before Interest and Taxes“</w:t>
      </w:r>
      <w:r>
        <w:t xml:space="preserve">, tedy </w:t>
      </w:r>
      <w:r w:rsidRPr="00CA54E9">
        <w:t>zisk před zdaněním a odečtením úroků</w:t>
      </w:r>
      <w:r w:rsidR="00597C2C">
        <w:t xml:space="preserve">. Písmeno T ve vzorci znázorňuje </w:t>
      </w:r>
      <w:r w:rsidR="00301537">
        <w:t>t</w:t>
      </w:r>
      <w:r w:rsidR="00301537" w:rsidRPr="00301537">
        <w:t>ržby za prodej vlastních výrobků a služeb</w:t>
      </w:r>
      <w:r w:rsidR="00301537">
        <w:t xml:space="preserve">. </w:t>
      </w:r>
      <w:r w:rsidR="00A404E9">
        <w:t xml:space="preserve">Tab. 18, zobrazuje, jak se vyvíjely hodnoty provozní páky. </w:t>
      </w:r>
    </w:p>
    <w:p w14:paraId="2F416133" w14:textId="77777777" w:rsidR="009F1EFA" w:rsidRDefault="009F1EFA" w:rsidP="00221E94">
      <w:pPr>
        <w:pStyle w:val="Dalodstavce"/>
      </w:pPr>
    </w:p>
    <w:p w14:paraId="059B0250" w14:textId="77777777" w:rsidR="009F1EFA" w:rsidRDefault="009F1EFA" w:rsidP="00221E94">
      <w:pPr>
        <w:pStyle w:val="Dalodstavce"/>
      </w:pPr>
    </w:p>
    <w:tbl>
      <w:tblPr>
        <w:tblW w:w="7140" w:type="dxa"/>
        <w:tblCellMar>
          <w:left w:w="70" w:type="dxa"/>
          <w:right w:w="70" w:type="dxa"/>
        </w:tblCellMar>
        <w:tblLook w:val="04A0" w:firstRow="1" w:lastRow="0" w:firstColumn="1" w:lastColumn="0" w:noHBand="0" w:noVBand="1"/>
      </w:tblPr>
      <w:tblGrid>
        <w:gridCol w:w="2020"/>
        <w:gridCol w:w="1280"/>
        <w:gridCol w:w="1280"/>
        <w:gridCol w:w="1280"/>
        <w:gridCol w:w="1280"/>
      </w:tblGrid>
      <w:tr w:rsidR="00A63837" w:rsidRPr="00A63837" w14:paraId="4E6E25EA" w14:textId="77777777" w:rsidTr="00A63837">
        <w:trPr>
          <w:trHeight w:val="264"/>
        </w:trPr>
        <w:tc>
          <w:tcPr>
            <w:tcW w:w="2020"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6F856DD" w14:textId="77777777" w:rsidR="00A63837" w:rsidRPr="00A63837" w:rsidRDefault="00A63837" w:rsidP="00A63837">
            <w:pPr>
              <w:rPr>
                <w:rFonts w:ascii="Arial" w:hAnsi="Arial" w:cs="Arial"/>
                <w:b/>
                <w:bCs/>
                <w:color w:val="FFFFFF"/>
                <w:sz w:val="20"/>
                <w:szCs w:val="20"/>
              </w:rPr>
            </w:pPr>
            <w:r w:rsidRPr="00A63837">
              <w:rPr>
                <w:rFonts w:ascii="Arial" w:hAnsi="Arial" w:cs="Arial"/>
                <w:b/>
                <w:bCs/>
                <w:color w:val="FFFFFF"/>
                <w:sz w:val="20"/>
                <w:szCs w:val="20"/>
              </w:rPr>
              <w:lastRenderedPageBreak/>
              <w:t>Provozní páka</w:t>
            </w:r>
          </w:p>
        </w:tc>
        <w:tc>
          <w:tcPr>
            <w:tcW w:w="1280" w:type="dxa"/>
            <w:tcBorders>
              <w:top w:val="single" w:sz="4" w:space="0" w:color="auto"/>
              <w:left w:val="nil"/>
              <w:bottom w:val="single" w:sz="4" w:space="0" w:color="auto"/>
              <w:right w:val="single" w:sz="4" w:space="0" w:color="auto"/>
            </w:tcBorders>
            <w:shd w:val="clear" w:color="A5A5A5" w:fill="A5A5A5"/>
            <w:noWrap/>
            <w:vAlign w:val="bottom"/>
            <w:hideMark/>
          </w:tcPr>
          <w:p w14:paraId="30294A35" w14:textId="77777777" w:rsidR="00A63837" w:rsidRPr="00A63837" w:rsidRDefault="00A63837" w:rsidP="00A63837">
            <w:pPr>
              <w:rPr>
                <w:rFonts w:ascii="Arial" w:hAnsi="Arial" w:cs="Arial"/>
                <w:b/>
                <w:bCs/>
                <w:color w:val="FFFFFF"/>
                <w:sz w:val="20"/>
                <w:szCs w:val="20"/>
              </w:rPr>
            </w:pPr>
            <w:r w:rsidRPr="00A63837">
              <w:rPr>
                <w:rFonts w:ascii="Arial" w:hAnsi="Arial" w:cs="Arial"/>
                <w:b/>
                <w:bCs/>
                <w:color w:val="FFFFFF"/>
                <w:sz w:val="20"/>
                <w:szCs w:val="20"/>
              </w:rPr>
              <w:t>2017/2018</w:t>
            </w:r>
          </w:p>
        </w:tc>
        <w:tc>
          <w:tcPr>
            <w:tcW w:w="1280" w:type="dxa"/>
            <w:tcBorders>
              <w:top w:val="single" w:sz="4" w:space="0" w:color="auto"/>
              <w:left w:val="nil"/>
              <w:bottom w:val="single" w:sz="4" w:space="0" w:color="auto"/>
              <w:right w:val="single" w:sz="4" w:space="0" w:color="auto"/>
            </w:tcBorders>
            <w:shd w:val="clear" w:color="A5A5A5" w:fill="A5A5A5"/>
            <w:noWrap/>
            <w:vAlign w:val="bottom"/>
            <w:hideMark/>
          </w:tcPr>
          <w:p w14:paraId="3B1098B7" w14:textId="77777777" w:rsidR="00A63837" w:rsidRPr="00A63837" w:rsidRDefault="00A63837" w:rsidP="00A63837">
            <w:pPr>
              <w:rPr>
                <w:rFonts w:ascii="Arial" w:hAnsi="Arial" w:cs="Arial"/>
                <w:b/>
                <w:bCs/>
                <w:color w:val="FFFFFF"/>
                <w:sz w:val="20"/>
                <w:szCs w:val="20"/>
              </w:rPr>
            </w:pPr>
            <w:r w:rsidRPr="00A63837">
              <w:rPr>
                <w:rFonts w:ascii="Arial" w:hAnsi="Arial" w:cs="Arial"/>
                <w:b/>
                <w:bCs/>
                <w:color w:val="FFFFFF"/>
                <w:sz w:val="20"/>
                <w:szCs w:val="20"/>
              </w:rPr>
              <w:t>2018/2019</w:t>
            </w:r>
          </w:p>
        </w:tc>
        <w:tc>
          <w:tcPr>
            <w:tcW w:w="1280" w:type="dxa"/>
            <w:tcBorders>
              <w:top w:val="single" w:sz="4" w:space="0" w:color="auto"/>
              <w:left w:val="nil"/>
              <w:bottom w:val="single" w:sz="4" w:space="0" w:color="auto"/>
              <w:right w:val="single" w:sz="4" w:space="0" w:color="auto"/>
            </w:tcBorders>
            <w:shd w:val="clear" w:color="A5A5A5" w:fill="A5A5A5"/>
            <w:noWrap/>
            <w:vAlign w:val="bottom"/>
            <w:hideMark/>
          </w:tcPr>
          <w:p w14:paraId="06BF6692" w14:textId="77777777" w:rsidR="00A63837" w:rsidRPr="00A63837" w:rsidRDefault="00A63837" w:rsidP="00A63837">
            <w:pPr>
              <w:rPr>
                <w:rFonts w:ascii="Arial" w:hAnsi="Arial" w:cs="Arial"/>
                <w:b/>
                <w:bCs/>
                <w:color w:val="FFFFFF"/>
                <w:sz w:val="20"/>
                <w:szCs w:val="20"/>
              </w:rPr>
            </w:pPr>
            <w:r w:rsidRPr="00A63837">
              <w:rPr>
                <w:rFonts w:ascii="Arial" w:hAnsi="Arial" w:cs="Arial"/>
                <w:b/>
                <w:bCs/>
                <w:color w:val="FFFFFF"/>
                <w:sz w:val="20"/>
                <w:szCs w:val="20"/>
              </w:rPr>
              <w:t>2019/2020</w:t>
            </w:r>
          </w:p>
        </w:tc>
        <w:tc>
          <w:tcPr>
            <w:tcW w:w="1280" w:type="dxa"/>
            <w:tcBorders>
              <w:top w:val="single" w:sz="4" w:space="0" w:color="auto"/>
              <w:left w:val="nil"/>
              <w:bottom w:val="single" w:sz="4" w:space="0" w:color="auto"/>
              <w:right w:val="single" w:sz="4" w:space="0" w:color="auto"/>
            </w:tcBorders>
            <w:shd w:val="clear" w:color="A5A5A5" w:fill="A5A5A5"/>
            <w:noWrap/>
            <w:vAlign w:val="bottom"/>
            <w:hideMark/>
          </w:tcPr>
          <w:p w14:paraId="77CEAA74" w14:textId="77777777" w:rsidR="00A63837" w:rsidRPr="00A63837" w:rsidRDefault="00A63837" w:rsidP="00A63837">
            <w:pPr>
              <w:rPr>
                <w:rFonts w:ascii="Arial" w:hAnsi="Arial" w:cs="Arial"/>
                <w:b/>
                <w:bCs/>
                <w:color w:val="FFFFFF"/>
                <w:sz w:val="20"/>
                <w:szCs w:val="20"/>
              </w:rPr>
            </w:pPr>
            <w:r w:rsidRPr="00A63837">
              <w:rPr>
                <w:rFonts w:ascii="Arial" w:hAnsi="Arial" w:cs="Arial"/>
                <w:b/>
                <w:bCs/>
                <w:color w:val="FFFFFF"/>
                <w:sz w:val="20"/>
                <w:szCs w:val="20"/>
              </w:rPr>
              <w:t>2020/2021</w:t>
            </w:r>
          </w:p>
        </w:tc>
      </w:tr>
      <w:tr w:rsidR="00A63837" w:rsidRPr="00A63837" w14:paraId="73207890" w14:textId="77777777" w:rsidTr="00A63837">
        <w:trPr>
          <w:trHeight w:val="264"/>
        </w:trPr>
        <w:tc>
          <w:tcPr>
            <w:tcW w:w="2020" w:type="dxa"/>
            <w:tcBorders>
              <w:top w:val="nil"/>
              <w:left w:val="single" w:sz="4" w:space="0" w:color="auto"/>
              <w:bottom w:val="single" w:sz="4" w:space="0" w:color="auto"/>
              <w:right w:val="single" w:sz="4" w:space="0" w:color="auto"/>
            </w:tcBorders>
            <w:shd w:val="clear" w:color="EDEDED" w:fill="EDEDED"/>
            <w:noWrap/>
            <w:vAlign w:val="bottom"/>
            <w:hideMark/>
          </w:tcPr>
          <w:p w14:paraId="72B172EC" w14:textId="77777777" w:rsidR="00A63837" w:rsidRPr="00A63837" w:rsidRDefault="00A63837" w:rsidP="00A63837">
            <w:pPr>
              <w:rPr>
                <w:rFonts w:ascii="Arial" w:hAnsi="Arial" w:cs="Arial"/>
                <w:color w:val="000000"/>
                <w:sz w:val="20"/>
                <w:szCs w:val="20"/>
              </w:rPr>
            </w:pPr>
            <w:r w:rsidRPr="00A63837">
              <w:rPr>
                <w:rFonts w:ascii="Arial" w:hAnsi="Arial" w:cs="Arial"/>
                <w:color w:val="000000"/>
                <w:sz w:val="20"/>
                <w:szCs w:val="20"/>
              </w:rPr>
              <w:t xml:space="preserve">Index provozní páky </w:t>
            </w:r>
          </w:p>
        </w:tc>
        <w:tc>
          <w:tcPr>
            <w:tcW w:w="1280" w:type="dxa"/>
            <w:tcBorders>
              <w:top w:val="single" w:sz="4" w:space="0" w:color="auto"/>
              <w:left w:val="single" w:sz="4" w:space="0" w:color="auto"/>
              <w:bottom w:val="single" w:sz="4" w:space="0" w:color="auto"/>
              <w:right w:val="single" w:sz="4" w:space="0" w:color="auto"/>
            </w:tcBorders>
            <w:shd w:val="clear" w:color="EDEDED" w:fill="63BE7B"/>
            <w:noWrap/>
            <w:vAlign w:val="bottom"/>
            <w:hideMark/>
          </w:tcPr>
          <w:p w14:paraId="1C92BDAD" w14:textId="77777777" w:rsidR="00A63837" w:rsidRPr="00A63837" w:rsidRDefault="00A63837" w:rsidP="00A63837">
            <w:pPr>
              <w:jc w:val="right"/>
              <w:rPr>
                <w:rFonts w:ascii="Arial" w:hAnsi="Arial" w:cs="Arial"/>
                <w:color w:val="000000"/>
                <w:sz w:val="20"/>
                <w:szCs w:val="20"/>
              </w:rPr>
            </w:pPr>
            <w:r w:rsidRPr="00A63837">
              <w:rPr>
                <w:rFonts w:ascii="Arial" w:hAnsi="Arial" w:cs="Arial"/>
                <w:color w:val="000000"/>
                <w:sz w:val="20"/>
                <w:szCs w:val="20"/>
              </w:rPr>
              <w:t>13,61</w:t>
            </w:r>
          </w:p>
        </w:tc>
        <w:tc>
          <w:tcPr>
            <w:tcW w:w="1280" w:type="dxa"/>
            <w:tcBorders>
              <w:top w:val="single" w:sz="4" w:space="0" w:color="auto"/>
              <w:left w:val="single" w:sz="4" w:space="0" w:color="auto"/>
              <w:bottom w:val="single" w:sz="4" w:space="0" w:color="auto"/>
              <w:right w:val="single" w:sz="4" w:space="0" w:color="auto"/>
            </w:tcBorders>
            <w:shd w:val="clear" w:color="EDEDED" w:fill="F8696B"/>
            <w:noWrap/>
            <w:vAlign w:val="bottom"/>
            <w:hideMark/>
          </w:tcPr>
          <w:p w14:paraId="448345BA" w14:textId="77777777" w:rsidR="00A63837" w:rsidRPr="00A63837" w:rsidRDefault="00A63837" w:rsidP="00A63837">
            <w:pPr>
              <w:jc w:val="right"/>
              <w:rPr>
                <w:rFonts w:ascii="Arial" w:hAnsi="Arial" w:cs="Arial"/>
                <w:color w:val="000000"/>
                <w:sz w:val="20"/>
                <w:szCs w:val="20"/>
              </w:rPr>
            </w:pPr>
            <w:r w:rsidRPr="00A63837">
              <w:rPr>
                <w:rFonts w:ascii="Arial" w:hAnsi="Arial" w:cs="Arial"/>
                <w:color w:val="000000"/>
                <w:sz w:val="20"/>
                <w:szCs w:val="20"/>
              </w:rPr>
              <w:t>-163,85</w:t>
            </w:r>
          </w:p>
        </w:tc>
        <w:tc>
          <w:tcPr>
            <w:tcW w:w="1280" w:type="dxa"/>
            <w:tcBorders>
              <w:top w:val="single" w:sz="4" w:space="0" w:color="auto"/>
              <w:left w:val="single" w:sz="4" w:space="0" w:color="auto"/>
              <w:bottom w:val="single" w:sz="4" w:space="0" w:color="auto"/>
              <w:right w:val="single" w:sz="4" w:space="0" w:color="auto"/>
            </w:tcBorders>
            <w:shd w:val="clear" w:color="EDEDED" w:fill="FEE883"/>
            <w:noWrap/>
            <w:vAlign w:val="bottom"/>
            <w:hideMark/>
          </w:tcPr>
          <w:p w14:paraId="7B16CD07" w14:textId="77777777" w:rsidR="00A63837" w:rsidRPr="00A63837" w:rsidRDefault="00A63837" w:rsidP="00A63837">
            <w:pPr>
              <w:jc w:val="right"/>
              <w:rPr>
                <w:rFonts w:ascii="Arial" w:hAnsi="Arial" w:cs="Arial"/>
                <w:color w:val="000000"/>
                <w:sz w:val="20"/>
                <w:szCs w:val="20"/>
              </w:rPr>
            </w:pPr>
            <w:r w:rsidRPr="00A63837">
              <w:rPr>
                <w:rFonts w:ascii="Arial" w:hAnsi="Arial" w:cs="Arial"/>
                <w:color w:val="000000"/>
                <w:sz w:val="20"/>
                <w:szCs w:val="20"/>
              </w:rPr>
              <w:t>-3,17</w:t>
            </w:r>
          </w:p>
        </w:tc>
        <w:tc>
          <w:tcPr>
            <w:tcW w:w="1280" w:type="dxa"/>
            <w:tcBorders>
              <w:top w:val="single" w:sz="4" w:space="0" w:color="auto"/>
              <w:left w:val="single" w:sz="4" w:space="0" w:color="auto"/>
              <w:bottom w:val="single" w:sz="4" w:space="0" w:color="auto"/>
              <w:right w:val="single" w:sz="4" w:space="0" w:color="auto"/>
            </w:tcBorders>
            <w:shd w:val="clear" w:color="EDEDED" w:fill="DEE283"/>
            <w:noWrap/>
            <w:vAlign w:val="bottom"/>
            <w:hideMark/>
          </w:tcPr>
          <w:p w14:paraId="34C48B4A" w14:textId="77777777" w:rsidR="00A63837" w:rsidRPr="00A63837" w:rsidRDefault="00A63837" w:rsidP="00A63837">
            <w:pPr>
              <w:jc w:val="right"/>
              <w:rPr>
                <w:rFonts w:ascii="Arial" w:hAnsi="Arial" w:cs="Arial"/>
                <w:color w:val="000000"/>
                <w:sz w:val="20"/>
                <w:szCs w:val="20"/>
              </w:rPr>
            </w:pPr>
            <w:r w:rsidRPr="00A63837">
              <w:rPr>
                <w:rFonts w:ascii="Arial" w:hAnsi="Arial" w:cs="Arial"/>
                <w:color w:val="000000"/>
                <w:sz w:val="20"/>
                <w:szCs w:val="20"/>
              </w:rPr>
              <w:t>2,80</w:t>
            </w:r>
          </w:p>
        </w:tc>
      </w:tr>
      <w:tr w:rsidR="00A63837" w:rsidRPr="00A63837" w14:paraId="53FEA751" w14:textId="77777777" w:rsidTr="00A63837">
        <w:trPr>
          <w:trHeight w:val="264"/>
        </w:trPr>
        <w:tc>
          <w:tcPr>
            <w:tcW w:w="2020" w:type="dxa"/>
            <w:tcBorders>
              <w:top w:val="nil"/>
              <w:left w:val="single" w:sz="4" w:space="0" w:color="auto"/>
              <w:bottom w:val="single" w:sz="4" w:space="0" w:color="auto"/>
              <w:right w:val="single" w:sz="4" w:space="0" w:color="auto"/>
            </w:tcBorders>
            <w:shd w:val="clear" w:color="EDEDED" w:fill="EDEDED"/>
            <w:noWrap/>
            <w:vAlign w:val="bottom"/>
            <w:hideMark/>
          </w:tcPr>
          <w:p w14:paraId="3FBE0E9E" w14:textId="77777777" w:rsidR="00A63837" w:rsidRPr="00A63837" w:rsidRDefault="00A63837" w:rsidP="00A63837">
            <w:pPr>
              <w:rPr>
                <w:rFonts w:ascii="Arial" w:hAnsi="Arial" w:cs="Arial"/>
                <w:color w:val="000000"/>
                <w:sz w:val="20"/>
                <w:szCs w:val="20"/>
              </w:rPr>
            </w:pPr>
            <w:r w:rsidRPr="00A63837">
              <w:rPr>
                <w:rFonts w:ascii="Arial" w:hAnsi="Arial" w:cs="Arial"/>
                <w:color w:val="000000"/>
                <w:sz w:val="20"/>
                <w:szCs w:val="20"/>
              </w:rPr>
              <w:t xml:space="preserve">Index provozní páky </w:t>
            </w:r>
          </w:p>
        </w:tc>
        <w:tc>
          <w:tcPr>
            <w:tcW w:w="1280" w:type="dxa"/>
            <w:tcBorders>
              <w:top w:val="single" w:sz="4" w:space="0" w:color="auto"/>
              <w:left w:val="single" w:sz="4" w:space="0" w:color="auto"/>
              <w:bottom w:val="single" w:sz="4" w:space="0" w:color="auto"/>
              <w:right w:val="single" w:sz="4" w:space="0" w:color="auto"/>
            </w:tcBorders>
            <w:shd w:val="clear" w:color="EDEDED" w:fill="63BE7B"/>
            <w:noWrap/>
            <w:vAlign w:val="bottom"/>
            <w:hideMark/>
          </w:tcPr>
          <w:p w14:paraId="7943A939" w14:textId="77777777" w:rsidR="00A63837" w:rsidRPr="00A63837" w:rsidRDefault="00A63837" w:rsidP="00A63837">
            <w:pPr>
              <w:jc w:val="right"/>
              <w:rPr>
                <w:rFonts w:ascii="Arial" w:hAnsi="Arial" w:cs="Arial"/>
                <w:color w:val="000000"/>
                <w:sz w:val="20"/>
                <w:szCs w:val="20"/>
              </w:rPr>
            </w:pPr>
            <w:r w:rsidRPr="00A63837">
              <w:rPr>
                <w:rFonts w:ascii="Arial" w:hAnsi="Arial" w:cs="Arial"/>
                <w:color w:val="000000"/>
                <w:sz w:val="20"/>
                <w:szCs w:val="20"/>
              </w:rPr>
              <w:t>1361%</w:t>
            </w:r>
          </w:p>
        </w:tc>
        <w:tc>
          <w:tcPr>
            <w:tcW w:w="1280" w:type="dxa"/>
            <w:tcBorders>
              <w:top w:val="single" w:sz="4" w:space="0" w:color="auto"/>
              <w:left w:val="single" w:sz="4" w:space="0" w:color="auto"/>
              <w:bottom w:val="single" w:sz="4" w:space="0" w:color="auto"/>
              <w:right w:val="single" w:sz="4" w:space="0" w:color="auto"/>
            </w:tcBorders>
            <w:shd w:val="clear" w:color="EDEDED" w:fill="F8696B"/>
            <w:noWrap/>
            <w:vAlign w:val="bottom"/>
            <w:hideMark/>
          </w:tcPr>
          <w:p w14:paraId="33BFEA24" w14:textId="77777777" w:rsidR="00A63837" w:rsidRPr="00A63837" w:rsidRDefault="00A63837" w:rsidP="00A63837">
            <w:pPr>
              <w:jc w:val="right"/>
              <w:rPr>
                <w:rFonts w:ascii="Arial" w:hAnsi="Arial" w:cs="Arial"/>
                <w:color w:val="000000"/>
                <w:sz w:val="20"/>
                <w:szCs w:val="20"/>
              </w:rPr>
            </w:pPr>
            <w:r w:rsidRPr="00A63837">
              <w:rPr>
                <w:rFonts w:ascii="Arial" w:hAnsi="Arial" w:cs="Arial"/>
                <w:color w:val="000000"/>
                <w:sz w:val="20"/>
                <w:szCs w:val="20"/>
              </w:rPr>
              <w:t>-16385%</w:t>
            </w:r>
          </w:p>
        </w:tc>
        <w:tc>
          <w:tcPr>
            <w:tcW w:w="1280" w:type="dxa"/>
            <w:tcBorders>
              <w:top w:val="single" w:sz="4" w:space="0" w:color="auto"/>
              <w:left w:val="single" w:sz="4" w:space="0" w:color="auto"/>
              <w:bottom w:val="single" w:sz="4" w:space="0" w:color="auto"/>
              <w:right w:val="single" w:sz="4" w:space="0" w:color="auto"/>
            </w:tcBorders>
            <w:shd w:val="clear" w:color="EDEDED" w:fill="FEE883"/>
            <w:noWrap/>
            <w:vAlign w:val="bottom"/>
            <w:hideMark/>
          </w:tcPr>
          <w:p w14:paraId="6486396C" w14:textId="77777777" w:rsidR="00A63837" w:rsidRPr="00A63837" w:rsidRDefault="00A63837" w:rsidP="00A63837">
            <w:pPr>
              <w:jc w:val="right"/>
              <w:rPr>
                <w:rFonts w:ascii="Arial" w:hAnsi="Arial" w:cs="Arial"/>
                <w:color w:val="000000"/>
                <w:sz w:val="20"/>
                <w:szCs w:val="20"/>
              </w:rPr>
            </w:pPr>
            <w:r w:rsidRPr="00A63837">
              <w:rPr>
                <w:rFonts w:ascii="Arial" w:hAnsi="Arial" w:cs="Arial"/>
                <w:color w:val="000000"/>
                <w:sz w:val="20"/>
                <w:szCs w:val="20"/>
              </w:rPr>
              <w:t>-317%</w:t>
            </w:r>
          </w:p>
        </w:tc>
        <w:tc>
          <w:tcPr>
            <w:tcW w:w="1280" w:type="dxa"/>
            <w:tcBorders>
              <w:top w:val="single" w:sz="4" w:space="0" w:color="auto"/>
              <w:left w:val="single" w:sz="4" w:space="0" w:color="auto"/>
              <w:bottom w:val="single" w:sz="4" w:space="0" w:color="auto"/>
              <w:right w:val="single" w:sz="4" w:space="0" w:color="auto"/>
            </w:tcBorders>
            <w:shd w:val="clear" w:color="EDEDED" w:fill="DEE283"/>
            <w:noWrap/>
            <w:vAlign w:val="bottom"/>
            <w:hideMark/>
          </w:tcPr>
          <w:p w14:paraId="0C55D5FB" w14:textId="77777777" w:rsidR="00A63837" w:rsidRPr="00A63837" w:rsidRDefault="00A63837" w:rsidP="00A63837">
            <w:pPr>
              <w:jc w:val="right"/>
              <w:rPr>
                <w:rFonts w:ascii="Arial" w:hAnsi="Arial" w:cs="Arial"/>
                <w:color w:val="000000"/>
                <w:sz w:val="20"/>
                <w:szCs w:val="20"/>
              </w:rPr>
            </w:pPr>
            <w:r w:rsidRPr="00A63837">
              <w:rPr>
                <w:rFonts w:ascii="Arial" w:hAnsi="Arial" w:cs="Arial"/>
                <w:color w:val="000000"/>
                <w:sz w:val="20"/>
                <w:szCs w:val="20"/>
              </w:rPr>
              <w:t>280%</w:t>
            </w:r>
          </w:p>
        </w:tc>
      </w:tr>
    </w:tbl>
    <w:p w14:paraId="3C5B9548" w14:textId="0668989B" w:rsidR="00A404E9" w:rsidRDefault="00A63837" w:rsidP="00A63837">
      <w:pPr>
        <w:pStyle w:val="Dalodstavce"/>
        <w:jc w:val="right"/>
      </w:pPr>
      <w:r>
        <w:t xml:space="preserve">Tab. 18: </w:t>
      </w:r>
      <w:r w:rsidR="00A9237F">
        <w:t>Index provozní páky</w:t>
      </w:r>
    </w:p>
    <w:p w14:paraId="05AC0604" w14:textId="426637D9" w:rsidR="00A9237F" w:rsidRDefault="00A9237F" w:rsidP="00A9237F">
      <w:pPr>
        <w:pStyle w:val="Odstavec1"/>
      </w:pPr>
      <w:r>
        <w:t xml:space="preserve">Graf </w:t>
      </w:r>
      <w:r w:rsidR="00C723BF">
        <w:t>19 zobrazuje vývoj indexu provozní páky</w:t>
      </w:r>
      <w:r w:rsidR="00EA7F27">
        <w:t xml:space="preserve">. </w:t>
      </w:r>
      <w:r w:rsidR="00225224">
        <w:t>Nejvy</w:t>
      </w:r>
      <w:r w:rsidR="00EF483D">
        <w:t xml:space="preserve">šší hodnoty indexu provozní páky </w:t>
      </w:r>
      <w:r w:rsidR="00E90493">
        <w:t xml:space="preserve">jsou v období 2017/2018, </w:t>
      </w:r>
      <w:r w:rsidR="00A775C8">
        <w:t xml:space="preserve">jelikož rozdíl zisku je záporný a rozdíl tržeb také, což znamená, že zisk i tržby byly v roce 2018 </w:t>
      </w:r>
      <w:r w:rsidR="00221D18">
        <w:t xml:space="preserve">nižší než v roce 2017. </w:t>
      </w:r>
      <w:r w:rsidR="00E33914">
        <w:t>Jelikož se zisk mezi roky 20</w:t>
      </w:r>
      <w:r w:rsidR="003D2003">
        <w:t xml:space="preserve">18 a 2019 razantně snížil, tak došlo k výraznému poklesu indexu finanční páky na nejnižší hodnotu ve všech sledovaných letech. </w:t>
      </w:r>
      <w:r w:rsidR="00EA7F27">
        <w:t xml:space="preserve">Kvůli tomu, že </w:t>
      </w:r>
      <w:r w:rsidR="00FA2807">
        <w:t xml:space="preserve">fixní a variabilní náklady nejsou </w:t>
      </w:r>
      <w:r w:rsidR="00E71FBC">
        <w:t xml:space="preserve">v rozvaze ani ve výkazu zisku a ztrát sledovány, je praktické </w:t>
      </w:r>
      <w:r w:rsidR="009273E7">
        <w:t>po</w:t>
      </w:r>
      <w:r w:rsidR="00E71FBC">
        <w:t xml:space="preserve">užití provozní páky složité. </w:t>
      </w:r>
      <w:r w:rsidR="00FA2807">
        <w:t xml:space="preserve"> </w:t>
      </w:r>
    </w:p>
    <w:p w14:paraId="575898EE" w14:textId="7DE75E14" w:rsidR="00400B21" w:rsidRDefault="00F04B63" w:rsidP="0083739C">
      <w:pPr>
        <w:pStyle w:val="Dalodstavce"/>
      </w:pPr>
      <w:r>
        <w:t xml:space="preserve"> </w:t>
      </w:r>
      <w:r w:rsidR="0083739C">
        <w:rPr>
          <w:noProof/>
        </w:rPr>
        <w:drawing>
          <wp:inline distT="0" distB="0" distL="0" distR="0" wp14:anchorId="30111E20" wp14:editId="08CB3E18">
            <wp:extent cx="4572000" cy="2125980"/>
            <wp:effectExtent l="0" t="0" r="0" b="7620"/>
            <wp:docPr id="1425433236" name="Graf 1">
              <a:extLst xmlns:a="http://schemas.openxmlformats.org/drawingml/2006/main">
                <a:ext uri="{FF2B5EF4-FFF2-40B4-BE49-F238E27FC236}">
                  <a16:creationId xmlns:a16="http://schemas.microsoft.com/office/drawing/2014/main" id="{6F71D1BE-155F-D395-B3D7-8D2D3592D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F0000B1" w14:textId="21CEBB1F" w:rsidR="00A9237F" w:rsidRDefault="00A9237F" w:rsidP="00A9237F">
      <w:pPr>
        <w:pStyle w:val="Dalodstavce"/>
        <w:jc w:val="right"/>
      </w:pPr>
      <w:r>
        <w:t>Graf 19:</w:t>
      </w:r>
      <w:r w:rsidR="009F1EFA">
        <w:t xml:space="preserve"> </w:t>
      </w:r>
      <w:r w:rsidR="00981043">
        <w:t xml:space="preserve">Vývoj indexu provozní páky </w:t>
      </w:r>
    </w:p>
    <w:p w14:paraId="66984D2B" w14:textId="77777777" w:rsidR="00400B21" w:rsidRDefault="00400B21" w:rsidP="00325491">
      <w:pPr>
        <w:pStyle w:val="Dalodstavce"/>
      </w:pPr>
    </w:p>
    <w:p w14:paraId="418FB41F" w14:textId="306DE6EE" w:rsidR="00400B21" w:rsidRPr="006538B9" w:rsidRDefault="00A5257D" w:rsidP="006538B9">
      <w:pPr>
        <w:pStyle w:val="Nadpis2"/>
        <w:numPr>
          <w:ilvl w:val="1"/>
          <w:numId w:val="29"/>
        </w:numPr>
      </w:pPr>
      <w:bookmarkStart w:id="28" w:name="_Toc134175276"/>
      <w:r w:rsidRPr="006538B9">
        <w:t>Pyramidové rozklady</w:t>
      </w:r>
      <w:bookmarkEnd w:id="28"/>
      <w:r w:rsidRPr="006538B9">
        <w:t xml:space="preserve"> </w:t>
      </w:r>
    </w:p>
    <w:p w14:paraId="0C7E6A7D" w14:textId="58864072" w:rsidR="00F46C83" w:rsidRDefault="00F46C83" w:rsidP="00F46C83">
      <w:pPr>
        <w:pStyle w:val="Odstavec1"/>
      </w:pPr>
      <w:r>
        <w:t>Py</w:t>
      </w:r>
      <w:r w:rsidR="00A21D48">
        <w:t>ramidové rozklady slouží k identifikaci logických a ekonomických vazeb mezi ukazateli a jejich rozkladem</w:t>
      </w:r>
      <w:r w:rsidR="009F4C8B">
        <w:rPr>
          <w:rStyle w:val="Znakapoznpodarou"/>
        </w:rPr>
        <w:footnoteReference w:id="15"/>
      </w:r>
      <w:r w:rsidR="00A21D48">
        <w:t xml:space="preserve">. Pomocí těchto rozkladů můžeme přehledně zachytit v jedné tabulce </w:t>
      </w:r>
      <w:r w:rsidR="00C50BBD">
        <w:t xml:space="preserve">jednotlivé ukazatele související z výnosností, výkonností, finanční stabilitou firmy atd. </w:t>
      </w:r>
    </w:p>
    <w:p w14:paraId="6D710138" w14:textId="77777777" w:rsidR="009F4C8B" w:rsidRDefault="009F4C8B" w:rsidP="009F4C8B">
      <w:pPr>
        <w:pStyle w:val="Dalodstavce"/>
        <w:ind w:firstLine="0"/>
      </w:pPr>
    </w:p>
    <w:p w14:paraId="3CD71477" w14:textId="0D6E539D" w:rsidR="009F4C8B" w:rsidRDefault="009F4C8B" w:rsidP="009F4C8B">
      <w:pPr>
        <w:pStyle w:val="Dalodstavce"/>
        <w:ind w:firstLine="0"/>
      </w:pPr>
      <w:r>
        <w:t xml:space="preserve">Rozklad ROE, RVK byl poprvé použit v nadnárodní chemické společnosti Du Pont </w:t>
      </w:r>
      <w:r w:rsidR="00C107D6">
        <w:t>de Nomeurs. Levá strana diagramu odvozuje ziskovou marži zatímco pravá strana diagramu pracuje s rozvahovými položkam</w:t>
      </w:r>
      <w:r w:rsidR="00235A6C">
        <w:t>i.</w:t>
      </w:r>
    </w:p>
    <w:p w14:paraId="5BF903F1" w14:textId="77777777" w:rsidR="00235A6C" w:rsidRDefault="00235A6C" w:rsidP="009F4C8B">
      <w:pPr>
        <w:pStyle w:val="Dalodstavce"/>
        <w:ind w:firstLine="0"/>
      </w:pPr>
    </w:p>
    <w:p w14:paraId="6B7B73A1" w14:textId="6D267540" w:rsidR="00235A6C" w:rsidRDefault="00235A6C" w:rsidP="009F4C8B">
      <w:pPr>
        <w:pStyle w:val="Dalodstavce"/>
        <w:ind w:firstLine="0"/>
      </w:pPr>
      <w:r w:rsidRPr="00235A6C">
        <w:rPr>
          <w:noProof/>
        </w:rPr>
        <w:drawing>
          <wp:inline distT="0" distB="0" distL="0" distR="0" wp14:anchorId="776D1587" wp14:editId="19818BE7">
            <wp:extent cx="4677410" cy="4253230"/>
            <wp:effectExtent l="0" t="0" r="0" b="1270"/>
            <wp:docPr id="2036279674" name="Obrázek 2036279674"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79674" name="Obrázek 1" descr="Obsah obrázku diagram&#10;&#10;Popis byl vytvořen automaticky"/>
                    <pic:cNvPicPr/>
                  </pic:nvPicPr>
                  <pic:blipFill>
                    <a:blip r:embed="rId65"/>
                    <a:stretch>
                      <a:fillRect/>
                    </a:stretch>
                  </pic:blipFill>
                  <pic:spPr>
                    <a:xfrm>
                      <a:off x="0" y="0"/>
                      <a:ext cx="4677410" cy="4253230"/>
                    </a:xfrm>
                    <a:prstGeom prst="rect">
                      <a:avLst/>
                    </a:prstGeom>
                  </pic:spPr>
                </pic:pic>
              </a:graphicData>
            </a:graphic>
          </wp:inline>
        </w:drawing>
      </w:r>
    </w:p>
    <w:p w14:paraId="11F91D49" w14:textId="2277E908" w:rsidR="00235A6C" w:rsidRPr="009F4C8B" w:rsidRDefault="0095047B" w:rsidP="0095047B">
      <w:pPr>
        <w:pStyle w:val="Dalodstavce"/>
        <w:ind w:firstLine="0"/>
        <w:jc w:val="right"/>
      </w:pPr>
      <w:r>
        <w:t xml:space="preserve">Obr. 8: </w:t>
      </w:r>
      <w:r w:rsidR="00235A6C">
        <w:t>Schéma Du Pont diagramu – rozklad rentability vlastního kapitálu</w:t>
      </w:r>
      <w:r w:rsidR="00235A6C">
        <w:rPr>
          <w:rStyle w:val="Znakapoznpodarou"/>
        </w:rPr>
        <w:footnoteReference w:id="16"/>
      </w:r>
    </w:p>
    <w:p w14:paraId="50968AB2" w14:textId="77777777" w:rsidR="00350850" w:rsidRDefault="00350850" w:rsidP="00235A6C">
      <w:pPr>
        <w:pStyle w:val="Dalodstavce"/>
        <w:ind w:firstLine="0"/>
      </w:pPr>
    </w:p>
    <w:p w14:paraId="63FE585B" w14:textId="3F5CFDBF" w:rsidR="00193CD0" w:rsidRDefault="00193CD0" w:rsidP="00235A6C">
      <w:pPr>
        <w:pStyle w:val="Dalodstavce"/>
        <w:ind w:firstLine="0"/>
      </w:pPr>
      <w:r>
        <w:t xml:space="preserve">V následující tabulce provedeme konkrétní pyramidový rozklad Du Pont na námi zpracovávané společnosti, který vychází ze struktury uvedené výše. </w:t>
      </w:r>
    </w:p>
    <w:p w14:paraId="34E4A428" w14:textId="7CA325FA" w:rsidR="00235A6C" w:rsidRDefault="002C448D" w:rsidP="00235A6C">
      <w:pPr>
        <w:pStyle w:val="Dalodstavce"/>
        <w:ind w:firstLine="0"/>
      </w:pPr>
      <w:r w:rsidRPr="002C448D">
        <w:rPr>
          <w:noProof/>
        </w:rPr>
        <w:lastRenderedPageBreak/>
        <w:drawing>
          <wp:inline distT="0" distB="0" distL="0" distR="0" wp14:anchorId="19F4D37F" wp14:editId="52CE3704">
            <wp:extent cx="5506612" cy="3451538"/>
            <wp:effectExtent l="0" t="0" r="5715" b="3175"/>
            <wp:docPr id="888814317" name="Obrázek 88881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14317" name=""/>
                    <pic:cNvPicPr/>
                  </pic:nvPicPr>
                  <pic:blipFill>
                    <a:blip r:embed="rId66"/>
                    <a:stretch>
                      <a:fillRect/>
                    </a:stretch>
                  </pic:blipFill>
                  <pic:spPr>
                    <a:xfrm>
                      <a:off x="0" y="0"/>
                      <a:ext cx="5521944" cy="3461148"/>
                    </a:xfrm>
                    <a:prstGeom prst="rect">
                      <a:avLst/>
                    </a:prstGeom>
                  </pic:spPr>
                </pic:pic>
              </a:graphicData>
            </a:graphic>
          </wp:inline>
        </w:drawing>
      </w:r>
    </w:p>
    <w:p w14:paraId="3C137EFE" w14:textId="5657AA03" w:rsidR="00350850" w:rsidRDefault="002C448D" w:rsidP="0095047B">
      <w:pPr>
        <w:pStyle w:val="Dalodstavce"/>
        <w:ind w:firstLine="0"/>
        <w:jc w:val="right"/>
      </w:pPr>
      <w:r>
        <w:t>Ta</w:t>
      </w:r>
      <w:r w:rsidR="0095047B">
        <w:t>b. 19</w:t>
      </w:r>
      <w:r>
        <w:t>: Pyramidový rozklad Du Pont, vlastní zpracování</w:t>
      </w:r>
    </w:p>
    <w:p w14:paraId="4ABBFA37" w14:textId="77777777" w:rsidR="002C448D" w:rsidRDefault="002C448D" w:rsidP="00193CD0">
      <w:pPr>
        <w:pStyle w:val="Dalodstavce"/>
        <w:ind w:firstLine="0"/>
      </w:pPr>
    </w:p>
    <w:p w14:paraId="02525562" w14:textId="06180469" w:rsidR="00193CD0" w:rsidRDefault="001B66E7" w:rsidP="00193CD0">
      <w:pPr>
        <w:pStyle w:val="Dalodstavce"/>
        <w:ind w:firstLine="0"/>
      </w:pPr>
      <w:r>
        <w:t>V</w:t>
      </w:r>
      <w:r w:rsidR="00B834F9">
        <w:t> </w:t>
      </w:r>
      <w:r>
        <w:t>případ</w:t>
      </w:r>
      <w:r w:rsidR="00B834F9">
        <w:t xml:space="preserve">ě společnosti Disting s.r.o. došlo v roce </w:t>
      </w:r>
      <w:r w:rsidR="00D905B4">
        <w:t xml:space="preserve">2019 k obrovskému poklesu všech druhů rentabilit. Tento pokles byl způsoben zcela </w:t>
      </w:r>
      <w:r w:rsidR="00B32587">
        <w:t xml:space="preserve">poklesem </w:t>
      </w:r>
      <w:r w:rsidR="00C563F0">
        <w:t>výsledku hospodaření</w:t>
      </w:r>
      <w:r w:rsidR="00381A9F">
        <w:t>, který se v roce 2019 v případě čistého zisku propadl o 4 miliony korun, v případě EBIT o 5 milionů korun.</w:t>
      </w:r>
      <w:r w:rsidR="001F7526">
        <w:t xml:space="preserve"> Zajímavostí této skutečnosti jsou </w:t>
      </w:r>
      <w:r w:rsidR="008B33F5">
        <w:t xml:space="preserve">velmi konstantní tržby, které se od roku 2018 liší pouze o 100 tisíc korun. Pro pochopení této skutečnosti je zapotřebí zmínit </w:t>
      </w:r>
      <w:r w:rsidR="008B6B02">
        <w:t xml:space="preserve">onu dostavbu nové budovy, navýšení počtu zaměstnanců, strojů, rozšíření výroby. Tyto kroky vedly k navýšení </w:t>
      </w:r>
      <w:r w:rsidR="000F4529">
        <w:t>výkonové spotřeby a osobních nákladů, které následně podstatným způsobem „stáhly“ výsledek hospodaření dolů. V případě, že by nenastala koronavirová krize, dal</w:t>
      </w:r>
      <w:r w:rsidR="007A6727">
        <w:t>o</w:t>
      </w:r>
      <w:r w:rsidR="000F4529">
        <w:t xml:space="preserve"> by se ceteris paribus předpokládat</w:t>
      </w:r>
      <w:r w:rsidR="007A6727">
        <w:t xml:space="preserve"> podstatné navýšení tržeb. </w:t>
      </w:r>
    </w:p>
    <w:p w14:paraId="6FBE6E34" w14:textId="481220A1" w:rsidR="00502D91" w:rsidRDefault="00502D91" w:rsidP="00193CD0">
      <w:pPr>
        <w:pStyle w:val="Dalodstavce"/>
        <w:ind w:firstLine="0"/>
      </w:pPr>
      <w:r>
        <w:t xml:space="preserve">V následujících ukazatelích je patrný pokles </w:t>
      </w:r>
      <w:r w:rsidR="00383EB3">
        <w:t xml:space="preserve">obratu celkových, stálých i oběžných aktiv. Tento jev je způsoben </w:t>
      </w:r>
      <w:r w:rsidR="00241905">
        <w:t xml:space="preserve">tím, že se tržby podniku dělí podstatně vyššími částkami představujícími </w:t>
      </w:r>
      <w:r w:rsidR="000E313E">
        <w:t>celková aktiva. V podniku společně s</w:t>
      </w:r>
      <w:r w:rsidR="00535C5D">
        <w:t> </w:t>
      </w:r>
      <w:r w:rsidR="000E313E">
        <w:t>rozšířením</w:t>
      </w:r>
      <w:r w:rsidR="00535C5D">
        <w:t xml:space="preserve"> dlouhobého majetku ve formě nové budovy došlo také k</w:t>
      </w:r>
      <w:r w:rsidR="00E55411">
        <w:t> navýšení pohledávek</w:t>
      </w:r>
      <w:r w:rsidR="00C7242E">
        <w:t xml:space="preserve">, které se promítají do oběžných aktiv. </w:t>
      </w:r>
      <w:r w:rsidR="0003782D">
        <w:t xml:space="preserve">V roce 2020 se oběžná aktiva vracejí na původní úroveň a následně v roce 2021 </w:t>
      </w:r>
      <w:r w:rsidR="0003782D">
        <w:lastRenderedPageBreak/>
        <w:t xml:space="preserve">dokonce klesají, což </w:t>
      </w:r>
      <w:r w:rsidR="00A67490">
        <w:t xml:space="preserve">se promítá následně do rostoucích obratů, avšak </w:t>
      </w:r>
      <w:r w:rsidR="009B7341">
        <w:t xml:space="preserve">dlouhodobý majetek zůstává logicky poměrně konstantní. </w:t>
      </w:r>
    </w:p>
    <w:p w14:paraId="1EF23F3D" w14:textId="46C73282" w:rsidR="006538B9" w:rsidRDefault="006538B9" w:rsidP="00193CD0">
      <w:pPr>
        <w:pStyle w:val="Dalodstavce"/>
        <w:ind w:firstLine="0"/>
      </w:pPr>
    </w:p>
    <w:p w14:paraId="36725C26" w14:textId="4C057A3F" w:rsidR="006538B9" w:rsidRDefault="006538B9" w:rsidP="006538B9">
      <w:pPr>
        <w:pStyle w:val="Nadpis2"/>
        <w:numPr>
          <w:ilvl w:val="1"/>
          <w:numId w:val="29"/>
        </w:numPr>
      </w:pPr>
      <w:bookmarkStart w:id="29" w:name="_Toc134175277"/>
      <w:r>
        <w:t xml:space="preserve">SWOT </w:t>
      </w:r>
      <w:bookmarkEnd w:id="29"/>
      <w:r w:rsidR="00083DFF">
        <w:t>matice</w:t>
      </w:r>
    </w:p>
    <w:p w14:paraId="5C7C6EF6" w14:textId="77777777" w:rsidR="00350850" w:rsidRDefault="00350850" w:rsidP="006538B9">
      <w:pPr>
        <w:pStyle w:val="Dalodstavce"/>
        <w:ind w:firstLine="0"/>
      </w:pPr>
    </w:p>
    <w:tbl>
      <w:tblPr>
        <w:tblStyle w:val="Mkatabulky"/>
        <w:tblW w:w="9613" w:type="dxa"/>
        <w:jc w:val="left"/>
        <w:tblInd w:w="-1140" w:type="dxa"/>
        <w:tblLook w:val="04A0" w:firstRow="1" w:lastRow="0" w:firstColumn="1" w:lastColumn="0" w:noHBand="0" w:noVBand="1"/>
      </w:tblPr>
      <w:tblGrid>
        <w:gridCol w:w="600"/>
        <w:gridCol w:w="4506"/>
        <w:gridCol w:w="4507"/>
      </w:tblGrid>
      <w:tr w:rsidR="006538B9" w:rsidRPr="0077144C" w14:paraId="32C4A331" w14:textId="77777777">
        <w:trPr>
          <w:cnfStyle w:val="100000000000" w:firstRow="1" w:lastRow="0" w:firstColumn="0" w:lastColumn="0" w:oddVBand="0" w:evenVBand="0" w:oddHBand="0" w:evenHBand="0" w:firstRowFirstColumn="0" w:firstRowLastColumn="0" w:lastRowFirstColumn="0" w:lastRowLastColumn="0"/>
          <w:trHeight w:val="534"/>
          <w:jc w:val="left"/>
        </w:trPr>
        <w:tc>
          <w:tcPr>
            <w:tcW w:w="600" w:type="dxa"/>
            <w:shd w:val="clear" w:color="auto" w:fill="D9E2F3" w:themeFill="accent5" w:themeFillTint="33"/>
          </w:tcPr>
          <w:p w14:paraId="291648C6" w14:textId="77777777" w:rsidR="006538B9" w:rsidRPr="0077144C" w:rsidRDefault="006538B9">
            <w:pPr>
              <w:pStyle w:val="Dalodstavce"/>
              <w:spacing w:before="0" w:after="0"/>
              <w:rPr>
                <w:rFonts w:asciiTheme="minorHAnsi" w:hAnsiTheme="minorHAnsi"/>
              </w:rPr>
            </w:pPr>
          </w:p>
        </w:tc>
        <w:tc>
          <w:tcPr>
            <w:tcW w:w="4506" w:type="dxa"/>
            <w:shd w:val="clear" w:color="auto" w:fill="D9E2F3" w:themeFill="accent5" w:themeFillTint="33"/>
          </w:tcPr>
          <w:p w14:paraId="56F28BC0" w14:textId="77777777" w:rsidR="006538B9" w:rsidRPr="0077144C" w:rsidRDefault="006538B9">
            <w:pPr>
              <w:pStyle w:val="Dalodstavce"/>
              <w:spacing w:before="0" w:after="0"/>
              <w:ind w:firstLine="0"/>
              <w:jc w:val="center"/>
              <w:rPr>
                <w:rFonts w:asciiTheme="minorHAnsi" w:hAnsiTheme="minorHAnsi"/>
              </w:rPr>
            </w:pPr>
            <w:r w:rsidRPr="0077144C">
              <w:rPr>
                <w:rFonts w:asciiTheme="minorHAnsi" w:hAnsiTheme="minorHAnsi"/>
              </w:rPr>
              <w:t>POMOCNÉ</w:t>
            </w:r>
          </w:p>
        </w:tc>
        <w:tc>
          <w:tcPr>
            <w:tcW w:w="4507" w:type="dxa"/>
            <w:shd w:val="clear" w:color="auto" w:fill="D9E2F3" w:themeFill="accent5" w:themeFillTint="33"/>
          </w:tcPr>
          <w:p w14:paraId="31E82AF4" w14:textId="77777777" w:rsidR="006538B9" w:rsidRPr="0077144C" w:rsidRDefault="006538B9">
            <w:pPr>
              <w:pStyle w:val="Dalodstavce"/>
              <w:spacing w:before="0" w:after="0"/>
              <w:ind w:firstLine="0"/>
              <w:jc w:val="center"/>
              <w:rPr>
                <w:rFonts w:asciiTheme="minorHAnsi" w:hAnsiTheme="minorHAnsi"/>
              </w:rPr>
            </w:pPr>
            <w:r w:rsidRPr="0077144C">
              <w:rPr>
                <w:rFonts w:asciiTheme="minorHAnsi" w:hAnsiTheme="minorHAnsi"/>
              </w:rPr>
              <w:t>ŠKODLIVÉ</w:t>
            </w:r>
          </w:p>
        </w:tc>
      </w:tr>
      <w:tr w:rsidR="006538B9" w:rsidRPr="0077144C" w14:paraId="593A6CDD" w14:textId="77777777">
        <w:trPr>
          <w:cantSplit/>
          <w:trHeight w:val="2955"/>
          <w:jc w:val="left"/>
        </w:trPr>
        <w:tc>
          <w:tcPr>
            <w:tcW w:w="600" w:type="dxa"/>
            <w:shd w:val="clear" w:color="auto" w:fill="D9E2F3" w:themeFill="accent5" w:themeFillTint="33"/>
            <w:textDirection w:val="btLr"/>
          </w:tcPr>
          <w:p w14:paraId="3CB54C64" w14:textId="77777777" w:rsidR="006538B9" w:rsidRPr="0077144C" w:rsidRDefault="006538B9">
            <w:pPr>
              <w:pStyle w:val="Dalodstavce"/>
              <w:spacing w:before="0" w:after="0"/>
              <w:ind w:left="113" w:right="113" w:firstLine="0"/>
              <w:jc w:val="center"/>
              <w:rPr>
                <w:rFonts w:asciiTheme="minorHAnsi" w:hAnsiTheme="minorHAnsi"/>
              </w:rPr>
            </w:pPr>
            <w:r w:rsidRPr="0077144C">
              <w:rPr>
                <w:rFonts w:asciiTheme="minorHAnsi" w:hAnsiTheme="minorHAnsi"/>
              </w:rPr>
              <w:t>VNITŘNÍ PROSTŘEDÍ</w:t>
            </w:r>
          </w:p>
        </w:tc>
        <w:tc>
          <w:tcPr>
            <w:tcW w:w="4506" w:type="dxa"/>
            <w:vAlign w:val="top"/>
          </w:tcPr>
          <w:p w14:paraId="12407E02" w14:textId="77777777" w:rsidR="006538B9" w:rsidRPr="0077144C" w:rsidRDefault="006538B9">
            <w:pPr>
              <w:pStyle w:val="Dalodstavce"/>
              <w:spacing w:before="0" w:after="0"/>
              <w:ind w:firstLine="0"/>
              <w:jc w:val="left"/>
              <w:rPr>
                <w:rFonts w:asciiTheme="minorHAnsi" w:hAnsiTheme="minorHAnsi"/>
                <w:b/>
                <w:bCs/>
              </w:rPr>
            </w:pPr>
            <w:r w:rsidRPr="0077144C">
              <w:rPr>
                <w:rFonts w:asciiTheme="minorHAnsi" w:hAnsiTheme="minorHAnsi"/>
                <w:b/>
                <w:bCs/>
              </w:rPr>
              <w:t>SILNÉ STRÁNKY (S)</w:t>
            </w:r>
          </w:p>
          <w:p w14:paraId="4F2ED8DC" w14:textId="77777777" w:rsidR="006538B9" w:rsidRDefault="006538B9">
            <w:pPr>
              <w:pStyle w:val="Dalodstavce"/>
              <w:numPr>
                <w:ilvl w:val="0"/>
                <w:numId w:val="21"/>
              </w:numPr>
              <w:spacing w:before="0" w:after="0"/>
              <w:ind w:left="643"/>
              <w:jc w:val="left"/>
              <w:rPr>
                <w:rFonts w:asciiTheme="minorHAnsi" w:hAnsiTheme="minorHAnsi"/>
              </w:rPr>
            </w:pPr>
            <w:r>
              <w:rPr>
                <w:rFonts w:asciiTheme="minorHAnsi" w:hAnsiTheme="minorHAnsi"/>
              </w:rPr>
              <w:t xml:space="preserve"> Vysoké hodnoty rentabilit v letech 2017 a 2018</w:t>
            </w:r>
          </w:p>
          <w:p w14:paraId="53424A5C" w14:textId="77777777" w:rsidR="006538B9" w:rsidRDefault="006538B9">
            <w:pPr>
              <w:pStyle w:val="Dalodstavce"/>
              <w:numPr>
                <w:ilvl w:val="0"/>
                <w:numId w:val="21"/>
              </w:numPr>
              <w:spacing w:before="0" w:after="0"/>
              <w:ind w:left="643"/>
              <w:jc w:val="left"/>
              <w:rPr>
                <w:rFonts w:asciiTheme="minorHAnsi" w:hAnsiTheme="minorHAnsi"/>
              </w:rPr>
            </w:pPr>
            <w:r>
              <w:rPr>
                <w:rFonts w:asciiTheme="minorHAnsi" w:hAnsiTheme="minorHAnsi"/>
              </w:rPr>
              <w:t>Propad hodnot rentabilit v roce 2019 a 2020</w:t>
            </w:r>
          </w:p>
          <w:p w14:paraId="312B8E7A" w14:textId="77777777" w:rsidR="006538B9" w:rsidRDefault="006538B9">
            <w:pPr>
              <w:pStyle w:val="Dalodstavce"/>
              <w:numPr>
                <w:ilvl w:val="0"/>
                <w:numId w:val="21"/>
              </w:numPr>
              <w:spacing w:before="0" w:after="0"/>
              <w:ind w:left="643"/>
              <w:jc w:val="left"/>
              <w:rPr>
                <w:rFonts w:asciiTheme="minorHAnsi" w:hAnsiTheme="minorHAnsi"/>
              </w:rPr>
            </w:pPr>
            <w:r>
              <w:rPr>
                <w:rFonts w:asciiTheme="minorHAnsi" w:hAnsiTheme="minorHAnsi"/>
              </w:rPr>
              <w:t xml:space="preserve">Doba obratu závazků je dlouhodobě vyšší než doba obratu závazků </w:t>
            </w:r>
          </w:p>
          <w:p w14:paraId="5E0D588B" w14:textId="77777777" w:rsidR="006538B9" w:rsidRDefault="006538B9">
            <w:pPr>
              <w:pStyle w:val="Dalodstavce"/>
              <w:numPr>
                <w:ilvl w:val="0"/>
                <w:numId w:val="21"/>
              </w:numPr>
              <w:spacing w:before="0" w:after="0"/>
              <w:ind w:left="643"/>
              <w:jc w:val="left"/>
              <w:rPr>
                <w:rFonts w:asciiTheme="minorHAnsi" w:hAnsiTheme="minorHAnsi"/>
              </w:rPr>
            </w:pPr>
            <w:r>
              <w:rPr>
                <w:rFonts w:asciiTheme="minorHAnsi" w:hAnsiTheme="minorHAnsi"/>
              </w:rPr>
              <w:t xml:space="preserve">Atraktivita firmy pro věřitele </w:t>
            </w:r>
          </w:p>
          <w:p w14:paraId="6F05BD1A" w14:textId="2C0F089D" w:rsidR="006538B9" w:rsidRPr="0077144C" w:rsidRDefault="00E13751">
            <w:pPr>
              <w:pStyle w:val="Dalodstavce"/>
              <w:numPr>
                <w:ilvl w:val="0"/>
                <w:numId w:val="21"/>
              </w:numPr>
              <w:spacing w:before="0" w:after="0"/>
              <w:ind w:left="643"/>
              <w:jc w:val="left"/>
              <w:rPr>
                <w:rFonts w:asciiTheme="minorHAnsi" w:hAnsiTheme="minorHAnsi"/>
              </w:rPr>
            </w:pPr>
            <w:r>
              <w:rPr>
                <w:rFonts w:asciiTheme="minorHAnsi" w:hAnsiTheme="minorHAnsi"/>
                <w:b/>
                <w:bCs/>
              </w:rPr>
              <w:t>Nízké zadlužení,</w:t>
            </w:r>
            <w:r w:rsidR="00231C3D">
              <w:rPr>
                <w:rFonts w:asciiTheme="minorHAnsi" w:hAnsiTheme="minorHAnsi"/>
                <w:b/>
                <w:bCs/>
              </w:rPr>
              <w:t xml:space="preserve"> </w:t>
            </w:r>
            <w:r w:rsidR="0056036C">
              <w:rPr>
                <w:rFonts w:asciiTheme="minorHAnsi" w:hAnsiTheme="minorHAnsi"/>
                <w:b/>
                <w:bCs/>
              </w:rPr>
              <w:t xml:space="preserve">snížení podnikatelského rizika </w:t>
            </w:r>
          </w:p>
        </w:tc>
        <w:tc>
          <w:tcPr>
            <w:tcW w:w="4507" w:type="dxa"/>
            <w:vAlign w:val="top"/>
          </w:tcPr>
          <w:p w14:paraId="4A348608" w14:textId="77777777" w:rsidR="006538B9" w:rsidRPr="0077144C" w:rsidRDefault="006538B9">
            <w:pPr>
              <w:pStyle w:val="Dalodstavce"/>
              <w:spacing w:before="0" w:after="0"/>
              <w:ind w:firstLine="0"/>
              <w:jc w:val="left"/>
              <w:rPr>
                <w:rFonts w:asciiTheme="minorHAnsi" w:hAnsiTheme="minorHAnsi"/>
                <w:b/>
                <w:bCs/>
              </w:rPr>
            </w:pPr>
            <w:r w:rsidRPr="0077144C">
              <w:rPr>
                <w:rFonts w:asciiTheme="minorHAnsi" w:hAnsiTheme="minorHAnsi"/>
                <w:b/>
                <w:bCs/>
              </w:rPr>
              <w:t>SLABÉ STRÁNKY (W)</w:t>
            </w:r>
          </w:p>
          <w:p w14:paraId="5C06B6D9" w14:textId="77777777" w:rsidR="006538B9" w:rsidRDefault="006538B9">
            <w:pPr>
              <w:pStyle w:val="Dalodstavce"/>
              <w:numPr>
                <w:ilvl w:val="0"/>
                <w:numId w:val="21"/>
              </w:numPr>
              <w:spacing w:before="0" w:after="0"/>
              <w:ind w:left="530"/>
              <w:jc w:val="left"/>
              <w:rPr>
                <w:rFonts w:asciiTheme="minorHAnsi" w:hAnsiTheme="minorHAnsi"/>
              </w:rPr>
            </w:pPr>
            <w:r>
              <w:rPr>
                <w:rFonts w:asciiTheme="minorHAnsi" w:hAnsiTheme="minorHAnsi"/>
              </w:rPr>
              <w:t>Velmi vysoký obrat zásob</w:t>
            </w:r>
          </w:p>
          <w:p w14:paraId="08A189CA" w14:textId="77777777" w:rsidR="006538B9" w:rsidRDefault="006538B9">
            <w:pPr>
              <w:pStyle w:val="Dalodstavce"/>
              <w:numPr>
                <w:ilvl w:val="0"/>
                <w:numId w:val="21"/>
              </w:numPr>
              <w:spacing w:before="0" w:after="0"/>
              <w:ind w:left="530"/>
              <w:jc w:val="left"/>
              <w:rPr>
                <w:rFonts w:asciiTheme="minorHAnsi" w:hAnsiTheme="minorHAnsi"/>
              </w:rPr>
            </w:pPr>
            <w:r>
              <w:rPr>
                <w:rFonts w:asciiTheme="minorHAnsi" w:hAnsiTheme="minorHAnsi"/>
              </w:rPr>
              <w:t xml:space="preserve">Pokles produktivity práce při růstu počtu zaměstnanců </w:t>
            </w:r>
          </w:p>
          <w:p w14:paraId="382FAD86" w14:textId="77777777" w:rsidR="006538B9" w:rsidRDefault="006538B9">
            <w:pPr>
              <w:pStyle w:val="Dalodstavce"/>
              <w:numPr>
                <w:ilvl w:val="0"/>
                <w:numId w:val="21"/>
              </w:numPr>
              <w:spacing w:before="0" w:after="0"/>
              <w:ind w:left="530"/>
              <w:jc w:val="left"/>
              <w:rPr>
                <w:rFonts w:asciiTheme="minorHAnsi" w:hAnsiTheme="minorHAnsi"/>
              </w:rPr>
            </w:pPr>
            <w:r w:rsidRPr="007038D6">
              <w:rPr>
                <w:rFonts w:asciiTheme="minorHAnsi" w:hAnsiTheme="minorHAnsi"/>
              </w:rPr>
              <w:t xml:space="preserve">Personální náročnost výroby </w:t>
            </w:r>
          </w:p>
          <w:p w14:paraId="47F16BB1" w14:textId="5D82FB2F" w:rsidR="007F44FE" w:rsidRDefault="0072473C">
            <w:pPr>
              <w:pStyle w:val="Dalodstavce"/>
              <w:numPr>
                <w:ilvl w:val="0"/>
                <w:numId w:val="21"/>
              </w:numPr>
              <w:spacing w:before="0" w:after="0"/>
              <w:ind w:left="530"/>
              <w:jc w:val="left"/>
              <w:rPr>
                <w:rFonts w:asciiTheme="minorHAnsi" w:hAnsiTheme="minorHAnsi"/>
                <w:b/>
                <w:bCs/>
              </w:rPr>
            </w:pPr>
            <w:r>
              <w:rPr>
                <w:rFonts w:asciiTheme="minorHAnsi" w:hAnsiTheme="minorHAnsi"/>
                <w:b/>
                <w:bCs/>
              </w:rPr>
              <w:t>Velká konzerva</w:t>
            </w:r>
            <w:r w:rsidR="007F44FE">
              <w:rPr>
                <w:rFonts w:asciiTheme="minorHAnsi" w:hAnsiTheme="minorHAnsi"/>
                <w:b/>
                <w:bCs/>
              </w:rPr>
              <w:t xml:space="preserve">tivnost – nízké využití finanční páky </w:t>
            </w:r>
            <w:r w:rsidR="00E13751">
              <w:rPr>
                <w:rFonts w:asciiTheme="minorHAnsi" w:hAnsiTheme="minorHAnsi"/>
                <w:b/>
                <w:bCs/>
              </w:rPr>
              <w:t xml:space="preserve">a averze k riziku </w:t>
            </w:r>
          </w:p>
          <w:p w14:paraId="38C784B2" w14:textId="7CAE5B4C" w:rsidR="003D6D6A" w:rsidRPr="008762E6" w:rsidRDefault="00390F24">
            <w:pPr>
              <w:pStyle w:val="Dalodstavce"/>
              <w:numPr>
                <w:ilvl w:val="0"/>
                <w:numId w:val="21"/>
              </w:numPr>
              <w:spacing w:before="0" w:after="0"/>
              <w:ind w:left="530"/>
              <w:jc w:val="left"/>
              <w:rPr>
                <w:rFonts w:asciiTheme="minorHAnsi" w:hAnsiTheme="minorHAnsi"/>
                <w:b/>
                <w:bCs/>
              </w:rPr>
            </w:pPr>
            <w:r w:rsidRPr="008762E6">
              <w:rPr>
                <w:rFonts w:asciiTheme="minorHAnsi" w:hAnsiTheme="minorHAnsi"/>
                <w:b/>
                <w:bCs/>
              </w:rPr>
              <w:t xml:space="preserve">Velké zvýšení výkonové spotřeby a osobních nákladů v době poklesu </w:t>
            </w:r>
            <w:r w:rsidR="008762E6" w:rsidRPr="008762E6">
              <w:rPr>
                <w:rFonts w:asciiTheme="minorHAnsi" w:hAnsiTheme="minorHAnsi"/>
                <w:b/>
                <w:bCs/>
              </w:rPr>
              <w:t>poptávky</w:t>
            </w:r>
          </w:p>
        </w:tc>
      </w:tr>
      <w:tr w:rsidR="006538B9" w:rsidRPr="0077144C" w14:paraId="4FA3F09A" w14:textId="77777777">
        <w:trPr>
          <w:cantSplit/>
          <w:trHeight w:val="2955"/>
          <w:jc w:val="left"/>
        </w:trPr>
        <w:tc>
          <w:tcPr>
            <w:tcW w:w="600" w:type="dxa"/>
            <w:shd w:val="clear" w:color="auto" w:fill="D9E2F3" w:themeFill="accent5" w:themeFillTint="33"/>
            <w:textDirection w:val="btLr"/>
          </w:tcPr>
          <w:p w14:paraId="316F5013" w14:textId="77777777" w:rsidR="006538B9" w:rsidRPr="0077144C" w:rsidRDefault="006538B9">
            <w:pPr>
              <w:pStyle w:val="Dalodstavce"/>
              <w:spacing w:before="0" w:after="0"/>
              <w:ind w:left="113" w:right="113" w:firstLine="0"/>
              <w:jc w:val="center"/>
              <w:rPr>
                <w:rFonts w:asciiTheme="minorHAnsi" w:hAnsiTheme="minorHAnsi"/>
              </w:rPr>
            </w:pPr>
            <w:r w:rsidRPr="0077144C">
              <w:rPr>
                <w:rFonts w:asciiTheme="minorHAnsi" w:hAnsiTheme="minorHAnsi"/>
              </w:rPr>
              <w:t>VNĚJŠÍ PROSTŘEDÍ</w:t>
            </w:r>
          </w:p>
        </w:tc>
        <w:tc>
          <w:tcPr>
            <w:tcW w:w="4506" w:type="dxa"/>
            <w:vAlign w:val="top"/>
          </w:tcPr>
          <w:p w14:paraId="165FB110" w14:textId="77777777" w:rsidR="006538B9" w:rsidRPr="0077144C" w:rsidRDefault="006538B9">
            <w:pPr>
              <w:pStyle w:val="Dalodstavce"/>
              <w:spacing w:before="0" w:after="0"/>
              <w:ind w:firstLine="0"/>
              <w:jc w:val="left"/>
              <w:rPr>
                <w:rFonts w:asciiTheme="minorHAnsi" w:hAnsiTheme="minorHAnsi"/>
                <w:b/>
                <w:bCs/>
              </w:rPr>
            </w:pPr>
            <w:r w:rsidRPr="0077144C">
              <w:rPr>
                <w:rFonts w:asciiTheme="minorHAnsi" w:hAnsiTheme="minorHAnsi"/>
                <w:b/>
                <w:bCs/>
              </w:rPr>
              <w:t>PŘÍLEŽITOSTI (O)</w:t>
            </w:r>
          </w:p>
          <w:p w14:paraId="70186337" w14:textId="77777777" w:rsidR="006538B9" w:rsidRDefault="006538B9">
            <w:pPr>
              <w:pStyle w:val="Dalodstavce"/>
              <w:numPr>
                <w:ilvl w:val="0"/>
                <w:numId w:val="21"/>
              </w:numPr>
              <w:spacing w:before="0" w:after="0"/>
              <w:ind w:left="530"/>
              <w:jc w:val="left"/>
              <w:rPr>
                <w:rFonts w:asciiTheme="minorHAnsi" w:hAnsiTheme="minorHAnsi"/>
              </w:rPr>
            </w:pPr>
            <w:r>
              <w:rPr>
                <w:rFonts w:asciiTheme="minorHAnsi" w:hAnsiTheme="minorHAnsi"/>
              </w:rPr>
              <w:t xml:space="preserve">Volné peněžní prostředky, které společnost může investovat do automatizace a strojů – případné snížení množství zaměstnanců </w:t>
            </w:r>
          </w:p>
          <w:p w14:paraId="72A31BDB" w14:textId="5DF747FD" w:rsidR="006538B9" w:rsidRPr="006E4F54" w:rsidRDefault="008762E6">
            <w:pPr>
              <w:pStyle w:val="Dalodstavce"/>
              <w:numPr>
                <w:ilvl w:val="0"/>
                <w:numId w:val="21"/>
              </w:numPr>
              <w:spacing w:before="0" w:after="0"/>
              <w:ind w:left="530"/>
              <w:jc w:val="left"/>
              <w:rPr>
                <w:rFonts w:asciiTheme="minorHAnsi" w:hAnsiTheme="minorHAnsi"/>
                <w:b/>
                <w:bCs/>
              </w:rPr>
            </w:pPr>
            <w:r w:rsidRPr="006E4F54">
              <w:rPr>
                <w:rFonts w:asciiTheme="minorHAnsi" w:hAnsiTheme="minorHAnsi"/>
                <w:b/>
                <w:bCs/>
              </w:rPr>
              <w:t>Potenciální růst tržeb v budoucnosti díky vyšší</w:t>
            </w:r>
            <w:r w:rsidR="006E4F54" w:rsidRPr="006E4F54">
              <w:rPr>
                <w:rFonts w:asciiTheme="minorHAnsi" w:hAnsiTheme="minorHAnsi"/>
                <w:b/>
                <w:bCs/>
              </w:rPr>
              <w:t>m kapacitám, novým strojům a více zaměst</w:t>
            </w:r>
            <w:r w:rsidR="0056036C">
              <w:rPr>
                <w:rFonts w:asciiTheme="minorHAnsi" w:hAnsiTheme="minorHAnsi"/>
                <w:b/>
                <w:bCs/>
              </w:rPr>
              <w:t>n</w:t>
            </w:r>
            <w:r w:rsidR="006E4F54" w:rsidRPr="006E4F54">
              <w:rPr>
                <w:rFonts w:asciiTheme="minorHAnsi" w:hAnsiTheme="minorHAnsi"/>
                <w:b/>
                <w:bCs/>
              </w:rPr>
              <w:t>ancům</w:t>
            </w:r>
          </w:p>
        </w:tc>
        <w:tc>
          <w:tcPr>
            <w:tcW w:w="4507" w:type="dxa"/>
            <w:vAlign w:val="top"/>
          </w:tcPr>
          <w:p w14:paraId="76708988" w14:textId="77777777" w:rsidR="006538B9" w:rsidRPr="0077144C" w:rsidRDefault="006538B9">
            <w:pPr>
              <w:pStyle w:val="Dalodstavce"/>
              <w:spacing w:before="0" w:after="0"/>
              <w:ind w:firstLine="0"/>
              <w:jc w:val="left"/>
              <w:rPr>
                <w:rFonts w:asciiTheme="minorHAnsi" w:hAnsiTheme="minorHAnsi"/>
                <w:b/>
                <w:bCs/>
              </w:rPr>
            </w:pPr>
            <w:r w:rsidRPr="0077144C">
              <w:rPr>
                <w:rFonts w:asciiTheme="minorHAnsi" w:hAnsiTheme="minorHAnsi"/>
                <w:b/>
                <w:bCs/>
              </w:rPr>
              <w:t>HROZBY (T)</w:t>
            </w:r>
          </w:p>
          <w:p w14:paraId="565912AD" w14:textId="77777777" w:rsidR="006538B9" w:rsidRDefault="006538B9">
            <w:pPr>
              <w:pStyle w:val="Dalodstavce"/>
              <w:numPr>
                <w:ilvl w:val="0"/>
                <w:numId w:val="21"/>
              </w:numPr>
              <w:spacing w:before="0" w:after="0"/>
              <w:ind w:left="530"/>
              <w:jc w:val="left"/>
              <w:rPr>
                <w:rFonts w:asciiTheme="minorHAnsi" w:hAnsiTheme="minorHAnsi"/>
              </w:rPr>
            </w:pPr>
            <w:r>
              <w:rPr>
                <w:rFonts w:asciiTheme="minorHAnsi" w:hAnsiTheme="minorHAnsi"/>
              </w:rPr>
              <w:t xml:space="preserve">Zvyšování úrokových sazeb </w:t>
            </w:r>
          </w:p>
          <w:p w14:paraId="322E62D2" w14:textId="77777777" w:rsidR="006538B9" w:rsidRDefault="006538B9">
            <w:pPr>
              <w:pStyle w:val="Dalodstavce"/>
              <w:numPr>
                <w:ilvl w:val="0"/>
                <w:numId w:val="21"/>
              </w:numPr>
              <w:spacing w:before="0" w:after="0"/>
              <w:ind w:left="530"/>
              <w:jc w:val="left"/>
              <w:rPr>
                <w:rFonts w:asciiTheme="minorHAnsi" w:hAnsiTheme="minorHAnsi"/>
              </w:rPr>
            </w:pPr>
            <w:r>
              <w:rPr>
                <w:rFonts w:asciiTheme="minorHAnsi" w:hAnsiTheme="minorHAnsi"/>
              </w:rPr>
              <w:t xml:space="preserve">Ekonomická nestabilita způsobující nízké zisky společnosti </w:t>
            </w:r>
          </w:p>
          <w:p w14:paraId="3891E250" w14:textId="77777777" w:rsidR="006538B9" w:rsidRPr="0077144C" w:rsidRDefault="006538B9">
            <w:pPr>
              <w:pStyle w:val="Dalodstavce"/>
              <w:numPr>
                <w:ilvl w:val="0"/>
                <w:numId w:val="21"/>
              </w:numPr>
              <w:spacing w:before="0" w:after="0"/>
              <w:ind w:left="530"/>
              <w:jc w:val="left"/>
              <w:rPr>
                <w:rFonts w:asciiTheme="minorHAnsi" w:hAnsiTheme="minorHAnsi"/>
              </w:rPr>
            </w:pPr>
            <w:r>
              <w:rPr>
                <w:rFonts w:asciiTheme="minorHAnsi" w:hAnsiTheme="minorHAnsi"/>
              </w:rPr>
              <w:t>Nedostatečné množství zakázek pro vysoký počet zaměstnanců</w:t>
            </w:r>
          </w:p>
        </w:tc>
      </w:tr>
    </w:tbl>
    <w:p w14:paraId="757B1FBE" w14:textId="77777777" w:rsidR="00325491" w:rsidRDefault="00325491" w:rsidP="00325491">
      <w:pPr>
        <w:pStyle w:val="Odstavec1"/>
      </w:pPr>
    </w:p>
    <w:p w14:paraId="78CD5380" w14:textId="77777777" w:rsidR="00085B95" w:rsidRDefault="00085B95" w:rsidP="00085B95">
      <w:pPr>
        <w:pStyle w:val="Dalodstavce"/>
      </w:pPr>
    </w:p>
    <w:p w14:paraId="510D22F4" w14:textId="77777777" w:rsidR="00085B95" w:rsidRDefault="00085B95" w:rsidP="008C2AE5">
      <w:pPr>
        <w:pStyle w:val="Dalodstavce"/>
        <w:ind w:firstLine="0"/>
      </w:pPr>
    </w:p>
    <w:p w14:paraId="370EED67" w14:textId="18D45B2B" w:rsidR="00085B95" w:rsidRDefault="00157B44" w:rsidP="00BE7DDD">
      <w:pPr>
        <w:pStyle w:val="Nadpis2"/>
        <w:numPr>
          <w:ilvl w:val="1"/>
          <w:numId w:val="29"/>
        </w:numPr>
      </w:pPr>
      <w:bookmarkStart w:id="30" w:name="_Toc134175278"/>
      <w:r>
        <w:lastRenderedPageBreak/>
        <w:t>Závěr kapitoly</w:t>
      </w:r>
      <w:bookmarkEnd w:id="30"/>
      <w:r>
        <w:t xml:space="preserve"> </w:t>
      </w:r>
    </w:p>
    <w:p w14:paraId="5558A162" w14:textId="6ACA9129" w:rsidR="00A77C99" w:rsidRPr="00A77C99" w:rsidRDefault="00157B44" w:rsidP="00A77C99">
      <w:pPr>
        <w:pStyle w:val="Odstavec1"/>
      </w:pPr>
      <w:r>
        <w:t xml:space="preserve">V této kapitole jsme provedli </w:t>
      </w:r>
      <w:r w:rsidR="00437E92">
        <w:t>kompletní analýzu finanční páky a naznačili vývoj indexu provozní páky. Vzhledem k tomu, že k výpočtu provozní páky nemáme dostatečná data, byla provozní páka pouze naznačena a dále tento koncept nebyl rozvíjen</w:t>
      </w:r>
      <w:r w:rsidR="00D52605">
        <w:t xml:space="preserve">. Následně jsme provedli </w:t>
      </w:r>
      <w:r w:rsidR="007037B7">
        <w:t xml:space="preserve">pyramidové rozklady podle metodiky Du Pont, která se zabývá rozkladem </w:t>
      </w:r>
      <w:r w:rsidR="003003A3">
        <w:t xml:space="preserve">rentability až do jednotlivých položek rozvahy. V této části bylo nejdůležitějším zjištěním, že </w:t>
      </w:r>
      <w:r w:rsidR="00A43E84">
        <w:t xml:space="preserve">se rentabilita firmy snižovala primárně kvůli růstu výkonové spotřeby a osobních nákladů, které následně </w:t>
      </w:r>
      <w:r w:rsidR="00A77C99">
        <w:t xml:space="preserve">podstatným způsobem ovlivnily výsledek hospodaření. </w:t>
      </w:r>
    </w:p>
    <w:p w14:paraId="4E9519C4" w14:textId="4376DE72" w:rsidR="00325491" w:rsidRDefault="00325491" w:rsidP="006538B9">
      <w:pPr>
        <w:pStyle w:val="Nadpis1"/>
        <w:numPr>
          <w:ilvl w:val="0"/>
          <w:numId w:val="29"/>
        </w:numPr>
      </w:pPr>
      <w:bookmarkStart w:id="31" w:name="_Toc134175279"/>
      <w:r>
        <w:lastRenderedPageBreak/>
        <w:t>WACC a ukazatel EVA</w:t>
      </w:r>
      <w:bookmarkEnd w:id="31"/>
    </w:p>
    <w:p w14:paraId="0DE1B3FC" w14:textId="08969110" w:rsidR="009F3F0B" w:rsidRDefault="00943DDD" w:rsidP="00943DDD">
      <w:pPr>
        <w:pStyle w:val="Odstavec1"/>
      </w:pPr>
      <w:r>
        <w:t xml:space="preserve">Tato kapitola se </w:t>
      </w:r>
      <w:r w:rsidR="00E6457E">
        <w:t>nejprve zaměří na vymezení a aplikaci ukazatele WACC, tedy průměrných vážených nákladů kapitálu</w:t>
      </w:r>
      <w:r w:rsidR="000C10A5">
        <w:t>. Následně, společně s</w:t>
      </w:r>
      <w:r w:rsidR="00013D49">
        <w:t> </w:t>
      </w:r>
      <w:r w:rsidR="008B3019">
        <w:t>WACC</w:t>
      </w:r>
      <w:r w:rsidR="00013D49">
        <w:t xml:space="preserve"> </w:t>
      </w:r>
      <w:r w:rsidR="001B7E20">
        <w:t>bude vymezen a aplikován výpočet ukazatele EVA, tedy ukazatel ekonomické přidané hodnoty podniku, na námi zvolený podnik</w:t>
      </w:r>
      <w:r w:rsidR="00EC2716">
        <w:t xml:space="preserve"> Disting</w:t>
      </w:r>
      <w:r w:rsidR="001B7E20">
        <w:t xml:space="preserve">. </w:t>
      </w:r>
    </w:p>
    <w:p w14:paraId="68884CA3" w14:textId="554246EB" w:rsidR="00327B3D" w:rsidRDefault="00C5645B" w:rsidP="00327B3D">
      <w:pPr>
        <w:pStyle w:val="Nadpis2"/>
        <w:numPr>
          <w:ilvl w:val="1"/>
          <w:numId w:val="30"/>
        </w:numPr>
      </w:pPr>
      <w:bookmarkStart w:id="32" w:name="_Toc134175280"/>
      <w:r>
        <w:t xml:space="preserve">Průměrné vážené náklady </w:t>
      </w:r>
      <w:r w:rsidR="00327B3D">
        <w:t>kapitálu WACC</w:t>
      </w:r>
      <w:bookmarkEnd w:id="32"/>
    </w:p>
    <w:p w14:paraId="3C0BC751" w14:textId="5EA089A3" w:rsidR="00327B3D" w:rsidRDefault="00327B3D" w:rsidP="00327B3D">
      <w:pPr>
        <w:pStyle w:val="Odstavec1"/>
      </w:pPr>
      <w:r>
        <w:t>Zkratka WACC vychází z</w:t>
      </w:r>
      <w:r w:rsidR="007B7799">
        <w:t xml:space="preserve"> anglického „Weighted </w:t>
      </w:r>
      <w:r w:rsidR="00B32468">
        <w:t>Average Cost of Capital“</w:t>
      </w:r>
      <w:r w:rsidR="000C7FC9">
        <w:t xml:space="preserve"> a představuje vážený průměr nákladů na kapitál. </w:t>
      </w:r>
      <w:r w:rsidR="00734518">
        <w:t xml:space="preserve">WACC tedy představuje průměrné náklady </w:t>
      </w:r>
      <w:r w:rsidR="005649E5">
        <w:t>kapitálu využívaného v podniku k jeho</w:t>
      </w:r>
      <w:r w:rsidR="00D1278C">
        <w:t xml:space="preserve"> činnosti</w:t>
      </w:r>
      <w:r w:rsidR="005A65C5">
        <w:rPr>
          <w:rStyle w:val="Znakapoznpodarou"/>
        </w:rPr>
        <w:footnoteReference w:id="17"/>
      </w:r>
      <w:r w:rsidR="00D1278C">
        <w:t xml:space="preserve">. </w:t>
      </w:r>
      <w:r w:rsidR="00BF1607">
        <w:t xml:space="preserve">Náklady jsou složeny jak z nákladů vlastního, tak i cizího kapitálu a </w:t>
      </w:r>
      <w:r w:rsidR="005A65C5">
        <w:t>k jejich výpočtu se využívá následující vzorec:</w:t>
      </w:r>
    </w:p>
    <w:p w14:paraId="6F5F9D99" w14:textId="77777777" w:rsidR="008E1464" w:rsidRDefault="008E1464" w:rsidP="008E1464">
      <w:pPr>
        <w:pStyle w:val="Dalodstavce"/>
      </w:pPr>
    </w:p>
    <w:p w14:paraId="1E118566" w14:textId="7F75502B" w:rsidR="008E1464" w:rsidRPr="00112E55" w:rsidRDefault="00807BE3" w:rsidP="008E1464">
      <w:pPr>
        <w:pStyle w:val="Dalodstavce"/>
        <w:rPr>
          <w:sz w:val="28"/>
          <w:szCs w:val="28"/>
        </w:rPr>
      </w:pPr>
      <m:oMathPara>
        <m:oMath>
          <m:r>
            <w:rPr>
              <w:rFonts w:ascii="Cambria Math" w:hAnsi="Cambria Math"/>
              <w:sz w:val="28"/>
              <w:szCs w:val="28"/>
            </w:rPr>
            <m:t>WACC=</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m:t>
              </m:r>
            </m:sub>
          </m:sSub>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C</m:t>
              </m:r>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d</m:t>
              </m:r>
            </m:sub>
          </m:sSub>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C</m:t>
              </m:r>
            </m:den>
          </m:f>
          <m:r>
            <w:rPr>
              <w:rFonts w:ascii="Cambria Math" w:hAnsi="Cambria Math"/>
              <w:sz w:val="28"/>
              <w:szCs w:val="28"/>
            </w:rPr>
            <m:t xml:space="preserve">  ×  (1-t)</m:t>
          </m:r>
        </m:oMath>
      </m:oMathPara>
    </w:p>
    <w:p w14:paraId="7F8A5001" w14:textId="3EAF121E" w:rsidR="00112E55" w:rsidRDefault="0071243A" w:rsidP="003C4FBC">
      <w:pPr>
        <w:pStyle w:val="Dalodstavce"/>
        <w:ind w:firstLine="0"/>
      </w:pPr>
      <w:r>
        <w:t>k</w:t>
      </w:r>
      <w:r w:rsidR="003C4FBC">
        <w:t>d</w:t>
      </w:r>
      <w:r>
        <w:t>e</w:t>
      </w:r>
      <w:r w:rsidR="003C4FBC">
        <w:t>:</w:t>
      </w:r>
    </w:p>
    <w:p w14:paraId="49D69548" w14:textId="7304103B" w:rsidR="003C4FBC" w:rsidRPr="0071243A" w:rsidRDefault="003C4FBC" w:rsidP="003C4FBC">
      <w:pPr>
        <w:pStyle w:val="Dalodstavce"/>
        <w:ind w:firstLine="0"/>
      </w:pPr>
      <w:r w:rsidRPr="0071243A">
        <w:t>r</w:t>
      </w:r>
      <w:r w:rsidRPr="0071243A">
        <w:rPr>
          <w:vertAlign w:val="subscript"/>
        </w:rPr>
        <w:t xml:space="preserve">e </w:t>
      </w:r>
      <w:r w:rsidRPr="0071243A">
        <w:t>……..</w:t>
      </w:r>
      <w:r w:rsidR="00CB0DBE" w:rsidRPr="0071243A">
        <w:t xml:space="preserve"> náklady vlastního kapitálu</w:t>
      </w:r>
    </w:p>
    <w:p w14:paraId="17F0A04A" w14:textId="2431F5FB" w:rsidR="00AA259F" w:rsidRPr="0071243A" w:rsidRDefault="00AA259F" w:rsidP="003C4FBC">
      <w:pPr>
        <w:pStyle w:val="Dalodstavce"/>
        <w:ind w:firstLine="0"/>
      </w:pPr>
      <w:r w:rsidRPr="0071243A">
        <w:t>r</w:t>
      </w:r>
      <w:r w:rsidRPr="0071243A">
        <w:rPr>
          <w:vertAlign w:val="subscript"/>
        </w:rPr>
        <w:t>d</w:t>
      </w:r>
      <w:r w:rsidRPr="0071243A">
        <w:t xml:space="preserve"> …. náklady cizího kapitálu</w:t>
      </w:r>
    </w:p>
    <w:p w14:paraId="1341C695" w14:textId="3F5E590D" w:rsidR="00CB0DBE" w:rsidRPr="0071243A" w:rsidRDefault="00CB0DBE" w:rsidP="003C4FBC">
      <w:pPr>
        <w:pStyle w:val="Dalodstavce"/>
        <w:ind w:firstLine="0"/>
      </w:pPr>
      <w:r w:rsidRPr="0071243A">
        <w:t>E ….. objem vlastního kapitálu</w:t>
      </w:r>
    </w:p>
    <w:p w14:paraId="7DDEB87D" w14:textId="0FEF5015" w:rsidR="0003264B" w:rsidRPr="0071243A" w:rsidRDefault="0003264B" w:rsidP="003C4FBC">
      <w:pPr>
        <w:pStyle w:val="Dalodstavce"/>
        <w:ind w:firstLine="0"/>
      </w:pPr>
      <w:r w:rsidRPr="0071243A">
        <w:t xml:space="preserve">C …… celkový kapitál </w:t>
      </w:r>
    </w:p>
    <w:p w14:paraId="344E1F92" w14:textId="6E251DCE" w:rsidR="00AA259F" w:rsidRPr="0071243A" w:rsidRDefault="009A02B8" w:rsidP="003C4FBC">
      <w:pPr>
        <w:pStyle w:val="Dalodstavce"/>
        <w:ind w:firstLine="0"/>
      </w:pPr>
      <w:r w:rsidRPr="0071243A">
        <w:t>D …….. cizí kapitál</w:t>
      </w:r>
    </w:p>
    <w:p w14:paraId="69C93343" w14:textId="4D9D813A" w:rsidR="009A02B8" w:rsidRPr="0071243A" w:rsidRDefault="00465511" w:rsidP="003C4FBC">
      <w:pPr>
        <w:pStyle w:val="Dalodstavce"/>
        <w:ind w:firstLine="0"/>
      </w:pPr>
      <w:r w:rsidRPr="0071243A">
        <w:t>t</w:t>
      </w:r>
      <w:r w:rsidR="009A02B8" w:rsidRPr="0071243A">
        <w:t xml:space="preserve"> …….  sazba daně z</w:t>
      </w:r>
      <w:r w:rsidRPr="0071243A">
        <w:t> </w:t>
      </w:r>
      <w:r w:rsidR="009A02B8" w:rsidRPr="0071243A">
        <w:t>příjmu</w:t>
      </w:r>
    </w:p>
    <w:p w14:paraId="5E0105FA" w14:textId="77777777" w:rsidR="00465511" w:rsidRDefault="00465511" w:rsidP="003C4FBC">
      <w:pPr>
        <w:pStyle w:val="Dalodstavce"/>
        <w:ind w:firstLine="0"/>
      </w:pPr>
    </w:p>
    <w:p w14:paraId="3D8B13B4" w14:textId="1B6D6129" w:rsidR="00465511" w:rsidRDefault="00CC1746" w:rsidP="003C4FBC">
      <w:pPr>
        <w:pStyle w:val="Dalodstavce"/>
        <w:ind w:firstLine="0"/>
      </w:pPr>
      <w:r>
        <w:lastRenderedPageBreak/>
        <w:t xml:space="preserve">Pro výpočet zmíněného vzorce je však potřeba představit ještě další </w:t>
      </w:r>
      <w:r w:rsidR="00E43EBA">
        <w:t xml:space="preserve">vzorec, který </w:t>
      </w:r>
      <w:r w:rsidR="00B04B0A">
        <w:t>vychází z modelu oceňování kapitálových aktiv</w:t>
      </w:r>
      <w:r w:rsidR="007C2311">
        <w:t>, jež má zkratku CAPM (Capital Assets Pricing Model)</w:t>
      </w:r>
      <w:r w:rsidR="005079F5">
        <w:t xml:space="preserve">. </w:t>
      </w:r>
      <w:r w:rsidR="002704FB">
        <w:t xml:space="preserve">Výsledky CAPM modelu si můžeme následně dosadit do rovnice pro výpočet </w:t>
      </w:r>
      <w:r w:rsidR="007005CF">
        <w:t>WACC nákladů na</w:t>
      </w:r>
      <w:r w:rsidR="00C278CF">
        <w:t>místo nákladů vlastního kapitálu r</w:t>
      </w:r>
      <w:r w:rsidR="00F83BC2">
        <w:rPr>
          <w:vertAlign w:val="subscript"/>
        </w:rPr>
        <w:t>e</w:t>
      </w:r>
      <w:r w:rsidR="00F83BC2">
        <w:t xml:space="preserve"> . </w:t>
      </w:r>
    </w:p>
    <w:p w14:paraId="6F0067F4" w14:textId="67774277" w:rsidR="00F83BC2" w:rsidRDefault="00EE353D" w:rsidP="003C4FBC">
      <w:pPr>
        <w:pStyle w:val="Dalodstavce"/>
        <w:ind w:firstLine="0"/>
      </w:pPr>
      <w:r>
        <w:t>Rovnice pro výpočet CAPM modelu je následující:</w:t>
      </w:r>
    </w:p>
    <w:p w14:paraId="032868AD" w14:textId="0C07482B" w:rsidR="00EE353D" w:rsidRPr="003F5AEE" w:rsidRDefault="00020ABA" w:rsidP="003C4FBC">
      <w:pPr>
        <w:pStyle w:val="Dalodstavce"/>
        <w:ind w:firstLine="0"/>
        <w:rPr>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f</m:t>
              </m:r>
            </m:sub>
          </m:sSub>
          <m:r>
            <w:rPr>
              <w:rFonts w:ascii="Cambria Math" w:hAnsi="Cambria Math"/>
              <w:sz w:val="28"/>
              <w:szCs w:val="28"/>
            </w:rPr>
            <m:t>+ β ×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f</m:t>
              </m:r>
            </m:sub>
          </m:sSub>
          <m:r>
            <w:rPr>
              <w:rFonts w:ascii="Cambria Math" w:hAnsi="Cambria Math"/>
              <w:sz w:val="28"/>
              <w:szCs w:val="28"/>
            </w:rPr>
            <m:t>)</m:t>
          </m:r>
        </m:oMath>
      </m:oMathPara>
    </w:p>
    <w:p w14:paraId="6B54DAD2" w14:textId="761D58FC" w:rsidR="0003264B" w:rsidRDefault="0071243A" w:rsidP="003C4FBC">
      <w:pPr>
        <w:pStyle w:val="Dalodstavce"/>
        <w:ind w:firstLine="0"/>
      </w:pPr>
      <w:r>
        <w:t>kde:</w:t>
      </w:r>
    </w:p>
    <w:p w14:paraId="0E625AEE" w14:textId="0A86D6DB" w:rsidR="00822D98" w:rsidRDefault="00C80C6C" w:rsidP="003C4FBC">
      <w:pPr>
        <w:pStyle w:val="Dalodstavce"/>
        <w:ind w:firstLine="0"/>
      </w:pPr>
      <w:r>
        <w:t>r</w:t>
      </w:r>
      <w:r>
        <w:rPr>
          <w:vertAlign w:val="subscript"/>
        </w:rPr>
        <w:t>f</w:t>
      </w:r>
      <w:r>
        <w:t xml:space="preserve"> …. bezriziková míra výnosu</w:t>
      </w:r>
    </w:p>
    <w:p w14:paraId="6589828C" w14:textId="45373736" w:rsidR="00C80C6C" w:rsidRDefault="00C40603" w:rsidP="003C4FBC">
      <w:pPr>
        <w:pStyle w:val="Dalodstavce"/>
        <w:ind w:firstLine="0"/>
      </w:pPr>
      <w:r>
        <w:sym w:font="Symbol" w:char="F062"/>
      </w:r>
      <w:r>
        <w:t xml:space="preserve"> …. </w:t>
      </w:r>
      <w:r w:rsidR="007B0D57">
        <w:t>tržní riziko</w:t>
      </w:r>
    </w:p>
    <w:p w14:paraId="19EABA4D" w14:textId="576F76E8" w:rsidR="007B0D57" w:rsidRDefault="007B0D57" w:rsidP="003C4FBC">
      <w:pPr>
        <w:pStyle w:val="Dalodstavce"/>
        <w:ind w:firstLine="0"/>
      </w:pPr>
      <w:r>
        <w:t>(r</w:t>
      </w:r>
      <w:r>
        <w:rPr>
          <w:vertAlign w:val="subscript"/>
        </w:rPr>
        <w:t>m</w:t>
      </w:r>
      <w:r>
        <w:t xml:space="preserve"> – r</w:t>
      </w:r>
      <w:r>
        <w:rPr>
          <w:vertAlign w:val="subscript"/>
        </w:rPr>
        <w:t>f</w:t>
      </w:r>
      <w:r>
        <w:t xml:space="preserve">) …. </w:t>
      </w:r>
      <w:r w:rsidR="0056362B">
        <w:t xml:space="preserve">tržní riziková prémie </w:t>
      </w:r>
    </w:p>
    <w:p w14:paraId="0B518746" w14:textId="77777777" w:rsidR="0056362B" w:rsidRDefault="0056362B" w:rsidP="003C4FBC">
      <w:pPr>
        <w:pStyle w:val="Dalodstavce"/>
        <w:ind w:firstLine="0"/>
      </w:pPr>
    </w:p>
    <w:p w14:paraId="233643BF" w14:textId="2C33752B" w:rsidR="00805A0F" w:rsidRDefault="00805A0F" w:rsidP="003C4FBC">
      <w:pPr>
        <w:pStyle w:val="Dalodstavce"/>
        <w:ind w:firstLine="0"/>
      </w:pPr>
      <w:r>
        <w:t xml:space="preserve">Do </w:t>
      </w:r>
      <w:r w:rsidR="00567F84">
        <w:t>výše představených rovnic</w:t>
      </w:r>
      <w:r w:rsidR="0033791E">
        <w:t xml:space="preserve"> budou využita data z rozvahy podniku. Někter</w:t>
      </w:r>
      <w:r w:rsidR="00B96446">
        <w:t xml:space="preserve">é sazby a hodnoty je však třeba přizpůsobit aktuální situaci na </w:t>
      </w:r>
      <w:r w:rsidR="00A300B3">
        <w:t xml:space="preserve">trhu, úrokovým sazbám podniku a dalším sazbám. </w:t>
      </w:r>
      <w:r w:rsidR="004952EE">
        <w:t>K tomuto budou využit</w:t>
      </w:r>
      <w:r w:rsidR="00ED719A">
        <w:t>y zprávy a data České národní banky</w:t>
      </w:r>
      <w:r w:rsidR="006D2D11">
        <w:t>, vycházející především ze zprávy o finanční stabilitě z</w:t>
      </w:r>
      <w:r w:rsidR="00F667C6">
        <w:t> </w:t>
      </w:r>
      <w:r w:rsidR="006D2D11">
        <w:t>podzimu</w:t>
      </w:r>
      <w:r w:rsidR="00F667C6">
        <w:t xml:space="preserve"> roku</w:t>
      </w:r>
      <w:r w:rsidR="006D2D11">
        <w:t xml:space="preserve"> 2022</w:t>
      </w:r>
      <w:r w:rsidR="006D2D11">
        <w:rPr>
          <w:rStyle w:val="Znakapoznpodarou"/>
        </w:rPr>
        <w:footnoteReference w:id="18"/>
      </w:r>
      <w:r w:rsidR="00EF662A">
        <w:t>.</w:t>
      </w:r>
    </w:p>
    <w:p w14:paraId="4903DF4C" w14:textId="77943511" w:rsidR="00821B87" w:rsidRPr="000A7E3D" w:rsidRDefault="00821B87" w:rsidP="003C4FBC">
      <w:pPr>
        <w:pStyle w:val="Dalodstavce"/>
        <w:ind w:firstLine="0"/>
      </w:pPr>
      <w:r>
        <w:t>Bezriziková míra výnosu bude vycházet z</w:t>
      </w:r>
      <w:r w:rsidR="00B82497">
        <w:t> </w:t>
      </w:r>
      <w:r>
        <w:t>prů</w:t>
      </w:r>
      <w:r w:rsidR="00B82497">
        <w:t>měrného výnosu pětiletých státních dluhopisů</w:t>
      </w:r>
      <w:r w:rsidR="00510C66">
        <w:t xml:space="preserve"> a bude stanovena na 3</w:t>
      </w:r>
      <w:r w:rsidR="006E4BE8">
        <w:t xml:space="preserve"> </w:t>
      </w:r>
      <w:r w:rsidR="00510C66">
        <w:t xml:space="preserve">%. </w:t>
      </w:r>
      <w:r w:rsidR="0005671A">
        <w:t xml:space="preserve">Tržní riziko </w:t>
      </w:r>
      <w:r w:rsidR="003D335B">
        <w:t xml:space="preserve">vychází </w:t>
      </w:r>
      <w:r w:rsidR="00685655">
        <w:t xml:space="preserve">ukazatelů tržní volatility cen akcií v EU, </w:t>
      </w:r>
      <w:r w:rsidR="00E70E86">
        <w:t xml:space="preserve">kdy jsme se rozhodli pro průměrnou </w:t>
      </w:r>
      <w:r w:rsidR="00AD77D5">
        <w:t xml:space="preserve">hodnotu </w:t>
      </w:r>
      <w:r w:rsidR="005D3FA9">
        <w:t>4</w:t>
      </w:r>
      <w:r w:rsidR="007F43F7">
        <w:t>1</w:t>
      </w:r>
      <w:r w:rsidR="00DF1E9D">
        <w:t xml:space="preserve"> </w:t>
      </w:r>
      <w:r w:rsidR="005D3FA9">
        <w:t>%</w:t>
      </w:r>
      <w:r w:rsidR="00E31C9B">
        <w:t>.</w:t>
      </w:r>
      <w:r w:rsidR="00DF1E9D">
        <w:t xml:space="preserve"> Tržní riziková prémie vychází především z ratingu podniku, který </w:t>
      </w:r>
      <w:r w:rsidR="00EC24F7">
        <w:t>vš</w:t>
      </w:r>
      <w:r w:rsidR="00DF1E9D">
        <w:t>ak pro námi zvolený podnik</w:t>
      </w:r>
      <w:r w:rsidR="00EC24F7">
        <w:t xml:space="preserve"> není veřejně dostupný,</w:t>
      </w:r>
      <w:r w:rsidR="00DF1E9D">
        <w:t xml:space="preserve"> a tak jsme na základě expertního odhadu zvolili </w:t>
      </w:r>
      <w:r w:rsidR="00AD2620">
        <w:t xml:space="preserve">rating A, </w:t>
      </w:r>
      <w:r w:rsidR="00D82026">
        <w:t xml:space="preserve">kterému odpovídá tržní riziková prémie okolo 2 %. </w:t>
      </w:r>
      <w:r w:rsidR="004168FC">
        <w:t xml:space="preserve">Náklady na cizí kapitál, tedy </w:t>
      </w:r>
      <w:r w:rsidR="000A7E3D">
        <w:t>r</w:t>
      </w:r>
      <w:r w:rsidR="000A7E3D">
        <w:rPr>
          <w:vertAlign w:val="subscript"/>
        </w:rPr>
        <w:t>d</w:t>
      </w:r>
      <w:r w:rsidR="000A7E3D">
        <w:t xml:space="preserve"> budou vycházet z průměrné úrokové sazby. Nejvíce úvěrů si námi zpracovávaný podnik bral v roce 2019</w:t>
      </w:r>
      <w:r w:rsidR="0069670E">
        <w:t xml:space="preserve">, kdy se úroková sazba pohybovala okolo 4,5 %. </w:t>
      </w:r>
    </w:p>
    <w:p w14:paraId="19307B6A" w14:textId="77777777" w:rsidR="006E4BE8" w:rsidRDefault="006E4BE8" w:rsidP="003C4FBC">
      <w:pPr>
        <w:pStyle w:val="Dalodstavce"/>
        <w:ind w:firstLine="0"/>
      </w:pPr>
    </w:p>
    <w:p w14:paraId="7A8601B3" w14:textId="6B0BC83B" w:rsidR="006E4BE8" w:rsidRDefault="00A96453" w:rsidP="006E4BE8">
      <w:pPr>
        <w:pStyle w:val="Dalodstavce"/>
        <w:ind w:firstLine="0"/>
        <w:jc w:val="center"/>
      </w:pPr>
      <w:r>
        <w:rPr>
          <w:noProof/>
        </w:rPr>
        <w:lastRenderedPageBreak/>
        <w:drawing>
          <wp:anchor distT="0" distB="0" distL="114300" distR="114300" simplePos="0" relativeHeight="251658267" behindDoc="1" locked="0" layoutInCell="1" allowOverlap="1" wp14:anchorId="2F79338C" wp14:editId="23516B25">
            <wp:simplePos x="0" y="0"/>
            <wp:positionH relativeFrom="column">
              <wp:posOffset>2642870</wp:posOffset>
            </wp:positionH>
            <wp:positionV relativeFrom="paragraph">
              <wp:posOffset>171450</wp:posOffset>
            </wp:positionV>
            <wp:extent cx="2717800" cy="2277110"/>
            <wp:effectExtent l="0" t="0" r="0" b="0"/>
            <wp:wrapTight wrapText="bothSides">
              <wp:wrapPolygon edited="0">
                <wp:start x="0" y="0"/>
                <wp:lineTo x="0" y="21443"/>
                <wp:lineTo x="21499" y="21443"/>
                <wp:lineTo x="21499" y="0"/>
                <wp:lineTo x="0" y="0"/>
              </wp:wrapPolygon>
            </wp:wrapTight>
            <wp:docPr id="464805717" name="Obrázek 464805717" descr="Obsah obrázku tabulka&#10;&#10;Popis byl vytvořen automaticky">
              <a:extLst xmlns:a="http://schemas.openxmlformats.org/drawingml/2006/main">
                <a:ext uri="{FF2B5EF4-FFF2-40B4-BE49-F238E27FC236}">
                  <a16:creationId xmlns:a16="http://schemas.microsoft.com/office/drawing/2014/main" id="{379FA82F-6248-1FF3-A9BD-0B0959979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05717" name="Obrázek 464805717" descr="Obsah obrázku tabulka&#10;&#10;Popis byl vytvořen automaticky">
                      <a:extLst>
                        <a:ext uri="{FF2B5EF4-FFF2-40B4-BE49-F238E27FC236}">
                          <a16:creationId xmlns:a16="http://schemas.microsoft.com/office/drawing/2014/main" id="{379FA82F-6248-1FF3-A9BD-0B09599795FA}"/>
                        </a:ext>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t="6973"/>
                    <a:stretch/>
                  </pic:blipFill>
                  <pic:spPr bwMode="auto">
                    <a:xfrm>
                      <a:off x="0" y="0"/>
                      <a:ext cx="2717800" cy="227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19F">
        <w:rPr>
          <w:noProof/>
        </w:rPr>
        <w:drawing>
          <wp:anchor distT="0" distB="0" distL="114300" distR="114300" simplePos="0" relativeHeight="251658264" behindDoc="1" locked="0" layoutInCell="1" allowOverlap="1" wp14:anchorId="025693A5" wp14:editId="37C711A9">
            <wp:simplePos x="0" y="0"/>
            <wp:positionH relativeFrom="column">
              <wp:posOffset>848741</wp:posOffset>
            </wp:positionH>
            <wp:positionV relativeFrom="paragraph">
              <wp:posOffset>2642235</wp:posOffset>
            </wp:positionV>
            <wp:extent cx="3034800" cy="2520000"/>
            <wp:effectExtent l="0" t="0" r="635" b="0"/>
            <wp:wrapTight wrapText="bothSides">
              <wp:wrapPolygon edited="0">
                <wp:start x="0" y="0"/>
                <wp:lineTo x="0" y="21448"/>
                <wp:lineTo x="21514" y="21448"/>
                <wp:lineTo x="21514" y="0"/>
                <wp:lineTo x="0" y="0"/>
              </wp:wrapPolygon>
            </wp:wrapTight>
            <wp:docPr id="591471724" name="Obrázek 591471724" descr="Obsah obrázku tabulka&#10;&#10;Popis byl vytvořen automaticky">
              <a:extLst xmlns:a="http://schemas.openxmlformats.org/drawingml/2006/main">
                <a:ext uri="{FF2B5EF4-FFF2-40B4-BE49-F238E27FC236}">
                  <a16:creationId xmlns:a16="http://schemas.microsoft.com/office/drawing/2014/main" id="{8D5DB02C-EB49-2CD9-8BE8-47BDC6140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71724" name="Obrázek 591471724" descr="Obsah obrázku tabulka&#10;&#10;Popis byl vytvořen automaticky">
                      <a:extLst>
                        <a:ext uri="{FF2B5EF4-FFF2-40B4-BE49-F238E27FC236}">
                          <a16:creationId xmlns:a16="http://schemas.microsoft.com/office/drawing/2014/main" id="{8D5DB02C-EB49-2CD9-8BE8-47BDC614044E}"/>
                        </a:ext>
                      </a:extLst>
                    </pic:cNvPr>
                    <pic:cNvPicPr>
                      <a:picLocks noChangeAspect="1"/>
                    </pic:cNvPicPr>
                  </pic:nvPicPr>
                  <pic:blipFill rotWithShape="1">
                    <a:blip r:embed="rId68">
                      <a:extLst>
                        <a:ext uri="{28A0092B-C50C-407E-A947-70E740481C1C}">
                          <a14:useLocalDpi xmlns:a14="http://schemas.microsoft.com/office/drawing/2010/main" val="0"/>
                        </a:ext>
                      </a:extLst>
                    </a:blip>
                    <a:srcRect t="8905"/>
                    <a:stretch/>
                  </pic:blipFill>
                  <pic:spPr bwMode="auto">
                    <a:xfrm>
                      <a:off x="0" y="0"/>
                      <a:ext cx="3034800" cy="25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19F">
        <w:rPr>
          <w:noProof/>
        </w:rPr>
        <w:drawing>
          <wp:anchor distT="0" distB="0" distL="114300" distR="114300" simplePos="0" relativeHeight="251658263" behindDoc="1" locked="0" layoutInCell="1" allowOverlap="1" wp14:anchorId="05FAEE6E" wp14:editId="328CC570">
            <wp:simplePos x="0" y="0"/>
            <wp:positionH relativeFrom="column">
              <wp:posOffset>-575437</wp:posOffset>
            </wp:positionH>
            <wp:positionV relativeFrom="paragraph">
              <wp:posOffset>3810</wp:posOffset>
            </wp:positionV>
            <wp:extent cx="3009600" cy="2638800"/>
            <wp:effectExtent l="0" t="0" r="635" b="3175"/>
            <wp:wrapTight wrapText="bothSides">
              <wp:wrapPolygon edited="0">
                <wp:start x="0" y="0"/>
                <wp:lineTo x="0" y="21522"/>
                <wp:lineTo x="21513" y="21522"/>
                <wp:lineTo x="21513" y="0"/>
                <wp:lineTo x="0" y="0"/>
              </wp:wrapPolygon>
            </wp:wrapTight>
            <wp:docPr id="1419617261" name="Obrázek 1419617261" descr="Obsah obrázku tabulka&#10;&#10;Popis byl vytvořen automaticky">
              <a:extLst xmlns:a="http://schemas.openxmlformats.org/drawingml/2006/main">
                <a:ext uri="{FF2B5EF4-FFF2-40B4-BE49-F238E27FC236}">
                  <a16:creationId xmlns:a16="http://schemas.microsoft.com/office/drawing/2014/main" id="{646ED29E-D2D7-B2E5-E0D1-365490645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17261" name="Obrázek 1419617261" descr="Obsah obrázku tabulka&#10;&#10;Popis byl vytvořen automaticky">
                      <a:extLst>
                        <a:ext uri="{FF2B5EF4-FFF2-40B4-BE49-F238E27FC236}">
                          <a16:creationId xmlns:a16="http://schemas.microsoft.com/office/drawing/2014/main" id="{646ED29E-D2D7-B2E5-E0D1-365490645204}"/>
                        </a:ext>
                      </a:extLst>
                    </pic:cNvPr>
                    <pic:cNvPicPr>
                      <a:picLocks noChangeAspect="1"/>
                    </pic:cNvPicPr>
                  </pic:nvPicPr>
                  <pic:blipFill rotWithShape="1">
                    <a:blip r:embed="rId69">
                      <a:extLst>
                        <a:ext uri="{28A0092B-C50C-407E-A947-70E740481C1C}">
                          <a14:useLocalDpi xmlns:a14="http://schemas.microsoft.com/office/drawing/2010/main" val="0"/>
                        </a:ext>
                      </a:extLst>
                    </a:blip>
                    <a:srcRect t="6346"/>
                    <a:stretch/>
                  </pic:blipFill>
                  <pic:spPr bwMode="auto">
                    <a:xfrm>
                      <a:off x="0" y="0"/>
                      <a:ext cx="3009600" cy="263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498BD" w14:textId="247EFCBE" w:rsidR="00745DDD" w:rsidRDefault="00745DDD" w:rsidP="006E4BE8">
      <w:pPr>
        <w:pStyle w:val="Dalodstavce"/>
        <w:ind w:firstLine="0"/>
        <w:jc w:val="center"/>
      </w:pPr>
    </w:p>
    <w:p w14:paraId="09D84A92" w14:textId="4E76C5E8" w:rsidR="00745DDD" w:rsidRDefault="00745DDD" w:rsidP="006E4BE8">
      <w:pPr>
        <w:pStyle w:val="Dalodstavce"/>
        <w:ind w:firstLine="0"/>
        <w:jc w:val="center"/>
      </w:pPr>
    </w:p>
    <w:p w14:paraId="46D22549" w14:textId="77777777" w:rsidR="00745DDD" w:rsidRDefault="00745DDD" w:rsidP="006E4BE8">
      <w:pPr>
        <w:pStyle w:val="Dalodstavce"/>
        <w:ind w:firstLine="0"/>
        <w:jc w:val="center"/>
      </w:pPr>
    </w:p>
    <w:p w14:paraId="312AC97D" w14:textId="5AA80A1E" w:rsidR="00614906" w:rsidRPr="00C80C6C" w:rsidRDefault="00614906" w:rsidP="003C4FBC">
      <w:pPr>
        <w:pStyle w:val="Dalodstavce"/>
        <w:ind w:firstLine="0"/>
      </w:pPr>
    </w:p>
    <w:p w14:paraId="1C421633" w14:textId="77777777" w:rsidR="00822D98" w:rsidRPr="00822D98" w:rsidRDefault="00822D98" w:rsidP="003C4FBC">
      <w:pPr>
        <w:pStyle w:val="Dalodstavce"/>
        <w:ind w:firstLine="0"/>
      </w:pPr>
    </w:p>
    <w:p w14:paraId="18CA3AF9" w14:textId="698D4503" w:rsidR="00815559" w:rsidRPr="00815559" w:rsidRDefault="00815559" w:rsidP="00815559">
      <w:pPr>
        <w:pStyle w:val="Dalodstavce"/>
      </w:pPr>
    </w:p>
    <w:p w14:paraId="52DA87EE" w14:textId="76A1D997" w:rsidR="009F3F0B" w:rsidRDefault="009F3F0B" w:rsidP="003673E2">
      <w:pPr>
        <w:pStyle w:val="Odstavec1"/>
        <w:rPr>
          <w:color w:val="808080" w:themeColor="background1" w:themeShade="80"/>
        </w:rPr>
      </w:pPr>
    </w:p>
    <w:p w14:paraId="372F60F6" w14:textId="7C5107DE" w:rsidR="009F3F0B" w:rsidRDefault="009F3F0B" w:rsidP="00A96453">
      <w:pPr>
        <w:pStyle w:val="Odstavec1"/>
        <w:rPr>
          <w:color w:val="808080" w:themeColor="background1" w:themeShade="80"/>
        </w:rPr>
      </w:pPr>
    </w:p>
    <w:p w14:paraId="70B91188" w14:textId="442A8DD7" w:rsidR="00A96453" w:rsidRDefault="00A96453" w:rsidP="00A96453">
      <w:pPr>
        <w:pStyle w:val="Dalodstavce"/>
      </w:pPr>
    </w:p>
    <w:p w14:paraId="375B3145" w14:textId="77777777" w:rsidR="00A96453" w:rsidRDefault="00A96453" w:rsidP="00A96453">
      <w:pPr>
        <w:pStyle w:val="Dalodstavce"/>
      </w:pPr>
    </w:p>
    <w:p w14:paraId="5D6710A3" w14:textId="354809D9" w:rsidR="00A96453" w:rsidRDefault="00A96453" w:rsidP="00A96453">
      <w:pPr>
        <w:pStyle w:val="Dalodstavce"/>
        <w:jc w:val="right"/>
      </w:pPr>
      <w:r>
        <w:t>Obrázky 9,1O,11: Ukazatele a sazby pro odhad výpočtů, zdroj: ČNB</w:t>
      </w:r>
    </w:p>
    <w:p w14:paraId="2055D93A" w14:textId="77777777" w:rsidR="00E4789F" w:rsidRDefault="00E4789F" w:rsidP="00A96453">
      <w:pPr>
        <w:pStyle w:val="Dalodstavce"/>
        <w:jc w:val="right"/>
      </w:pPr>
    </w:p>
    <w:p w14:paraId="3B15C05C" w14:textId="77777777" w:rsidR="000E7865" w:rsidRDefault="000E7865" w:rsidP="003801A6">
      <w:pPr>
        <w:pStyle w:val="Dalodstavce"/>
        <w:jc w:val="right"/>
      </w:pPr>
    </w:p>
    <w:p w14:paraId="780FF55A" w14:textId="773E217D" w:rsidR="00325491" w:rsidRDefault="000E7865" w:rsidP="003801A6">
      <w:pPr>
        <w:pStyle w:val="Dalodstavce"/>
        <w:jc w:val="right"/>
      </w:pPr>
      <w:r w:rsidRPr="00E4789F">
        <w:rPr>
          <w:noProof/>
        </w:rPr>
        <w:lastRenderedPageBreak/>
        <w:drawing>
          <wp:anchor distT="0" distB="0" distL="114300" distR="114300" simplePos="0" relativeHeight="251658265" behindDoc="1" locked="0" layoutInCell="1" allowOverlap="1" wp14:anchorId="183500E3" wp14:editId="1180A920">
            <wp:simplePos x="0" y="0"/>
            <wp:positionH relativeFrom="column">
              <wp:posOffset>-543560</wp:posOffset>
            </wp:positionH>
            <wp:positionV relativeFrom="paragraph">
              <wp:posOffset>143</wp:posOffset>
            </wp:positionV>
            <wp:extent cx="5208905" cy="2715895"/>
            <wp:effectExtent l="0" t="0" r="0" b="1905"/>
            <wp:wrapTight wrapText="bothSides">
              <wp:wrapPolygon edited="0">
                <wp:start x="0" y="0"/>
                <wp:lineTo x="0" y="21514"/>
                <wp:lineTo x="21539" y="21514"/>
                <wp:lineTo x="21539" y="0"/>
                <wp:lineTo x="0" y="0"/>
              </wp:wrapPolygon>
            </wp:wrapTight>
            <wp:docPr id="1889428586" name="Obrázek 188942858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28586" name="Obrázek 1" descr="Obsah obrázku stůl&#10;&#10;Popis byl vytvořen automaticky"/>
                    <pic:cNvPicPr/>
                  </pic:nvPicPr>
                  <pic:blipFill rotWithShape="1">
                    <a:blip r:embed="rId70">
                      <a:extLst>
                        <a:ext uri="{28A0092B-C50C-407E-A947-70E740481C1C}">
                          <a14:useLocalDpi xmlns:a14="http://schemas.microsoft.com/office/drawing/2010/main" val="0"/>
                        </a:ext>
                      </a:extLst>
                    </a:blip>
                    <a:srcRect t="994" b="1"/>
                    <a:stretch/>
                  </pic:blipFill>
                  <pic:spPr bwMode="auto">
                    <a:xfrm>
                      <a:off x="0" y="0"/>
                      <a:ext cx="5208905" cy="271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89F">
        <w:t>Obr. 12: ratingové hodnocení, zdroj: IDNES</w:t>
      </w:r>
      <w:r w:rsidR="00E4789F">
        <w:rPr>
          <w:rStyle w:val="Znakapoznpodarou"/>
        </w:rPr>
        <w:footnoteReference w:id="19"/>
      </w:r>
    </w:p>
    <w:p w14:paraId="348D3A3A" w14:textId="1FD2DB92" w:rsidR="003801A6" w:rsidRDefault="003801A6" w:rsidP="003801A6">
      <w:pPr>
        <w:pStyle w:val="Odstavec1"/>
      </w:pPr>
    </w:p>
    <w:p w14:paraId="5353311A" w14:textId="54A39848" w:rsidR="003801A6" w:rsidRDefault="003801A6" w:rsidP="003801A6">
      <w:pPr>
        <w:pStyle w:val="Nadpis2"/>
        <w:numPr>
          <w:ilvl w:val="1"/>
          <w:numId w:val="30"/>
        </w:numPr>
      </w:pPr>
      <w:bookmarkStart w:id="33" w:name="_Toc134175281"/>
      <w:r>
        <w:t>Ekonomická přidaná hodnota EVA</w:t>
      </w:r>
      <w:bookmarkEnd w:id="33"/>
    </w:p>
    <w:p w14:paraId="5B0FB555" w14:textId="72B397BD" w:rsidR="003801A6" w:rsidRDefault="009D296D" w:rsidP="003801A6">
      <w:pPr>
        <w:pStyle w:val="Odstavec1"/>
      </w:pPr>
      <w:r>
        <w:t>Ekonomická přidaná hodnota EVA představuje</w:t>
      </w:r>
      <w:r w:rsidR="002A3A71">
        <w:t xml:space="preserve"> hodnotové měřítko výkonnosti podniku. Tento ukazatel spočívá v principu, že </w:t>
      </w:r>
      <w:r w:rsidR="004A2BB9">
        <w:t xml:space="preserve">je třeba, aby investovaný kapitál přinášel vyšší přínos, než jaké jsou na jeho využití v podniku vynaloženy náklady. </w:t>
      </w:r>
      <w:r w:rsidR="001062EC">
        <w:t xml:space="preserve">Právě proto byl v předchozí subkapitole představen a rozebrán průměrný vážený náklad kapitálu WACC, který je </w:t>
      </w:r>
      <w:r w:rsidR="000B2255">
        <w:t>základním vstupem pro vypočítání ukazatele EVA. Ukazatel EVA se vypočítá dle následující rovnice:</w:t>
      </w:r>
    </w:p>
    <w:p w14:paraId="56AC7B79" w14:textId="7146E670" w:rsidR="000B2255" w:rsidRPr="00446971" w:rsidRDefault="000B2255" w:rsidP="000B2255">
      <w:pPr>
        <w:pStyle w:val="Dalodstavce"/>
        <w:rPr>
          <w:sz w:val="28"/>
          <w:szCs w:val="28"/>
        </w:rPr>
      </w:pPr>
      <m:oMathPara>
        <m:oMath>
          <m:r>
            <w:rPr>
              <w:rFonts w:ascii="Cambria Math" w:hAnsi="Cambria Math"/>
              <w:sz w:val="28"/>
              <w:szCs w:val="28"/>
            </w:rPr>
            <m:t>EVA=NOPAT-WACC × C</m:t>
          </m:r>
        </m:oMath>
      </m:oMathPara>
    </w:p>
    <w:p w14:paraId="1A4E5F06" w14:textId="48735922" w:rsidR="00446971" w:rsidRDefault="00446971" w:rsidP="00446971">
      <w:pPr>
        <w:pStyle w:val="Dalodstavce"/>
        <w:ind w:firstLine="0"/>
      </w:pPr>
      <w:r>
        <w:t>Kde:</w:t>
      </w:r>
    </w:p>
    <w:p w14:paraId="057093FC" w14:textId="39ECD8AE" w:rsidR="00446971" w:rsidRDefault="00446971" w:rsidP="00446971">
      <w:pPr>
        <w:pStyle w:val="Dalodstavce"/>
        <w:ind w:firstLine="0"/>
      </w:pPr>
      <w:r>
        <w:t>NOPAT …. Provozní výsledek hospodaření</w:t>
      </w:r>
      <w:r w:rsidR="00ED1DCE">
        <w:t xml:space="preserve"> (NOPAT = EBIT x (1-t))</w:t>
      </w:r>
    </w:p>
    <w:p w14:paraId="658463C1" w14:textId="6724432C" w:rsidR="00ED1DCE" w:rsidRDefault="00ED1DCE" w:rsidP="00446971">
      <w:pPr>
        <w:pStyle w:val="Dalodstavce"/>
        <w:ind w:firstLine="0"/>
      </w:pPr>
      <w:r>
        <w:lastRenderedPageBreak/>
        <w:t>t ….. sazba daně z příjmu</w:t>
      </w:r>
    </w:p>
    <w:p w14:paraId="13DDA236" w14:textId="50E9D580" w:rsidR="00ED1DCE" w:rsidRDefault="00B43BB6" w:rsidP="00446971">
      <w:pPr>
        <w:pStyle w:val="Dalodstavce"/>
        <w:ind w:firstLine="0"/>
      </w:pPr>
      <w:r>
        <w:t>WACC</w:t>
      </w:r>
      <w:r w:rsidR="00231698">
        <w:t xml:space="preserve"> </w:t>
      </w:r>
      <w:r>
        <w:t>… průměrné náklady na celkový dlouhodobě investovaný kapitál</w:t>
      </w:r>
    </w:p>
    <w:p w14:paraId="1539B212" w14:textId="5AD88879" w:rsidR="00231698" w:rsidRDefault="00231698" w:rsidP="00446971">
      <w:pPr>
        <w:pStyle w:val="Dalodstavce"/>
        <w:ind w:firstLine="0"/>
      </w:pPr>
      <w:r>
        <w:t xml:space="preserve">C …… celkový dlouhodobě investovaný kapitál (=pasiva) </w:t>
      </w:r>
    </w:p>
    <w:p w14:paraId="566A3BF0" w14:textId="77777777" w:rsidR="00231698" w:rsidRDefault="00231698" w:rsidP="00446971">
      <w:pPr>
        <w:pStyle w:val="Dalodstavce"/>
        <w:ind w:firstLine="0"/>
      </w:pPr>
    </w:p>
    <w:p w14:paraId="451562E0" w14:textId="77777777" w:rsidR="001C7DF2" w:rsidRDefault="00EA37F4" w:rsidP="00446971">
      <w:pPr>
        <w:pStyle w:val="Dalodstavce"/>
        <w:ind w:firstLine="0"/>
      </w:pPr>
      <w:r>
        <w:t xml:space="preserve">Po vypočtení představené rovnice </w:t>
      </w:r>
      <w:r w:rsidR="007628AE">
        <w:t xml:space="preserve">se výsledky interpretují dle následujících </w:t>
      </w:r>
      <w:r w:rsidR="001C7DF2">
        <w:t>podmínek:</w:t>
      </w:r>
    </w:p>
    <w:p w14:paraId="122385A7" w14:textId="77777777" w:rsidR="0088568D" w:rsidRDefault="001C7DF2" w:rsidP="00446971">
      <w:pPr>
        <w:pStyle w:val="Dalodstavce"/>
        <w:ind w:firstLine="0"/>
      </w:pPr>
      <w:r>
        <w:t>EVA &gt; 0</w:t>
      </w:r>
      <w:r w:rsidR="0088568D">
        <w:t xml:space="preserve"> podnik vytváří hodnotu pro vlastníky</w:t>
      </w:r>
    </w:p>
    <w:p w14:paraId="4E5B11AE" w14:textId="0FDEE022" w:rsidR="0088568D" w:rsidRDefault="0088568D" w:rsidP="00446971">
      <w:pPr>
        <w:pStyle w:val="Dalodstavce"/>
        <w:ind w:firstLine="0"/>
      </w:pPr>
      <w:r>
        <w:t>EVA &lt; 0</w:t>
      </w:r>
      <w:r w:rsidR="004D7EC1">
        <w:t xml:space="preserve"> podnik snižuje svoji hodnotu</w:t>
      </w:r>
    </w:p>
    <w:p w14:paraId="3E2CB983" w14:textId="42A3295B" w:rsidR="004D7EC1" w:rsidRDefault="004D7EC1" w:rsidP="00446971">
      <w:pPr>
        <w:pStyle w:val="Dalodstavce"/>
        <w:ind w:firstLine="0"/>
      </w:pPr>
      <w:r>
        <w:t>EVA = 0 podnik nevytváří hodnotu, investované peníze se nezhodnocují</w:t>
      </w:r>
    </w:p>
    <w:p w14:paraId="54E5B925" w14:textId="54029897" w:rsidR="0082290C" w:rsidRDefault="0082290C" w:rsidP="00446971">
      <w:pPr>
        <w:pStyle w:val="Dalodstavce"/>
        <w:ind w:firstLine="0"/>
      </w:pPr>
    </w:p>
    <w:p w14:paraId="1FC7BFEB" w14:textId="7333D902" w:rsidR="0082290C" w:rsidRDefault="00AF29FF" w:rsidP="00446971">
      <w:pPr>
        <w:pStyle w:val="Dalodstavce"/>
        <w:ind w:firstLine="0"/>
      </w:pPr>
      <w:r w:rsidRPr="00AF29FF">
        <w:rPr>
          <w:noProof/>
        </w:rPr>
        <w:drawing>
          <wp:anchor distT="0" distB="0" distL="114300" distR="114300" simplePos="0" relativeHeight="251658266" behindDoc="1" locked="0" layoutInCell="1" allowOverlap="1" wp14:anchorId="35971963" wp14:editId="302A5D15">
            <wp:simplePos x="0" y="0"/>
            <wp:positionH relativeFrom="column">
              <wp:posOffset>-356870</wp:posOffset>
            </wp:positionH>
            <wp:positionV relativeFrom="paragraph">
              <wp:posOffset>1133475</wp:posOffset>
            </wp:positionV>
            <wp:extent cx="5952490" cy="1887220"/>
            <wp:effectExtent l="0" t="0" r="3810" b="5080"/>
            <wp:wrapTight wrapText="bothSides">
              <wp:wrapPolygon edited="0">
                <wp:start x="0" y="0"/>
                <wp:lineTo x="0" y="21513"/>
                <wp:lineTo x="21568" y="21513"/>
                <wp:lineTo x="21568" y="0"/>
                <wp:lineTo x="0" y="0"/>
              </wp:wrapPolygon>
            </wp:wrapTight>
            <wp:docPr id="848209528" name="Obrázek 84820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09528" name=""/>
                    <pic:cNvPicPr/>
                  </pic:nvPicPr>
                  <pic:blipFill>
                    <a:blip r:embed="rId71">
                      <a:extLst>
                        <a:ext uri="{28A0092B-C50C-407E-A947-70E740481C1C}">
                          <a14:useLocalDpi xmlns:a14="http://schemas.microsoft.com/office/drawing/2010/main" val="0"/>
                        </a:ext>
                      </a:extLst>
                    </a:blip>
                    <a:stretch>
                      <a:fillRect/>
                    </a:stretch>
                  </pic:blipFill>
                  <pic:spPr>
                    <a:xfrm>
                      <a:off x="0" y="0"/>
                      <a:ext cx="5952490" cy="1887220"/>
                    </a:xfrm>
                    <a:prstGeom prst="rect">
                      <a:avLst/>
                    </a:prstGeom>
                  </pic:spPr>
                </pic:pic>
              </a:graphicData>
            </a:graphic>
            <wp14:sizeRelH relativeFrom="margin">
              <wp14:pctWidth>0</wp14:pctWidth>
            </wp14:sizeRelH>
            <wp14:sizeRelV relativeFrom="margin">
              <wp14:pctHeight>0</wp14:pctHeight>
            </wp14:sizeRelV>
          </wp:anchor>
        </w:drawing>
      </w:r>
      <w:r w:rsidR="00231D9D">
        <w:t xml:space="preserve">Následně si za pomocí rozvahy </w:t>
      </w:r>
      <w:r w:rsidR="000C08A2">
        <w:t xml:space="preserve">a zmíněných </w:t>
      </w:r>
      <w:r w:rsidR="00120040">
        <w:t xml:space="preserve">vstupních hodnot můžeme vypočítat kompletní ukazatel WACC a z něj vycházející ukazatel EVA. Jejich výsledky jsou znázorněny v následující tabulce, ve které jsou pro podrobnější pohled do </w:t>
      </w:r>
      <w:r w:rsidR="00CF1DA2">
        <w:t xml:space="preserve">výsledných hodnot doplněny i vstupní data podniku, která byla při jejich výpočtu použita. </w:t>
      </w:r>
    </w:p>
    <w:p w14:paraId="61471B13" w14:textId="4B0AAA4B" w:rsidR="000E7865" w:rsidRDefault="000E7865" w:rsidP="000E7865">
      <w:pPr>
        <w:pStyle w:val="Dalodstavce"/>
        <w:ind w:firstLine="0"/>
        <w:jc w:val="right"/>
      </w:pPr>
      <w:r>
        <w:t xml:space="preserve">Tab. 20: </w:t>
      </w:r>
      <w:r w:rsidR="001640C9">
        <w:t>Pyramidový rozklad ukazatele EVA</w:t>
      </w:r>
    </w:p>
    <w:p w14:paraId="3EA1C666" w14:textId="03F29B4B" w:rsidR="00231698" w:rsidRDefault="00F61E69" w:rsidP="00446971">
      <w:pPr>
        <w:pStyle w:val="Dalodstavce"/>
        <w:ind w:firstLine="0"/>
      </w:pPr>
      <w:r>
        <w:t xml:space="preserve">Na </w:t>
      </w:r>
      <w:r w:rsidR="00A95FBC">
        <w:t xml:space="preserve">tabulce výše je patrné, že nákladové zatížení firmy nevykazuje velké výkyvy a </w:t>
      </w:r>
      <w:r w:rsidR="00442F0C">
        <w:t>k nejpodstatnějšímu vychýlení dojde v roce 2019, kdy se WACC vynásobené kapitálem vyšplhá na 2</w:t>
      </w:r>
      <w:r w:rsidR="00AC54B0">
        <w:t>,15 milionů korun. Tento skok je způsoben především zvýšeným úvěrem, který si firma v roce 2019 vzala. V roce 2020 zde již vidíme snižující se tendenci, jelikož firma cizí kapitál úspěšně splácí.</w:t>
      </w:r>
      <w:r w:rsidR="00FB35C3">
        <w:t xml:space="preserve"> Zároveň je také viditelné, že jsou hodnoty podstatně navýšeny v porovnání s rokem 2017, kdy </w:t>
      </w:r>
      <w:r w:rsidR="00447D37">
        <w:t xml:space="preserve">firma téměř nevyužívala cizí </w:t>
      </w:r>
      <w:r w:rsidR="00D722DD">
        <w:t>zdroje,</w:t>
      </w:r>
      <w:r w:rsidR="00447D37">
        <w:t xml:space="preserve"> a tak se WACC x C pohybovali okolo 1,3 milionu korun. </w:t>
      </w:r>
      <w:r w:rsidR="00D722DD">
        <w:lastRenderedPageBreak/>
        <w:t xml:space="preserve">V ekonomickém ukazateli EVA se však projevuje pokles podstatněji, kdy až do roku 2018 Disting s.r.o. s přehledem zvyšoval svoji </w:t>
      </w:r>
      <w:r w:rsidR="0070448E">
        <w:t xml:space="preserve">hodnotu díky velmi dobrým výsledkům hospodaření. Není tomu takto však v roce 2019, kdy se výsledky propadají díky </w:t>
      </w:r>
      <w:r w:rsidR="00DF489C">
        <w:t xml:space="preserve">stavbě nové budovy, velké nákladové náročnosti, která s tím souvisí a následně v roce 2020 vidíme propad z důvodu působení koronavirové krize. </w:t>
      </w:r>
      <w:r w:rsidR="008B505B">
        <w:t xml:space="preserve">Tento propad je však zásadně nižší v roce 2021, kdy podnik téměř vytváří hodnotu a nedochází k takové ztrátě hodnoty, jako v předchozích letech. </w:t>
      </w:r>
      <w:r w:rsidR="00504F39">
        <w:t>Tento skok může signalizovat zlepšující se tendenci a případně růst hodnoty firmy v letech 2022 a dalších. Firma však bude muset</w:t>
      </w:r>
      <w:r w:rsidR="008E4F6C">
        <w:t xml:space="preserve"> nejprve vytvořit hodnotu, kterou v předchozích letech ztratila a až následně začne zvyšovat svoji hodnotu „do plusových bodů“, aby se navrátila na velmi pozitivní výsledky </w:t>
      </w:r>
      <w:r w:rsidR="002E70B1">
        <w:t>trvající do roku 2018. Ukazatel EVA však přinejmenším naznačuje velmi pozitivní očekávání</w:t>
      </w:r>
      <w:r w:rsidR="009F78D3">
        <w:t xml:space="preserve"> týkající se budoucnosti firmy. </w:t>
      </w:r>
    </w:p>
    <w:p w14:paraId="0CCFC31C" w14:textId="77777777" w:rsidR="009F78D3" w:rsidRDefault="009F78D3" w:rsidP="00446971">
      <w:pPr>
        <w:pStyle w:val="Dalodstavce"/>
        <w:ind w:firstLine="0"/>
      </w:pPr>
    </w:p>
    <w:p w14:paraId="34157EC0" w14:textId="4C1421DE" w:rsidR="009F78D3" w:rsidRDefault="009F78D3" w:rsidP="009F78D3">
      <w:pPr>
        <w:pStyle w:val="Nadpis2"/>
        <w:numPr>
          <w:ilvl w:val="1"/>
          <w:numId w:val="30"/>
        </w:numPr>
      </w:pPr>
      <w:bookmarkStart w:id="34" w:name="_Toc134175282"/>
      <w:r>
        <w:lastRenderedPageBreak/>
        <w:t>SWOT matice</w:t>
      </w:r>
      <w:bookmarkEnd w:id="34"/>
    </w:p>
    <w:tbl>
      <w:tblPr>
        <w:tblStyle w:val="Mkatabulky"/>
        <w:tblW w:w="9613" w:type="dxa"/>
        <w:jc w:val="left"/>
        <w:tblInd w:w="-1140" w:type="dxa"/>
        <w:tblLook w:val="04A0" w:firstRow="1" w:lastRow="0" w:firstColumn="1" w:lastColumn="0" w:noHBand="0" w:noVBand="1"/>
      </w:tblPr>
      <w:tblGrid>
        <w:gridCol w:w="600"/>
        <w:gridCol w:w="4506"/>
        <w:gridCol w:w="4507"/>
      </w:tblGrid>
      <w:tr w:rsidR="009F78D3" w:rsidRPr="0077144C" w14:paraId="10141D5D" w14:textId="77777777">
        <w:trPr>
          <w:cnfStyle w:val="100000000000" w:firstRow="1" w:lastRow="0" w:firstColumn="0" w:lastColumn="0" w:oddVBand="0" w:evenVBand="0" w:oddHBand="0" w:evenHBand="0" w:firstRowFirstColumn="0" w:firstRowLastColumn="0" w:lastRowFirstColumn="0" w:lastRowLastColumn="0"/>
          <w:trHeight w:val="534"/>
          <w:jc w:val="left"/>
        </w:trPr>
        <w:tc>
          <w:tcPr>
            <w:tcW w:w="600" w:type="dxa"/>
            <w:shd w:val="clear" w:color="auto" w:fill="D9E2F3" w:themeFill="accent5" w:themeFillTint="33"/>
          </w:tcPr>
          <w:p w14:paraId="2A976811" w14:textId="77777777" w:rsidR="009F78D3" w:rsidRPr="0077144C" w:rsidRDefault="009F78D3" w:rsidP="00BD350E">
            <w:pPr>
              <w:pStyle w:val="Dalodstavce"/>
              <w:spacing w:before="0" w:after="0"/>
              <w:rPr>
                <w:rFonts w:asciiTheme="minorHAnsi" w:hAnsiTheme="minorHAnsi"/>
              </w:rPr>
            </w:pPr>
          </w:p>
        </w:tc>
        <w:tc>
          <w:tcPr>
            <w:tcW w:w="4506" w:type="dxa"/>
            <w:shd w:val="clear" w:color="auto" w:fill="D9E2F3" w:themeFill="accent5" w:themeFillTint="33"/>
          </w:tcPr>
          <w:p w14:paraId="0D802E78" w14:textId="77777777" w:rsidR="009F78D3" w:rsidRPr="0077144C" w:rsidRDefault="009F78D3" w:rsidP="00BD350E">
            <w:pPr>
              <w:pStyle w:val="Dalodstavce"/>
              <w:spacing w:before="0" w:after="0"/>
              <w:ind w:firstLine="0"/>
              <w:jc w:val="center"/>
              <w:rPr>
                <w:rFonts w:asciiTheme="minorHAnsi" w:hAnsiTheme="minorHAnsi"/>
              </w:rPr>
            </w:pPr>
            <w:r w:rsidRPr="0077144C">
              <w:rPr>
                <w:rFonts w:asciiTheme="minorHAnsi" w:hAnsiTheme="minorHAnsi"/>
              </w:rPr>
              <w:t>POMOCNÉ</w:t>
            </w:r>
          </w:p>
        </w:tc>
        <w:tc>
          <w:tcPr>
            <w:tcW w:w="4507" w:type="dxa"/>
            <w:shd w:val="clear" w:color="auto" w:fill="D9E2F3" w:themeFill="accent5" w:themeFillTint="33"/>
          </w:tcPr>
          <w:p w14:paraId="0983605A" w14:textId="77777777" w:rsidR="009F78D3" w:rsidRPr="0077144C" w:rsidRDefault="009F78D3" w:rsidP="00BD350E">
            <w:pPr>
              <w:pStyle w:val="Dalodstavce"/>
              <w:spacing w:before="0" w:after="0"/>
              <w:ind w:firstLine="0"/>
              <w:jc w:val="center"/>
              <w:rPr>
                <w:rFonts w:asciiTheme="minorHAnsi" w:hAnsiTheme="minorHAnsi"/>
              </w:rPr>
            </w:pPr>
            <w:r w:rsidRPr="0077144C">
              <w:rPr>
                <w:rFonts w:asciiTheme="minorHAnsi" w:hAnsiTheme="minorHAnsi"/>
              </w:rPr>
              <w:t>ŠKODLIVÉ</w:t>
            </w:r>
          </w:p>
        </w:tc>
      </w:tr>
      <w:tr w:rsidR="009F78D3" w:rsidRPr="0077144C" w14:paraId="43B0BDFB" w14:textId="77777777">
        <w:trPr>
          <w:cantSplit/>
          <w:trHeight w:val="2955"/>
          <w:jc w:val="left"/>
        </w:trPr>
        <w:tc>
          <w:tcPr>
            <w:tcW w:w="600" w:type="dxa"/>
            <w:shd w:val="clear" w:color="auto" w:fill="D9E2F3" w:themeFill="accent5" w:themeFillTint="33"/>
            <w:textDirection w:val="btLr"/>
          </w:tcPr>
          <w:p w14:paraId="6EB722E4" w14:textId="77777777" w:rsidR="009F78D3" w:rsidRPr="0077144C" w:rsidRDefault="009F78D3" w:rsidP="00BD350E">
            <w:pPr>
              <w:pStyle w:val="Dalodstavce"/>
              <w:spacing w:before="0" w:after="0"/>
              <w:ind w:left="113" w:right="113" w:firstLine="0"/>
              <w:jc w:val="center"/>
              <w:rPr>
                <w:rFonts w:asciiTheme="minorHAnsi" w:hAnsiTheme="minorHAnsi"/>
              </w:rPr>
            </w:pPr>
            <w:r w:rsidRPr="0077144C">
              <w:rPr>
                <w:rFonts w:asciiTheme="minorHAnsi" w:hAnsiTheme="minorHAnsi"/>
              </w:rPr>
              <w:t>VNITŘNÍ PROSTŘEDÍ</w:t>
            </w:r>
          </w:p>
        </w:tc>
        <w:tc>
          <w:tcPr>
            <w:tcW w:w="4506" w:type="dxa"/>
            <w:vAlign w:val="top"/>
          </w:tcPr>
          <w:p w14:paraId="02C2882E" w14:textId="77777777" w:rsidR="009F78D3" w:rsidRPr="0077144C" w:rsidRDefault="009F78D3" w:rsidP="00BD350E">
            <w:pPr>
              <w:pStyle w:val="Dalodstavce"/>
              <w:spacing w:before="0" w:after="0"/>
              <w:ind w:firstLine="0"/>
              <w:jc w:val="left"/>
              <w:rPr>
                <w:rFonts w:asciiTheme="minorHAnsi" w:hAnsiTheme="minorHAnsi"/>
                <w:b/>
                <w:bCs/>
              </w:rPr>
            </w:pPr>
            <w:r w:rsidRPr="0077144C">
              <w:rPr>
                <w:rFonts w:asciiTheme="minorHAnsi" w:hAnsiTheme="minorHAnsi"/>
                <w:b/>
                <w:bCs/>
              </w:rPr>
              <w:t>SILNÉ STRÁNKY (S)</w:t>
            </w:r>
          </w:p>
          <w:p w14:paraId="7BEF1038" w14:textId="77777777" w:rsidR="009F78D3" w:rsidRDefault="009F78D3" w:rsidP="00BD350E">
            <w:pPr>
              <w:pStyle w:val="Dalodstavce"/>
              <w:numPr>
                <w:ilvl w:val="0"/>
                <w:numId w:val="21"/>
              </w:numPr>
              <w:spacing w:before="0" w:after="0"/>
              <w:ind w:left="643"/>
              <w:jc w:val="left"/>
              <w:rPr>
                <w:rFonts w:asciiTheme="minorHAnsi" w:hAnsiTheme="minorHAnsi"/>
              </w:rPr>
            </w:pPr>
            <w:r>
              <w:rPr>
                <w:rFonts w:asciiTheme="minorHAnsi" w:hAnsiTheme="minorHAnsi"/>
              </w:rPr>
              <w:t xml:space="preserve"> Vysoké hodnoty rentabilit v letech 2017 a 2018</w:t>
            </w:r>
          </w:p>
          <w:p w14:paraId="1D4E2770" w14:textId="77777777" w:rsidR="009F78D3" w:rsidRDefault="009F78D3" w:rsidP="00BD350E">
            <w:pPr>
              <w:pStyle w:val="Dalodstavce"/>
              <w:numPr>
                <w:ilvl w:val="0"/>
                <w:numId w:val="21"/>
              </w:numPr>
              <w:spacing w:before="0" w:after="0"/>
              <w:ind w:left="643"/>
              <w:jc w:val="left"/>
              <w:rPr>
                <w:rFonts w:asciiTheme="minorHAnsi" w:hAnsiTheme="minorHAnsi"/>
              </w:rPr>
            </w:pPr>
            <w:r>
              <w:rPr>
                <w:rFonts w:asciiTheme="minorHAnsi" w:hAnsiTheme="minorHAnsi"/>
              </w:rPr>
              <w:t>Propad hodnot rentabilit v roce 2019 a 2020</w:t>
            </w:r>
          </w:p>
          <w:p w14:paraId="26CE2019" w14:textId="77777777" w:rsidR="009F78D3" w:rsidRPr="001D5ECF" w:rsidRDefault="009F78D3" w:rsidP="00BD350E">
            <w:pPr>
              <w:pStyle w:val="Dalodstavce"/>
              <w:numPr>
                <w:ilvl w:val="0"/>
                <w:numId w:val="21"/>
              </w:numPr>
              <w:spacing w:before="0" w:after="0"/>
              <w:ind w:left="643"/>
              <w:jc w:val="left"/>
              <w:rPr>
                <w:rFonts w:asciiTheme="minorHAnsi" w:hAnsiTheme="minorHAnsi"/>
              </w:rPr>
            </w:pPr>
            <w:r w:rsidRPr="001D5ECF">
              <w:rPr>
                <w:rFonts w:asciiTheme="minorHAnsi" w:hAnsiTheme="minorHAnsi"/>
              </w:rPr>
              <w:t xml:space="preserve">Atraktivita firmy pro věřitele </w:t>
            </w:r>
          </w:p>
          <w:p w14:paraId="6260D743" w14:textId="77777777" w:rsidR="009F78D3" w:rsidRPr="001D5ECF" w:rsidRDefault="009F78D3" w:rsidP="00BD350E">
            <w:pPr>
              <w:pStyle w:val="Dalodstavce"/>
              <w:numPr>
                <w:ilvl w:val="0"/>
                <w:numId w:val="21"/>
              </w:numPr>
              <w:spacing w:before="0" w:after="0"/>
              <w:ind w:left="643"/>
              <w:jc w:val="left"/>
              <w:rPr>
                <w:rFonts w:asciiTheme="minorHAnsi" w:hAnsiTheme="minorHAnsi"/>
              </w:rPr>
            </w:pPr>
            <w:r w:rsidRPr="001D5ECF">
              <w:rPr>
                <w:rFonts w:asciiTheme="minorHAnsi" w:hAnsiTheme="minorHAnsi"/>
              </w:rPr>
              <w:t xml:space="preserve">Nízké zadlužení, snížení podnikatelského rizika </w:t>
            </w:r>
          </w:p>
          <w:p w14:paraId="4CB2352D" w14:textId="3A5F7E01" w:rsidR="000935CB" w:rsidRPr="001D5ECF" w:rsidRDefault="001D5ECF" w:rsidP="00BD350E">
            <w:pPr>
              <w:pStyle w:val="Dalodstavce"/>
              <w:numPr>
                <w:ilvl w:val="0"/>
                <w:numId w:val="21"/>
              </w:numPr>
              <w:spacing w:before="0" w:after="0"/>
              <w:ind w:left="643"/>
              <w:jc w:val="left"/>
              <w:rPr>
                <w:rFonts w:asciiTheme="minorHAnsi" w:hAnsiTheme="minorHAnsi"/>
                <w:b/>
                <w:bCs/>
              </w:rPr>
            </w:pPr>
            <w:r w:rsidRPr="001D5ECF">
              <w:rPr>
                <w:rFonts w:asciiTheme="minorHAnsi" w:hAnsiTheme="minorHAnsi"/>
                <w:b/>
                <w:bCs/>
              </w:rPr>
              <w:t>dobré výsledky ukazatele WACC v nejistém období na trhu, díky velmi nízkému zadlužení</w:t>
            </w:r>
          </w:p>
        </w:tc>
        <w:tc>
          <w:tcPr>
            <w:tcW w:w="4507" w:type="dxa"/>
            <w:vAlign w:val="top"/>
          </w:tcPr>
          <w:p w14:paraId="6BAECDDF" w14:textId="77777777" w:rsidR="009F78D3" w:rsidRPr="0077144C" w:rsidRDefault="009F78D3" w:rsidP="00BD350E">
            <w:pPr>
              <w:pStyle w:val="Dalodstavce"/>
              <w:spacing w:before="0" w:after="0"/>
              <w:ind w:firstLine="0"/>
              <w:jc w:val="left"/>
              <w:rPr>
                <w:rFonts w:asciiTheme="minorHAnsi" w:hAnsiTheme="minorHAnsi"/>
                <w:b/>
                <w:bCs/>
              </w:rPr>
            </w:pPr>
            <w:r w:rsidRPr="0077144C">
              <w:rPr>
                <w:rFonts w:asciiTheme="minorHAnsi" w:hAnsiTheme="minorHAnsi"/>
                <w:b/>
                <w:bCs/>
              </w:rPr>
              <w:t>SLABÉ STRÁNKY (W)</w:t>
            </w:r>
          </w:p>
          <w:p w14:paraId="2C1CCBA4" w14:textId="77777777" w:rsidR="009F78D3" w:rsidRDefault="009F78D3" w:rsidP="00BD350E">
            <w:pPr>
              <w:pStyle w:val="Dalodstavce"/>
              <w:numPr>
                <w:ilvl w:val="0"/>
                <w:numId w:val="21"/>
              </w:numPr>
              <w:spacing w:before="0" w:after="0"/>
              <w:ind w:left="530"/>
              <w:jc w:val="left"/>
              <w:rPr>
                <w:rFonts w:asciiTheme="minorHAnsi" w:hAnsiTheme="minorHAnsi"/>
              </w:rPr>
            </w:pPr>
            <w:r>
              <w:rPr>
                <w:rFonts w:asciiTheme="minorHAnsi" w:hAnsiTheme="minorHAnsi"/>
              </w:rPr>
              <w:t>Velmi vysoký obrat zásob</w:t>
            </w:r>
          </w:p>
          <w:p w14:paraId="67BD0E25" w14:textId="77777777" w:rsidR="009F78D3" w:rsidRDefault="009F78D3" w:rsidP="00BD350E">
            <w:pPr>
              <w:pStyle w:val="Dalodstavce"/>
              <w:numPr>
                <w:ilvl w:val="0"/>
                <w:numId w:val="21"/>
              </w:numPr>
              <w:spacing w:before="0" w:after="0"/>
              <w:ind w:left="530"/>
              <w:jc w:val="left"/>
              <w:rPr>
                <w:rFonts w:asciiTheme="minorHAnsi" w:hAnsiTheme="minorHAnsi"/>
              </w:rPr>
            </w:pPr>
            <w:r>
              <w:rPr>
                <w:rFonts w:asciiTheme="minorHAnsi" w:hAnsiTheme="minorHAnsi"/>
              </w:rPr>
              <w:t xml:space="preserve">Pokles produktivity práce při růstu počtu zaměstnanců </w:t>
            </w:r>
          </w:p>
          <w:p w14:paraId="5AD48ACA" w14:textId="77777777" w:rsidR="009F78D3" w:rsidRDefault="009F78D3" w:rsidP="00BD350E">
            <w:pPr>
              <w:pStyle w:val="Dalodstavce"/>
              <w:numPr>
                <w:ilvl w:val="0"/>
                <w:numId w:val="21"/>
              </w:numPr>
              <w:spacing w:before="0" w:after="0"/>
              <w:ind w:left="530"/>
              <w:jc w:val="left"/>
              <w:rPr>
                <w:rFonts w:asciiTheme="minorHAnsi" w:hAnsiTheme="minorHAnsi"/>
              </w:rPr>
            </w:pPr>
            <w:r w:rsidRPr="007038D6">
              <w:rPr>
                <w:rFonts w:asciiTheme="minorHAnsi" w:hAnsiTheme="minorHAnsi"/>
              </w:rPr>
              <w:t xml:space="preserve">Personální náročnost výroby </w:t>
            </w:r>
          </w:p>
          <w:p w14:paraId="13551FC7" w14:textId="1B0BD6CE" w:rsidR="003137A7" w:rsidRPr="003137A7" w:rsidRDefault="009F78D3" w:rsidP="003137A7">
            <w:pPr>
              <w:pStyle w:val="Dalodstavce"/>
              <w:numPr>
                <w:ilvl w:val="0"/>
                <w:numId w:val="21"/>
              </w:numPr>
              <w:spacing w:before="0" w:after="0"/>
              <w:ind w:left="530"/>
              <w:jc w:val="left"/>
              <w:rPr>
                <w:rFonts w:asciiTheme="minorHAnsi" w:hAnsiTheme="minorHAnsi"/>
              </w:rPr>
            </w:pPr>
            <w:r w:rsidRPr="001D5ECF">
              <w:rPr>
                <w:rFonts w:asciiTheme="minorHAnsi" w:hAnsiTheme="minorHAnsi"/>
              </w:rPr>
              <w:t>Velké zvýšení výkonové spotřeby a osobních nákladů v době poklesu poptávky</w:t>
            </w:r>
          </w:p>
        </w:tc>
      </w:tr>
      <w:tr w:rsidR="009F78D3" w:rsidRPr="0077144C" w14:paraId="1350F070" w14:textId="77777777">
        <w:trPr>
          <w:cantSplit/>
          <w:trHeight w:val="2955"/>
          <w:jc w:val="left"/>
        </w:trPr>
        <w:tc>
          <w:tcPr>
            <w:tcW w:w="600" w:type="dxa"/>
            <w:shd w:val="clear" w:color="auto" w:fill="D9E2F3" w:themeFill="accent5" w:themeFillTint="33"/>
            <w:textDirection w:val="btLr"/>
          </w:tcPr>
          <w:p w14:paraId="6E7511DC" w14:textId="77777777" w:rsidR="009F78D3" w:rsidRPr="0077144C" w:rsidRDefault="009F78D3" w:rsidP="00BD350E">
            <w:pPr>
              <w:pStyle w:val="Dalodstavce"/>
              <w:spacing w:before="0" w:after="0"/>
              <w:ind w:left="113" w:right="113" w:firstLine="0"/>
              <w:jc w:val="center"/>
              <w:rPr>
                <w:rFonts w:asciiTheme="minorHAnsi" w:hAnsiTheme="minorHAnsi"/>
              </w:rPr>
            </w:pPr>
            <w:r w:rsidRPr="0077144C">
              <w:rPr>
                <w:rFonts w:asciiTheme="minorHAnsi" w:hAnsiTheme="minorHAnsi"/>
              </w:rPr>
              <w:t>VNĚJŠÍ PROSTŘEDÍ</w:t>
            </w:r>
          </w:p>
        </w:tc>
        <w:tc>
          <w:tcPr>
            <w:tcW w:w="4506" w:type="dxa"/>
            <w:vAlign w:val="top"/>
          </w:tcPr>
          <w:p w14:paraId="1C3B104C" w14:textId="77777777" w:rsidR="009F78D3" w:rsidRPr="0077144C" w:rsidRDefault="009F78D3" w:rsidP="00BD350E">
            <w:pPr>
              <w:pStyle w:val="Dalodstavce"/>
              <w:spacing w:before="0" w:after="0"/>
              <w:ind w:firstLine="0"/>
              <w:jc w:val="left"/>
              <w:rPr>
                <w:rFonts w:asciiTheme="minorHAnsi" w:hAnsiTheme="minorHAnsi"/>
                <w:b/>
                <w:bCs/>
              </w:rPr>
            </w:pPr>
            <w:r w:rsidRPr="0077144C">
              <w:rPr>
                <w:rFonts w:asciiTheme="minorHAnsi" w:hAnsiTheme="minorHAnsi"/>
                <w:b/>
                <w:bCs/>
              </w:rPr>
              <w:t>PŘÍLEŽITOSTI (O)</w:t>
            </w:r>
          </w:p>
          <w:p w14:paraId="20ECF254" w14:textId="16289586" w:rsidR="009F78D3" w:rsidRDefault="009F78D3" w:rsidP="009F78D3">
            <w:pPr>
              <w:pStyle w:val="Dalodstavce"/>
              <w:spacing w:before="0" w:after="0"/>
              <w:jc w:val="left"/>
              <w:rPr>
                <w:rFonts w:asciiTheme="minorHAnsi" w:hAnsiTheme="minorHAnsi"/>
              </w:rPr>
            </w:pPr>
          </w:p>
          <w:p w14:paraId="3D193544" w14:textId="320C2F18" w:rsidR="009F78D3" w:rsidRPr="006E4F54" w:rsidRDefault="009F78D3" w:rsidP="00BD350E">
            <w:pPr>
              <w:pStyle w:val="Dalodstavce"/>
              <w:numPr>
                <w:ilvl w:val="0"/>
                <w:numId w:val="21"/>
              </w:numPr>
              <w:spacing w:before="0" w:after="0"/>
              <w:ind w:left="530"/>
              <w:jc w:val="left"/>
              <w:rPr>
                <w:rFonts w:asciiTheme="minorHAnsi" w:hAnsiTheme="minorHAnsi"/>
                <w:b/>
                <w:bCs/>
              </w:rPr>
            </w:pPr>
          </w:p>
        </w:tc>
        <w:tc>
          <w:tcPr>
            <w:tcW w:w="4507" w:type="dxa"/>
            <w:vAlign w:val="top"/>
          </w:tcPr>
          <w:p w14:paraId="0B1D46C0" w14:textId="77777777" w:rsidR="009F78D3" w:rsidRPr="0077144C" w:rsidRDefault="009F78D3" w:rsidP="00BD350E">
            <w:pPr>
              <w:pStyle w:val="Dalodstavce"/>
              <w:spacing w:before="0" w:after="0"/>
              <w:ind w:firstLine="0"/>
              <w:jc w:val="left"/>
              <w:rPr>
                <w:rFonts w:asciiTheme="minorHAnsi" w:hAnsiTheme="minorHAnsi"/>
                <w:b/>
                <w:bCs/>
              </w:rPr>
            </w:pPr>
            <w:r w:rsidRPr="0077144C">
              <w:rPr>
                <w:rFonts w:asciiTheme="minorHAnsi" w:hAnsiTheme="minorHAnsi"/>
                <w:b/>
                <w:bCs/>
              </w:rPr>
              <w:t>HROZBY (T)</w:t>
            </w:r>
          </w:p>
          <w:p w14:paraId="7D2FED71" w14:textId="77777777" w:rsidR="009F78D3" w:rsidRDefault="009F78D3" w:rsidP="00BD350E">
            <w:pPr>
              <w:pStyle w:val="Dalodstavce"/>
              <w:numPr>
                <w:ilvl w:val="0"/>
                <w:numId w:val="21"/>
              </w:numPr>
              <w:spacing w:before="0" w:after="0"/>
              <w:ind w:left="530"/>
              <w:jc w:val="left"/>
              <w:rPr>
                <w:rFonts w:asciiTheme="minorHAnsi" w:hAnsiTheme="minorHAnsi"/>
              </w:rPr>
            </w:pPr>
            <w:r>
              <w:rPr>
                <w:rFonts w:asciiTheme="minorHAnsi" w:hAnsiTheme="minorHAnsi"/>
              </w:rPr>
              <w:t xml:space="preserve">Zvyšování úrokových sazeb </w:t>
            </w:r>
          </w:p>
          <w:p w14:paraId="32B50302" w14:textId="77777777" w:rsidR="009F78D3" w:rsidRDefault="009F78D3" w:rsidP="00BD350E">
            <w:pPr>
              <w:pStyle w:val="Dalodstavce"/>
              <w:numPr>
                <w:ilvl w:val="0"/>
                <w:numId w:val="21"/>
              </w:numPr>
              <w:spacing w:before="0" w:after="0"/>
              <w:ind w:left="530"/>
              <w:jc w:val="left"/>
              <w:rPr>
                <w:rFonts w:asciiTheme="minorHAnsi" w:hAnsiTheme="minorHAnsi"/>
              </w:rPr>
            </w:pPr>
            <w:r>
              <w:rPr>
                <w:rFonts w:asciiTheme="minorHAnsi" w:hAnsiTheme="minorHAnsi"/>
              </w:rPr>
              <w:t xml:space="preserve">Ekonomická nestabilita způsobující nízké zisky společnosti </w:t>
            </w:r>
          </w:p>
          <w:p w14:paraId="65414069" w14:textId="77777777" w:rsidR="009F78D3" w:rsidRPr="0077144C" w:rsidRDefault="009F78D3" w:rsidP="00BD350E">
            <w:pPr>
              <w:pStyle w:val="Dalodstavce"/>
              <w:numPr>
                <w:ilvl w:val="0"/>
                <w:numId w:val="21"/>
              </w:numPr>
              <w:spacing w:before="0" w:after="0"/>
              <w:ind w:left="530"/>
              <w:jc w:val="left"/>
              <w:rPr>
                <w:rFonts w:asciiTheme="minorHAnsi" w:hAnsiTheme="minorHAnsi"/>
              </w:rPr>
            </w:pPr>
            <w:r>
              <w:rPr>
                <w:rFonts w:asciiTheme="minorHAnsi" w:hAnsiTheme="minorHAnsi"/>
              </w:rPr>
              <w:t>Nedostatečné množství zakázek pro vysoký počet zaměstnanců</w:t>
            </w:r>
          </w:p>
        </w:tc>
      </w:tr>
    </w:tbl>
    <w:p w14:paraId="68F3B850" w14:textId="77777777" w:rsidR="009F78D3" w:rsidRDefault="009F78D3" w:rsidP="009F78D3">
      <w:pPr>
        <w:pStyle w:val="Odstavec1"/>
      </w:pPr>
    </w:p>
    <w:p w14:paraId="12C747FB" w14:textId="6AC8EAEB" w:rsidR="003137A7" w:rsidRDefault="003137A7" w:rsidP="003137A7">
      <w:pPr>
        <w:pStyle w:val="Nadpis2"/>
        <w:numPr>
          <w:ilvl w:val="1"/>
          <w:numId w:val="30"/>
        </w:numPr>
      </w:pPr>
      <w:bookmarkStart w:id="35" w:name="_Toc134175283"/>
      <w:r>
        <w:t>Závěr</w:t>
      </w:r>
      <w:bookmarkEnd w:id="35"/>
    </w:p>
    <w:p w14:paraId="6B732E40" w14:textId="2ACCCF1F" w:rsidR="003137A7" w:rsidRPr="003137A7" w:rsidRDefault="003137A7" w:rsidP="003137A7">
      <w:pPr>
        <w:pStyle w:val="Odstavec1"/>
      </w:pPr>
      <w:r>
        <w:t xml:space="preserve">V této kapitole byla provedena kompletní analýza </w:t>
      </w:r>
      <w:r w:rsidR="00001F88">
        <w:t xml:space="preserve">ukazatele WACC, tedy </w:t>
      </w:r>
      <w:r w:rsidR="000534A1">
        <w:t>průměrných nákladů na celkový kapitál a ukazatele ekonomické přidané hodnoty EVA. Z provedené analýzy bylo zjištěno, že podnik přes vyšší úvěrovou zátěž a nejisté období dosahuje velmi nízkých nákladů WACC, zejména díky tomu, že je velmi konzervativní a cizí zdroje nevyužívá</w:t>
      </w:r>
      <w:r w:rsidR="00383521">
        <w:t xml:space="preserve"> jako primární zdroj financování</w:t>
      </w:r>
      <w:r w:rsidR="000534A1">
        <w:t>. Ukazatel EVA je tedy především ovlivněn poklesem výsledku hospodaření, kter</w:t>
      </w:r>
      <w:r w:rsidR="00227ADA">
        <w:t xml:space="preserve">ý byl především způsoben globální situací na trhu a firma by se jeho dopadům mohla vyhnout jen například </w:t>
      </w:r>
      <w:r w:rsidR="00227ADA">
        <w:lastRenderedPageBreak/>
        <w:t>snižováním množství zaměstnanců, jejichž množství právě v kritickém roce 2020 podstatně navýšila</w:t>
      </w:r>
    </w:p>
    <w:p w14:paraId="62BC0CA5" w14:textId="5B7C05FA" w:rsidR="00B43BB6" w:rsidRDefault="00B43BB6" w:rsidP="00446971">
      <w:pPr>
        <w:pStyle w:val="Dalodstavce"/>
        <w:ind w:firstLine="0"/>
      </w:pPr>
    </w:p>
    <w:p w14:paraId="2B8FD501" w14:textId="2526112D" w:rsidR="00B43BB6" w:rsidRPr="00446971" w:rsidRDefault="00B43BB6" w:rsidP="00446971">
      <w:pPr>
        <w:pStyle w:val="Dalodstavce"/>
        <w:ind w:firstLine="0"/>
      </w:pPr>
    </w:p>
    <w:p w14:paraId="159BE80F" w14:textId="77777777" w:rsidR="003801A6" w:rsidRPr="003801A6" w:rsidRDefault="003801A6" w:rsidP="003801A6">
      <w:pPr>
        <w:pStyle w:val="Odstavec1"/>
      </w:pPr>
    </w:p>
    <w:p w14:paraId="57D27C96" w14:textId="77777777" w:rsidR="00325491" w:rsidRPr="00325491" w:rsidRDefault="00325491" w:rsidP="00325491">
      <w:pPr>
        <w:pStyle w:val="Odstavec1"/>
      </w:pPr>
    </w:p>
    <w:p w14:paraId="71109076" w14:textId="2432E217" w:rsidR="00325491" w:rsidRDefault="00325491" w:rsidP="00544B9D">
      <w:pPr>
        <w:pStyle w:val="Nadpis1"/>
        <w:numPr>
          <w:ilvl w:val="0"/>
          <w:numId w:val="30"/>
        </w:numPr>
      </w:pPr>
      <w:bookmarkStart w:id="36" w:name="_Toc134175284"/>
      <w:r>
        <w:lastRenderedPageBreak/>
        <w:t>Bonitní a bankrotní modely</w:t>
      </w:r>
      <w:bookmarkEnd w:id="36"/>
    </w:p>
    <w:p w14:paraId="6B6A807F" w14:textId="4DEEF23C" w:rsidR="001E58D2" w:rsidRDefault="00EA426C" w:rsidP="001E58D2">
      <w:pPr>
        <w:pStyle w:val="Odstavec1"/>
      </w:pPr>
      <w:r>
        <w:t xml:space="preserve">V této kapitole budou představeny </w:t>
      </w:r>
      <w:r w:rsidR="00E575DF">
        <w:t>a analyzovány bonitní a bankrotní modely</w:t>
      </w:r>
      <w:r w:rsidR="00767F68">
        <w:t xml:space="preserve">, které </w:t>
      </w:r>
      <w:r w:rsidR="001D0A90">
        <w:t xml:space="preserve">hodnotí celkovou finanční výkonnost podniku díky tomu, že </w:t>
      </w:r>
      <w:r w:rsidR="00292027">
        <w:t>spojují různé finanční ukazatelů</w:t>
      </w:r>
      <w:r w:rsidR="00E575DF">
        <w:t>.</w:t>
      </w:r>
      <w:r w:rsidR="003F57E8">
        <w:t xml:space="preserve"> </w:t>
      </w:r>
      <w:r w:rsidR="00BC18D7">
        <w:t>Nejprve bud</w:t>
      </w:r>
      <w:r w:rsidR="00E51A8C">
        <w:t>ou</w:t>
      </w:r>
      <w:r w:rsidR="00BC18D7">
        <w:t xml:space="preserve"> vytvořen</w:t>
      </w:r>
      <w:r w:rsidR="00E51A8C">
        <w:t>y dva bonitní modely</w:t>
      </w:r>
      <w:r w:rsidR="00EB7CF8">
        <w:t xml:space="preserve"> – a to </w:t>
      </w:r>
      <w:r w:rsidR="00E51A8C" w:rsidRPr="00E51A8C">
        <w:t>Grünwaldův bonitní ukazatel</w:t>
      </w:r>
      <w:r w:rsidR="00EB7CF8">
        <w:t xml:space="preserve"> a</w:t>
      </w:r>
      <w:r w:rsidR="00BC18D7">
        <w:t xml:space="preserve"> </w:t>
      </w:r>
      <w:r w:rsidR="00A66D82">
        <w:t>multivariační diskriminační analýza neboli index bonit</w:t>
      </w:r>
      <w:r w:rsidR="005B3CE5">
        <w:t>y</w:t>
      </w:r>
      <w:r w:rsidR="00EB7CF8">
        <w:t xml:space="preserve">. Jako bankrotní model bude použit </w:t>
      </w:r>
      <w:r w:rsidR="0084161E" w:rsidRPr="005419A0">
        <w:t>Altmanův index</w:t>
      </w:r>
      <w:r w:rsidR="005419A0">
        <w:t xml:space="preserve"> přizpůsobený pro český trh</w:t>
      </w:r>
      <w:r w:rsidR="004C4940">
        <w:t xml:space="preserve">. Zároveň využijeme také index IN, </w:t>
      </w:r>
      <w:r w:rsidR="009D345E">
        <w:t>tedy index důvěryhodnosti českého podniku</w:t>
      </w:r>
      <w:r w:rsidR="0084161E">
        <w:t xml:space="preserve">, který </w:t>
      </w:r>
      <w:r w:rsidR="009D345E">
        <w:t xml:space="preserve">byl přímo vytvořen pro český trh. </w:t>
      </w:r>
    </w:p>
    <w:p w14:paraId="7C5690BA" w14:textId="77777777" w:rsidR="00DD67B0" w:rsidRPr="00DD67B0" w:rsidRDefault="00DD67B0" w:rsidP="00DD67B0">
      <w:pPr>
        <w:pStyle w:val="Odstavecseseznamem"/>
        <w:keepNext/>
        <w:keepLines/>
        <w:numPr>
          <w:ilvl w:val="0"/>
          <w:numId w:val="16"/>
        </w:numPr>
        <w:suppressAutoHyphens/>
        <w:spacing w:before="460" w:after="300" w:line="360" w:lineRule="exact"/>
        <w:contextualSpacing w:val="0"/>
        <w:outlineLvl w:val="1"/>
        <w:rPr>
          <w:rFonts w:ascii="Arial" w:hAnsi="Arial" w:cs="Arial"/>
          <w:iCs/>
          <w:vanish/>
          <w:color w:val="0000DC"/>
          <w:sz w:val="28"/>
          <w:szCs w:val="28"/>
        </w:rPr>
      </w:pPr>
    </w:p>
    <w:p w14:paraId="0424FC81" w14:textId="77777777" w:rsidR="00DD67B0" w:rsidRPr="00DD67B0" w:rsidRDefault="00DD67B0" w:rsidP="00DD67B0">
      <w:pPr>
        <w:pStyle w:val="Odstavecseseznamem"/>
        <w:keepNext/>
        <w:keepLines/>
        <w:numPr>
          <w:ilvl w:val="0"/>
          <w:numId w:val="16"/>
        </w:numPr>
        <w:suppressAutoHyphens/>
        <w:spacing w:before="460" w:after="300" w:line="360" w:lineRule="exact"/>
        <w:contextualSpacing w:val="0"/>
        <w:outlineLvl w:val="1"/>
        <w:rPr>
          <w:rFonts w:ascii="Arial" w:hAnsi="Arial" w:cs="Arial"/>
          <w:iCs/>
          <w:vanish/>
          <w:color w:val="0000DC"/>
          <w:sz w:val="28"/>
          <w:szCs w:val="28"/>
        </w:rPr>
      </w:pPr>
    </w:p>
    <w:p w14:paraId="4C6123FD" w14:textId="77777777" w:rsidR="00DD67B0" w:rsidRPr="00DD67B0" w:rsidRDefault="00DD67B0" w:rsidP="00DD67B0">
      <w:pPr>
        <w:pStyle w:val="Odstavecseseznamem"/>
        <w:keepNext/>
        <w:keepLines/>
        <w:numPr>
          <w:ilvl w:val="0"/>
          <w:numId w:val="16"/>
        </w:numPr>
        <w:suppressAutoHyphens/>
        <w:spacing w:before="460" w:after="300" w:line="360" w:lineRule="exact"/>
        <w:contextualSpacing w:val="0"/>
        <w:outlineLvl w:val="1"/>
        <w:rPr>
          <w:rFonts w:ascii="Arial" w:hAnsi="Arial" w:cs="Arial"/>
          <w:iCs/>
          <w:vanish/>
          <w:color w:val="0000DC"/>
          <w:sz w:val="28"/>
          <w:szCs w:val="28"/>
        </w:rPr>
      </w:pPr>
    </w:p>
    <w:p w14:paraId="53823415" w14:textId="77777777" w:rsidR="00DD67B0" w:rsidRPr="00DD67B0" w:rsidRDefault="00DD67B0" w:rsidP="00DD67B0">
      <w:pPr>
        <w:pStyle w:val="Odstavecseseznamem"/>
        <w:keepNext/>
        <w:keepLines/>
        <w:numPr>
          <w:ilvl w:val="0"/>
          <w:numId w:val="16"/>
        </w:numPr>
        <w:suppressAutoHyphens/>
        <w:spacing w:before="460" w:after="300" w:line="360" w:lineRule="exact"/>
        <w:contextualSpacing w:val="0"/>
        <w:outlineLvl w:val="1"/>
        <w:rPr>
          <w:rFonts w:ascii="Arial" w:hAnsi="Arial" w:cs="Arial"/>
          <w:iCs/>
          <w:vanish/>
          <w:color w:val="0000DC"/>
          <w:sz w:val="28"/>
          <w:szCs w:val="28"/>
        </w:rPr>
      </w:pPr>
    </w:p>
    <w:p w14:paraId="2868752C" w14:textId="020F82A0" w:rsidR="009866B9" w:rsidRDefault="00E51A8C" w:rsidP="00DD67B0">
      <w:pPr>
        <w:pStyle w:val="Nadpis2"/>
        <w:numPr>
          <w:ilvl w:val="1"/>
          <w:numId w:val="16"/>
        </w:numPr>
      </w:pPr>
      <w:bookmarkStart w:id="37" w:name="_Toc134175285"/>
      <w:r w:rsidRPr="00E51A8C">
        <w:t xml:space="preserve">Grünwaldův bonitní </w:t>
      </w:r>
      <w:r w:rsidR="00F76909">
        <w:t>model</w:t>
      </w:r>
      <w:bookmarkEnd w:id="37"/>
    </w:p>
    <w:p w14:paraId="1C74D55D" w14:textId="1D7178A9" w:rsidR="00ED261D" w:rsidRPr="00ED261D" w:rsidRDefault="00ED261D" w:rsidP="00ED261D">
      <w:pPr>
        <w:pStyle w:val="Odstavec1"/>
      </w:pPr>
      <w:r>
        <w:t>Gr</w:t>
      </w:r>
      <w:r w:rsidRPr="00ED261D">
        <w:t xml:space="preserve">ünwaldův </w:t>
      </w:r>
      <w:r w:rsidR="008D0895">
        <w:t>index bonity</w:t>
      </w:r>
      <w:r>
        <w:t xml:space="preserve"> neboli </w:t>
      </w:r>
      <w:r w:rsidR="008D0895">
        <w:t>(GIB)</w:t>
      </w:r>
      <w:r w:rsidR="00ED3E32">
        <w:t xml:space="preserve"> </w:t>
      </w:r>
      <w:r>
        <w:t>Gr</w:t>
      </w:r>
      <w:r w:rsidRPr="00ED261D">
        <w:t xml:space="preserve">ünwaldův bonitní </w:t>
      </w:r>
      <w:r>
        <w:t>model</w:t>
      </w:r>
      <w:r w:rsidR="000B6679">
        <w:t xml:space="preserve"> zkoumá šest poměrových ukazatelů rozdělených do tří kategorií – rentabilita, likvidita a finanční stabilita. </w:t>
      </w:r>
      <w:r w:rsidR="00C55F70">
        <w:t>Jednotlivé ukazatele a jejich hodnoty jsou znázorněny v Tab. 21</w:t>
      </w:r>
      <w:r w:rsidR="008C49A6">
        <w:t xml:space="preserve">. Lze pozorovat, že podnik má výborné hodnoty rentability v prvních dvou </w:t>
      </w:r>
      <w:r w:rsidR="00FA16BC">
        <w:t xml:space="preserve">sledovaných letech a poté tyto ukazatele strmě klesají. </w:t>
      </w:r>
      <w:r w:rsidR="005D3879">
        <w:t>Společnost Disting je také ve sledovaném období extrémně likvidní,</w:t>
      </w:r>
      <w:r w:rsidR="00470B3C">
        <w:t xml:space="preserve"> což s sebou však přináší rizika přílišné konzervativnosti. </w:t>
      </w:r>
      <w:r w:rsidR="008D1C86">
        <w:t xml:space="preserve">Podnik je také </w:t>
      </w:r>
      <w:r w:rsidR="00C012F9">
        <w:t xml:space="preserve">poměrně finančně stabilní, přestože hodnoty doby splácení úvěru </w:t>
      </w:r>
      <w:r w:rsidR="00F76909">
        <w:t xml:space="preserve">jsou v prvních dvou sledovaných letech nízké, což je však způsobeno tím, že podnik měl velmi nízké zadlužení. </w:t>
      </w:r>
    </w:p>
    <w:p w14:paraId="00D106EC" w14:textId="124C706A" w:rsidR="00B83554" w:rsidRDefault="00B83554" w:rsidP="00B83554">
      <w:pPr>
        <w:pStyle w:val="Odstavec1"/>
      </w:pPr>
      <w:r>
        <w:fldChar w:fldCharType="begin"/>
      </w:r>
      <w:r>
        <w:instrText xml:space="preserve"> LINK </w:instrText>
      </w:r>
      <w:r w:rsidR="00801DF4">
        <w:instrText xml:space="preserve">Excel.Sheet.12 https://ucnmuni-my.sharepoint.com/personal/495861_muni_cz/Documents/FMAN%20after%20VLAK.xlsx BONITNÍ!R13C11:R22C16 </w:instrText>
      </w:r>
      <w:r>
        <w:instrText xml:space="preserve">\a \f 4 \h </w:instrText>
      </w:r>
      <w:r>
        <w:fldChar w:fldCharType="separate"/>
      </w:r>
    </w:p>
    <w:tbl>
      <w:tblPr>
        <w:tblW w:w="7540" w:type="dxa"/>
        <w:tblCellMar>
          <w:left w:w="70" w:type="dxa"/>
          <w:right w:w="70" w:type="dxa"/>
        </w:tblCellMar>
        <w:tblLook w:val="04A0" w:firstRow="1" w:lastRow="0" w:firstColumn="1" w:lastColumn="0" w:noHBand="0" w:noVBand="1"/>
      </w:tblPr>
      <w:tblGrid>
        <w:gridCol w:w="2840"/>
        <w:gridCol w:w="940"/>
        <w:gridCol w:w="940"/>
        <w:gridCol w:w="940"/>
        <w:gridCol w:w="940"/>
        <w:gridCol w:w="940"/>
      </w:tblGrid>
      <w:tr w:rsidR="00B83554" w:rsidRPr="00B83554" w14:paraId="530354E1" w14:textId="77777777" w:rsidTr="001D101D">
        <w:trPr>
          <w:trHeight w:val="170"/>
        </w:trPr>
        <w:tc>
          <w:tcPr>
            <w:tcW w:w="2840"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5B46B3ED" w14:textId="4884AAED" w:rsidR="00B83554" w:rsidRPr="00B83554" w:rsidRDefault="00B83554" w:rsidP="00B83554">
            <w:pPr>
              <w:rPr>
                <w:rFonts w:ascii="Arial" w:hAnsi="Arial" w:cs="Arial"/>
                <w:b/>
                <w:bCs/>
                <w:color w:val="FFFFFF"/>
                <w:sz w:val="20"/>
                <w:szCs w:val="20"/>
              </w:rPr>
            </w:pPr>
          </w:p>
        </w:tc>
        <w:tc>
          <w:tcPr>
            <w:tcW w:w="940"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42717D37" w14:textId="77777777" w:rsidR="00B83554" w:rsidRPr="00B83554" w:rsidRDefault="00B83554" w:rsidP="00B83554">
            <w:pPr>
              <w:jc w:val="center"/>
              <w:rPr>
                <w:rFonts w:ascii="Arial" w:hAnsi="Arial" w:cs="Arial"/>
                <w:b/>
                <w:bCs/>
                <w:color w:val="FFFFFF"/>
                <w:sz w:val="20"/>
                <w:szCs w:val="20"/>
              </w:rPr>
            </w:pPr>
            <w:r w:rsidRPr="00B83554">
              <w:rPr>
                <w:rFonts w:ascii="Arial" w:hAnsi="Arial" w:cs="Arial"/>
                <w:b/>
                <w:bCs/>
                <w:color w:val="FFFFFF"/>
                <w:sz w:val="20"/>
                <w:szCs w:val="20"/>
              </w:rPr>
              <w:t>2017</w:t>
            </w:r>
          </w:p>
        </w:tc>
        <w:tc>
          <w:tcPr>
            <w:tcW w:w="940"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16DD72F6" w14:textId="77777777" w:rsidR="00B83554" w:rsidRPr="00B83554" w:rsidRDefault="00B83554" w:rsidP="00B83554">
            <w:pPr>
              <w:jc w:val="center"/>
              <w:rPr>
                <w:rFonts w:ascii="Arial" w:hAnsi="Arial" w:cs="Arial"/>
                <w:b/>
                <w:bCs/>
                <w:color w:val="FFFFFF"/>
                <w:sz w:val="20"/>
                <w:szCs w:val="20"/>
              </w:rPr>
            </w:pPr>
            <w:r w:rsidRPr="00B83554">
              <w:rPr>
                <w:rFonts w:ascii="Arial" w:hAnsi="Arial" w:cs="Arial"/>
                <w:b/>
                <w:bCs/>
                <w:color w:val="FFFFFF"/>
                <w:sz w:val="20"/>
                <w:szCs w:val="20"/>
              </w:rPr>
              <w:t>2018</w:t>
            </w:r>
          </w:p>
        </w:tc>
        <w:tc>
          <w:tcPr>
            <w:tcW w:w="940"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489001E3" w14:textId="77777777" w:rsidR="00B83554" w:rsidRPr="00B83554" w:rsidRDefault="00B83554" w:rsidP="00B83554">
            <w:pPr>
              <w:jc w:val="center"/>
              <w:rPr>
                <w:rFonts w:ascii="Arial" w:hAnsi="Arial" w:cs="Arial"/>
                <w:b/>
                <w:bCs/>
                <w:color w:val="FFFFFF"/>
                <w:sz w:val="20"/>
                <w:szCs w:val="20"/>
              </w:rPr>
            </w:pPr>
            <w:r w:rsidRPr="00B83554">
              <w:rPr>
                <w:rFonts w:ascii="Arial" w:hAnsi="Arial" w:cs="Arial"/>
                <w:b/>
                <w:bCs/>
                <w:color w:val="FFFFFF"/>
                <w:sz w:val="20"/>
                <w:szCs w:val="20"/>
              </w:rPr>
              <w:t>2019</w:t>
            </w:r>
          </w:p>
        </w:tc>
        <w:tc>
          <w:tcPr>
            <w:tcW w:w="940"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57A535FC" w14:textId="77777777" w:rsidR="00B83554" w:rsidRPr="00B83554" w:rsidRDefault="00B83554" w:rsidP="00B83554">
            <w:pPr>
              <w:jc w:val="center"/>
              <w:rPr>
                <w:rFonts w:ascii="Arial" w:hAnsi="Arial" w:cs="Arial"/>
                <w:b/>
                <w:bCs/>
                <w:color w:val="FFFFFF"/>
                <w:sz w:val="20"/>
                <w:szCs w:val="20"/>
              </w:rPr>
            </w:pPr>
            <w:r w:rsidRPr="00B83554">
              <w:rPr>
                <w:rFonts w:ascii="Arial" w:hAnsi="Arial" w:cs="Arial"/>
                <w:b/>
                <w:bCs/>
                <w:color w:val="FFFFFF"/>
                <w:sz w:val="20"/>
                <w:szCs w:val="20"/>
              </w:rPr>
              <w:t>2020</w:t>
            </w:r>
          </w:p>
        </w:tc>
        <w:tc>
          <w:tcPr>
            <w:tcW w:w="940"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7814DA30" w14:textId="77777777" w:rsidR="00B83554" w:rsidRPr="00B83554" w:rsidRDefault="00B83554" w:rsidP="00B83554">
            <w:pPr>
              <w:jc w:val="center"/>
              <w:rPr>
                <w:rFonts w:ascii="Arial" w:hAnsi="Arial" w:cs="Arial"/>
                <w:b/>
                <w:bCs/>
                <w:color w:val="FFFFFF"/>
                <w:sz w:val="20"/>
                <w:szCs w:val="20"/>
              </w:rPr>
            </w:pPr>
            <w:r w:rsidRPr="00B83554">
              <w:rPr>
                <w:rFonts w:ascii="Arial" w:hAnsi="Arial" w:cs="Arial"/>
                <w:b/>
                <w:bCs/>
                <w:color w:val="FFFFFF"/>
                <w:sz w:val="20"/>
                <w:szCs w:val="20"/>
              </w:rPr>
              <w:t>2021</w:t>
            </w:r>
          </w:p>
        </w:tc>
      </w:tr>
      <w:tr w:rsidR="00B83554" w:rsidRPr="00B83554" w14:paraId="7E106450" w14:textId="77777777" w:rsidTr="001D101D">
        <w:trPr>
          <w:trHeight w:val="17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DC15E1" w14:textId="77777777" w:rsidR="00B83554" w:rsidRPr="00B83554" w:rsidRDefault="00B83554" w:rsidP="00B83554">
            <w:pPr>
              <w:rPr>
                <w:rFonts w:ascii="Arial" w:hAnsi="Arial" w:cs="Arial"/>
                <w:b/>
                <w:bCs/>
                <w:color w:val="000000"/>
                <w:sz w:val="20"/>
                <w:szCs w:val="20"/>
              </w:rPr>
            </w:pPr>
            <w:r w:rsidRPr="00B83554">
              <w:rPr>
                <w:rFonts w:ascii="Arial" w:hAnsi="Arial" w:cs="Arial"/>
                <w:b/>
                <w:bCs/>
                <w:color w:val="000000"/>
                <w:sz w:val="20"/>
                <w:szCs w:val="20"/>
              </w:rPr>
              <w:t>Rentabilita</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3401FEC"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569A4"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682884D"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8B3D600"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625AAA5"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r>
      <w:tr w:rsidR="00B83554" w:rsidRPr="00B83554" w14:paraId="09A10565" w14:textId="77777777" w:rsidTr="001D101D">
        <w:trPr>
          <w:trHeight w:val="17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5E5523D"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ROE</w:t>
            </w:r>
          </w:p>
        </w:tc>
        <w:tc>
          <w:tcPr>
            <w:tcW w:w="9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990CDB1"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22,38%</w:t>
            </w:r>
          </w:p>
        </w:tc>
        <w:tc>
          <w:tcPr>
            <w:tcW w:w="940" w:type="dxa"/>
            <w:tcBorders>
              <w:top w:val="single" w:sz="4" w:space="0" w:color="auto"/>
              <w:left w:val="single" w:sz="4" w:space="0" w:color="auto"/>
              <w:bottom w:val="single" w:sz="4" w:space="0" w:color="auto"/>
              <w:right w:val="single" w:sz="4" w:space="0" w:color="auto"/>
            </w:tcBorders>
            <w:shd w:val="clear" w:color="000000" w:fill="9ACE7F"/>
            <w:noWrap/>
            <w:vAlign w:val="bottom"/>
            <w:hideMark/>
          </w:tcPr>
          <w:p w14:paraId="232FEFD8"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15,16%</w:t>
            </w:r>
          </w:p>
        </w:tc>
        <w:tc>
          <w:tcPr>
            <w:tcW w:w="940"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14:paraId="01110492"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1,57%</w:t>
            </w:r>
          </w:p>
        </w:tc>
        <w:tc>
          <w:tcPr>
            <w:tcW w:w="9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4E8F304"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0,73%</w:t>
            </w:r>
          </w:p>
        </w:tc>
        <w:tc>
          <w:tcPr>
            <w:tcW w:w="9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7BF86BD"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1,66%</w:t>
            </w:r>
          </w:p>
        </w:tc>
      </w:tr>
      <w:tr w:rsidR="00B83554" w:rsidRPr="00B83554" w14:paraId="267F40B9" w14:textId="77777777" w:rsidTr="001D101D">
        <w:trPr>
          <w:trHeight w:val="17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158AA2B"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ROA</w:t>
            </w:r>
          </w:p>
        </w:tc>
        <w:tc>
          <w:tcPr>
            <w:tcW w:w="9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84E91F"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23,92%</w:t>
            </w:r>
          </w:p>
        </w:tc>
        <w:tc>
          <w:tcPr>
            <w:tcW w:w="940"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22F01844"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14,35%</w:t>
            </w:r>
          </w:p>
        </w:tc>
        <w:tc>
          <w:tcPr>
            <w:tcW w:w="940"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6FDFAB03"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1,83%</w:t>
            </w:r>
          </w:p>
        </w:tc>
        <w:tc>
          <w:tcPr>
            <w:tcW w:w="9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2B088C6"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1,80%</w:t>
            </w:r>
          </w:p>
        </w:tc>
        <w:tc>
          <w:tcPr>
            <w:tcW w:w="9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97C0957"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2,33%</w:t>
            </w:r>
          </w:p>
        </w:tc>
      </w:tr>
      <w:tr w:rsidR="00B83554" w:rsidRPr="00B83554" w14:paraId="4306F6BC" w14:textId="77777777" w:rsidTr="001D101D">
        <w:trPr>
          <w:trHeight w:val="17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AE2C542" w14:textId="77777777" w:rsidR="00B83554" w:rsidRPr="00B83554" w:rsidRDefault="00B83554" w:rsidP="00B83554">
            <w:pPr>
              <w:rPr>
                <w:rFonts w:ascii="Arial" w:hAnsi="Arial" w:cs="Arial"/>
                <w:b/>
                <w:bCs/>
                <w:color w:val="000000"/>
                <w:sz w:val="20"/>
                <w:szCs w:val="20"/>
              </w:rPr>
            </w:pPr>
            <w:r w:rsidRPr="00B83554">
              <w:rPr>
                <w:rFonts w:ascii="Arial" w:hAnsi="Arial" w:cs="Arial"/>
                <w:b/>
                <w:bCs/>
                <w:color w:val="000000"/>
                <w:sz w:val="20"/>
                <w:szCs w:val="20"/>
              </w:rPr>
              <w:t>Likvidita</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8B65CD3"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7140190"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58CD545"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6DE7761"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96B0BC"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r>
      <w:tr w:rsidR="00B83554" w:rsidRPr="00B83554" w14:paraId="0B1849E8" w14:textId="77777777" w:rsidTr="001D101D">
        <w:trPr>
          <w:trHeight w:val="17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D346D59"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Krátkodobá likvidita (L2) (PPL)</w:t>
            </w:r>
          </w:p>
        </w:tc>
        <w:tc>
          <w:tcPr>
            <w:tcW w:w="940" w:type="dxa"/>
            <w:tcBorders>
              <w:top w:val="single" w:sz="4" w:space="0" w:color="auto"/>
              <w:left w:val="single" w:sz="4" w:space="0" w:color="auto"/>
              <w:bottom w:val="single" w:sz="4" w:space="0" w:color="auto"/>
              <w:right w:val="single" w:sz="4" w:space="0" w:color="auto"/>
            </w:tcBorders>
            <w:shd w:val="clear" w:color="000000" w:fill="FA9773"/>
            <w:noWrap/>
            <w:vAlign w:val="bottom"/>
            <w:hideMark/>
          </w:tcPr>
          <w:p w14:paraId="5F53F47A"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4,92</w:t>
            </w:r>
          </w:p>
        </w:tc>
        <w:tc>
          <w:tcPr>
            <w:tcW w:w="940" w:type="dxa"/>
            <w:tcBorders>
              <w:top w:val="single" w:sz="4" w:space="0" w:color="auto"/>
              <w:left w:val="single" w:sz="4" w:space="0" w:color="auto"/>
              <w:bottom w:val="single" w:sz="4" w:space="0" w:color="auto"/>
              <w:right w:val="single" w:sz="4" w:space="0" w:color="auto"/>
            </w:tcBorders>
            <w:shd w:val="clear" w:color="000000" w:fill="E0E383"/>
            <w:noWrap/>
            <w:vAlign w:val="bottom"/>
            <w:hideMark/>
          </w:tcPr>
          <w:p w14:paraId="32D6E3FB"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6,52</w:t>
            </w:r>
          </w:p>
        </w:tc>
        <w:tc>
          <w:tcPr>
            <w:tcW w:w="9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F4F117"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9,04</w:t>
            </w:r>
          </w:p>
        </w:tc>
        <w:tc>
          <w:tcPr>
            <w:tcW w:w="9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7D2088C"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5,88</w:t>
            </w:r>
          </w:p>
        </w:tc>
        <w:tc>
          <w:tcPr>
            <w:tcW w:w="9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9ED32C"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4,39</w:t>
            </w:r>
          </w:p>
        </w:tc>
      </w:tr>
      <w:tr w:rsidR="00B83554" w:rsidRPr="00B83554" w14:paraId="6A5844A7" w14:textId="77777777" w:rsidTr="001D101D">
        <w:trPr>
          <w:trHeight w:val="17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DD7F3C4"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xml:space="preserve">Krytí zásob čistým pracovním kapitálem (KZČPK) </w:t>
            </w:r>
          </w:p>
        </w:tc>
        <w:tc>
          <w:tcPr>
            <w:tcW w:w="940" w:type="dxa"/>
            <w:tcBorders>
              <w:top w:val="single" w:sz="4" w:space="0" w:color="auto"/>
              <w:left w:val="single" w:sz="4" w:space="0" w:color="auto"/>
              <w:bottom w:val="single" w:sz="4" w:space="0" w:color="auto"/>
              <w:right w:val="single" w:sz="4" w:space="0" w:color="auto"/>
            </w:tcBorders>
            <w:shd w:val="clear" w:color="000000" w:fill="9BCE7F"/>
            <w:noWrap/>
            <w:vAlign w:val="bottom"/>
            <w:hideMark/>
          </w:tcPr>
          <w:p w14:paraId="20AF7FAB"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102,81</w:t>
            </w:r>
          </w:p>
        </w:tc>
        <w:tc>
          <w:tcPr>
            <w:tcW w:w="9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7C19851"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80,38</w:t>
            </w:r>
          </w:p>
        </w:tc>
        <w:tc>
          <w:tcPr>
            <w:tcW w:w="9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8FD230F"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115,05</w:t>
            </w:r>
          </w:p>
        </w:tc>
        <w:tc>
          <w:tcPr>
            <w:tcW w:w="940" w:type="dxa"/>
            <w:tcBorders>
              <w:top w:val="single" w:sz="4" w:space="0" w:color="auto"/>
              <w:left w:val="single" w:sz="4" w:space="0" w:color="auto"/>
              <w:bottom w:val="single" w:sz="4" w:space="0" w:color="auto"/>
              <w:right w:val="single" w:sz="4" w:space="0" w:color="auto"/>
            </w:tcBorders>
            <w:shd w:val="clear" w:color="000000" w:fill="FDCB7D"/>
            <w:noWrap/>
            <w:vAlign w:val="bottom"/>
            <w:hideMark/>
          </w:tcPr>
          <w:p w14:paraId="1236C2CE"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63,12</w:t>
            </w:r>
          </w:p>
        </w:tc>
        <w:tc>
          <w:tcPr>
            <w:tcW w:w="9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9DC0FD5"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8,79</w:t>
            </w:r>
          </w:p>
        </w:tc>
      </w:tr>
      <w:tr w:rsidR="00B83554" w:rsidRPr="00B83554" w14:paraId="4B212FD1" w14:textId="77777777" w:rsidTr="001D101D">
        <w:trPr>
          <w:trHeight w:val="17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74EB88C" w14:textId="77777777" w:rsidR="00B83554" w:rsidRPr="00B83554" w:rsidRDefault="00B83554" w:rsidP="00B83554">
            <w:pPr>
              <w:rPr>
                <w:rFonts w:ascii="Arial" w:hAnsi="Arial" w:cs="Arial"/>
                <w:b/>
                <w:bCs/>
                <w:color w:val="000000"/>
                <w:sz w:val="20"/>
                <w:szCs w:val="20"/>
              </w:rPr>
            </w:pPr>
            <w:r w:rsidRPr="00B83554">
              <w:rPr>
                <w:rFonts w:ascii="Arial" w:hAnsi="Arial" w:cs="Arial"/>
                <w:b/>
                <w:bCs/>
                <w:color w:val="000000"/>
                <w:sz w:val="20"/>
                <w:szCs w:val="20"/>
              </w:rPr>
              <w:t>Finanční stabilita</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20AB2B2"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F76165A"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04463AD"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AB09A51"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41D17A6"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w:t>
            </w:r>
          </w:p>
        </w:tc>
      </w:tr>
      <w:tr w:rsidR="00B83554" w:rsidRPr="00B83554" w14:paraId="1A79CD12" w14:textId="77777777" w:rsidTr="001D101D">
        <w:trPr>
          <w:trHeight w:val="17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3345013"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Doba splácení dluhu (DSD)</w:t>
            </w:r>
          </w:p>
        </w:tc>
        <w:tc>
          <w:tcPr>
            <w:tcW w:w="9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8F0B901"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0,57</w:t>
            </w:r>
          </w:p>
        </w:tc>
        <w:tc>
          <w:tcPr>
            <w:tcW w:w="940" w:type="dxa"/>
            <w:tcBorders>
              <w:top w:val="single" w:sz="4" w:space="0" w:color="auto"/>
              <w:left w:val="single" w:sz="4" w:space="0" w:color="auto"/>
              <w:bottom w:val="single" w:sz="4" w:space="0" w:color="auto"/>
              <w:right w:val="single" w:sz="4" w:space="0" w:color="auto"/>
            </w:tcBorders>
            <w:shd w:val="clear" w:color="000000" w:fill="F8796E"/>
            <w:noWrap/>
            <w:vAlign w:val="bottom"/>
            <w:hideMark/>
          </w:tcPr>
          <w:p w14:paraId="65F61581"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1,62</w:t>
            </w:r>
          </w:p>
        </w:tc>
        <w:tc>
          <w:tcPr>
            <w:tcW w:w="9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A3F445"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15,81</w:t>
            </w:r>
          </w:p>
        </w:tc>
        <w:tc>
          <w:tcPr>
            <w:tcW w:w="940"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14:paraId="28DEBEF4"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11,39</w:t>
            </w:r>
          </w:p>
        </w:tc>
        <w:tc>
          <w:tcPr>
            <w:tcW w:w="9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4505FD9"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8,81</w:t>
            </w:r>
          </w:p>
        </w:tc>
      </w:tr>
      <w:tr w:rsidR="00B83554" w:rsidRPr="00B83554" w14:paraId="62BD02A9" w14:textId="77777777" w:rsidTr="001D101D">
        <w:trPr>
          <w:trHeight w:val="17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DBCD8B8" w14:textId="77777777" w:rsidR="00B83554" w:rsidRPr="00B83554" w:rsidRDefault="00B83554" w:rsidP="00B83554">
            <w:pPr>
              <w:rPr>
                <w:rFonts w:ascii="Arial" w:hAnsi="Arial" w:cs="Arial"/>
                <w:color w:val="000000"/>
                <w:sz w:val="20"/>
                <w:szCs w:val="20"/>
              </w:rPr>
            </w:pPr>
            <w:r w:rsidRPr="00B83554">
              <w:rPr>
                <w:rFonts w:ascii="Arial" w:hAnsi="Arial" w:cs="Arial"/>
                <w:color w:val="000000"/>
                <w:sz w:val="20"/>
                <w:szCs w:val="20"/>
              </w:rPr>
              <w:t xml:space="preserve">Úrokové krytí (UK) </w:t>
            </w:r>
          </w:p>
        </w:tc>
        <w:tc>
          <w:tcPr>
            <w:tcW w:w="9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D2F8FD"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118,36</w:t>
            </w:r>
          </w:p>
        </w:tc>
        <w:tc>
          <w:tcPr>
            <w:tcW w:w="940" w:type="dxa"/>
            <w:tcBorders>
              <w:top w:val="single" w:sz="4" w:space="0" w:color="auto"/>
              <w:left w:val="single" w:sz="4" w:space="0" w:color="auto"/>
              <w:bottom w:val="single" w:sz="4" w:space="0" w:color="auto"/>
              <w:right w:val="single" w:sz="4" w:space="0" w:color="auto"/>
            </w:tcBorders>
            <w:shd w:val="clear" w:color="000000" w:fill="BAD780"/>
            <w:noWrap/>
            <w:vAlign w:val="bottom"/>
            <w:hideMark/>
          </w:tcPr>
          <w:p w14:paraId="18A6DC34"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54,80</w:t>
            </w:r>
          </w:p>
        </w:tc>
        <w:tc>
          <w:tcPr>
            <w:tcW w:w="9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45A65A5"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3,11</w:t>
            </w:r>
          </w:p>
        </w:tc>
        <w:tc>
          <w:tcPr>
            <w:tcW w:w="9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AFA51F8"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1,53</w:t>
            </w:r>
          </w:p>
        </w:tc>
        <w:tc>
          <w:tcPr>
            <w:tcW w:w="940" w:type="dxa"/>
            <w:tcBorders>
              <w:top w:val="single" w:sz="4" w:space="0" w:color="auto"/>
              <w:left w:val="single" w:sz="4" w:space="0" w:color="auto"/>
              <w:bottom w:val="single" w:sz="4" w:space="0" w:color="auto"/>
              <w:right w:val="single" w:sz="4" w:space="0" w:color="auto"/>
            </w:tcBorders>
            <w:shd w:val="clear" w:color="000000" w:fill="FDD47F"/>
            <w:noWrap/>
            <w:vAlign w:val="bottom"/>
            <w:hideMark/>
          </w:tcPr>
          <w:p w14:paraId="60276791" w14:textId="77777777" w:rsidR="00B83554" w:rsidRPr="00B83554" w:rsidRDefault="00B83554" w:rsidP="00B83554">
            <w:pPr>
              <w:jc w:val="right"/>
              <w:rPr>
                <w:rFonts w:ascii="Arial" w:hAnsi="Arial" w:cs="Arial"/>
                <w:color w:val="000000"/>
                <w:sz w:val="20"/>
                <w:szCs w:val="20"/>
              </w:rPr>
            </w:pPr>
            <w:r w:rsidRPr="00B83554">
              <w:rPr>
                <w:rFonts w:ascii="Arial" w:hAnsi="Arial" w:cs="Arial"/>
                <w:color w:val="000000"/>
                <w:sz w:val="20"/>
                <w:szCs w:val="20"/>
              </w:rPr>
              <w:t>2,84</w:t>
            </w:r>
          </w:p>
        </w:tc>
      </w:tr>
    </w:tbl>
    <w:p w14:paraId="3BD6C95E" w14:textId="79D43C87" w:rsidR="00B83554" w:rsidRDefault="00B83554" w:rsidP="00B83554">
      <w:pPr>
        <w:pStyle w:val="Odstavec1"/>
      </w:pPr>
      <w:r>
        <w:fldChar w:fldCharType="end"/>
      </w:r>
      <w:r w:rsidR="00C55F70">
        <w:t xml:space="preserve">Tab. 21: </w:t>
      </w:r>
      <w:r w:rsidR="0021779F">
        <w:t>Ukazatele Gr</w:t>
      </w:r>
      <w:r w:rsidR="0021779F" w:rsidRPr="0021779F">
        <w:t>ünwald</w:t>
      </w:r>
      <w:r w:rsidR="0021779F">
        <w:t>ova modelu</w:t>
      </w:r>
    </w:p>
    <w:p w14:paraId="64CD20CE" w14:textId="77777777" w:rsidR="00F76909" w:rsidRDefault="00F76909" w:rsidP="00F76909">
      <w:pPr>
        <w:pStyle w:val="Dalodstavce"/>
        <w:ind w:firstLine="0"/>
      </w:pPr>
    </w:p>
    <w:p w14:paraId="3728D488" w14:textId="77777777" w:rsidR="00F76909" w:rsidRDefault="00F76909" w:rsidP="00F76909">
      <w:pPr>
        <w:pStyle w:val="Dalodstavce"/>
        <w:ind w:firstLine="0"/>
      </w:pPr>
    </w:p>
    <w:p w14:paraId="0BCB7AAE" w14:textId="77777777" w:rsidR="00F76909" w:rsidRDefault="00F76909" w:rsidP="00F76909">
      <w:pPr>
        <w:pStyle w:val="Dalodstavce"/>
        <w:ind w:firstLine="0"/>
      </w:pPr>
    </w:p>
    <w:p w14:paraId="624482D6" w14:textId="23BF6FFF" w:rsidR="004D0909" w:rsidRDefault="00F76909" w:rsidP="00F76909">
      <w:pPr>
        <w:pStyle w:val="Dalodstavce"/>
        <w:ind w:firstLine="0"/>
      </w:pPr>
      <w:r>
        <w:t xml:space="preserve">Aby bylo možné vypočítat </w:t>
      </w:r>
      <w:r w:rsidR="008659D4">
        <w:t xml:space="preserve">výsledné hodnoty GIB, musely být </w:t>
      </w:r>
      <w:r w:rsidR="004D0909">
        <w:t xml:space="preserve">stanoveny ještě dodatečné ukazatele: </w:t>
      </w:r>
    </w:p>
    <w:tbl>
      <w:tblPr>
        <w:tblW w:w="4057" w:type="dxa"/>
        <w:tblInd w:w="1913" w:type="dxa"/>
        <w:tblCellMar>
          <w:left w:w="70" w:type="dxa"/>
          <w:right w:w="70" w:type="dxa"/>
        </w:tblCellMar>
        <w:tblLook w:val="04A0" w:firstRow="1" w:lastRow="0" w:firstColumn="1" w:lastColumn="0" w:noHBand="0" w:noVBand="1"/>
      </w:tblPr>
      <w:tblGrid>
        <w:gridCol w:w="3117"/>
        <w:gridCol w:w="940"/>
      </w:tblGrid>
      <w:tr w:rsidR="004D0909" w:rsidRPr="004D0909" w14:paraId="513A0CC3" w14:textId="77777777" w:rsidTr="00BD7095">
        <w:trPr>
          <w:trHeight w:val="510"/>
        </w:trPr>
        <w:tc>
          <w:tcPr>
            <w:tcW w:w="3117" w:type="dxa"/>
            <w:tcBorders>
              <w:top w:val="nil"/>
              <w:left w:val="nil"/>
              <w:bottom w:val="nil"/>
              <w:right w:val="nil"/>
            </w:tcBorders>
            <w:shd w:val="clear" w:color="auto" w:fill="auto"/>
            <w:noWrap/>
            <w:vAlign w:val="bottom"/>
            <w:hideMark/>
          </w:tcPr>
          <w:p w14:paraId="177C53AB" w14:textId="77777777" w:rsidR="004D0909" w:rsidRPr="004D0909" w:rsidRDefault="004D0909" w:rsidP="004D0909">
            <w:pPr>
              <w:rPr>
                <w:rFonts w:asciiTheme="minorHAnsi" w:hAnsiTheme="minorHAnsi" w:cs="Arial"/>
                <w:color w:val="000000" w:themeColor="text1"/>
                <w:sz w:val="20"/>
                <w:szCs w:val="20"/>
              </w:rPr>
            </w:pPr>
            <w:r w:rsidRPr="004D0909">
              <w:rPr>
                <w:rFonts w:asciiTheme="minorHAnsi" w:hAnsiTheme="minorHAnsi" w:cs="Arial"/>
                <w:color w:val="000000" w:themeColor="text1"/>
                <w:sz w:val="20"/>
                <w:szCs w:val="20"/>
              </w:rPr>
              <w:t>h = u × (1 – d)</w:t>
            </w:r>
          </w:p>
        </w:tc>
        <w:tc>
          <w:tcPr>
            <w:tcW w:w="940" w:type="dxa"/>
            <w:tcBorders>
              <w:top w:val="nil"/>
              <w:left w:val="nil"/>
              <w:bottom w:val="nil"/>
              <w:right w:val="nil"/>
            </w:tcBorders>
            <w:shd w:val="clear" w:color="auto" w:fill="auto"/>
            <w:noWrap/>
            <w:vAlign w:val="bottom"/>
            <w:hideMark/>
          </w:tcPr>
          <w:p w14:paraId="17A287A2" w14:textId="0A7F1016" w:rsidR="004D0909" w:rsidRPr="004D0909" w:rsidRDefault="004D0909" w:rsidP="004D0909">
            <w:pPr>
              <w:jc w:val="right"/>
              <w:rPr>
                <w:rFonts w:asciiTheme="minorHAnsi" w:hAnsiTheme="minorHAnsi" w:cs="Arial"/>
                <w:color w:val="000000" w:themeColor="text1"/>
                <w:sz w:val="20"/>
                <w:szCs w:val="20"/>
              </w:rPr>
            </w:pPr>
            <w:r w:rsidRPr="004D0909">
              <w:rPr>
                <w:rFonts w:asciiTheme="minorHAnsi" w:hAnsiTheme="minorHAnsi" w:cs="Arial"/>
                <w:color w:val="000000" w:themeColor="text1"/>
                <w:sz w:val="20"/>
                <w:szCs w:val="20"/>
              </w:rPr>
              <w:t>3</w:t>
            </w:r>
            <w:r>
              <w:rPr>
                <w:rFonts w:asciiTheme="minorHAnsi" w:hAnsiTheme="minorHAnsi" w:cs="Arial"/>
                <w:color w:val="000000" w:themeColor="text1"/>
                <w:sz w:val="20"/>
                <w:szCs w:val="20"/>
              </w:rPr>
              <w:t>,</w:t>
            </w:r>
            <w:r w:rsidRPr="004D0909">
              <w:rPr>
                <w:rFonts w:asciiTheme="minorHAnsi" w:hAnsiTheme="minorHAnsi" w:cs="Arial"/>
                <w:color w:val="000000" w:themeColor="text1"/>
                <w:sz w:val="20"/>
                <w:szCs w:val="20"/>
              </w:rPr>
              <w:t>6</w:t>
            </w:r>
            <w:r>
              <w:rPr>
                <w:rFonts w:asciiTheme="minorHAnsi" w:hAnsiTheme="minorHAnsi" w:cs="Arial"/>
                <w:color w:val="000000" w:themeColor="text1"/>
                <w:sz w:val="20"/>
                <w:szCs w:val="20"/>
              </w:rPr>
              <w:t xml:space="preserve"> %</w:t>
            </w:r>
          </w:p>
        </w:tc>
      </w:tr>
      <w:tr w:rsidR="004D0909" w:rsidRPr="004D0909" w14:paraId="19F8F2D5" w14:textId="77777777" w:rsidTr="00BD7095">
        <w:trPr>
          <w:trHeight w:val="510"/>
        </w:trPr>
        <w:tc>
          <w:tcPr>
            <w:tcW w:w="3117" w:type="dxa"/>
            <w:tcBorders>
              <w:top w:val="nil"/>
              <w:left w:val="nil"/>
              <w:bottom w:val="nil"/>
              <w:right w:val="nil"/>
            </w:tcBorders>
            <w:shd w:val="clear" w:color="auto" w:fill="auto"/>
            <w:noWrap/>
            <w:vAlign w:val="bottom"/>
            <w:hideMark/>
          </w:tcPr>
          <w:p w14:paraId="795C2A73" w14:textId="7C362A47" w:rsidR="004D0909" w:rsidRPr="004D0909" w:rsidRDefault="004D0909" w:rsidP="004D0909">
            <w:pPr>
              <w:rPr>
                <w:rFonts w:asciiTheme="minorHAnsi" w:hAnsiTheme="minorHAnsi" w:cs="Arial"/>
                <w:color w:val="000000" w:themeColor="text1"/>
                <w:sz w:val="20"/>
                <w:szCs w:val="20"/>
              </w:rPr>
            </w:pPr>
            <w:r w:rsidRPr="004D0909">
              <w:rPr>
                <w:rFonts w:asciiTheme="minorHAnsi" w:hAnsiTheme="minorHAnsi" w:cs="Arial"/>
                <w:color w:val="000000" w:themeColor="text1"/>
                <w:sz w:val="20"/>
                <w:szCs w:val="20"/>
              </w:rPr>
              <w:t>u = průměrná úroková míra</w:t>
            </w:r>
          </w:p>
        </w:tc>
        <w:tc>
          <w:tcPr>
            <w:tcW w:w="940" w:type="dxa"/>
            <w:tcBorders>
              <w:top w:val="nil"/>
              <w:left w:val="nil"/>
              <w:bottom w:val="nil"/>
              <w:right w:val="nil"/>
            </w:tcBorders>
            <w:shd w:val="clear" w:color="auto" w:fill="auto"/>
            <w:noWrap/>
            <w:vAlign w:val="bottom"/>
            <w:hideMark/>
          </w:tcPr>
          <w:p w14:paraId="5FD56E65" w14:textId="6ABBEBB8" w:rsidR="004D0909" w:rsidRPr="004D0909" w:rsidRDefault="004D0909" w:rsidP="004D0909">
            <w:pPr>
              <w:jc w:val="right"/>
              <w:rPr>
                <w:rFonts w:asciiTheme="minorHAnsi" w:hAnsiTheme="minorHAnsi" w:cs="Arial"/>
                <w:color w:val="000000" w:themeColor="text1"/>
                <w:sz w:val="20"/>
                <w:szCs w:val="20"/>
              </w:rPr>
            </w:pPr>
            <w:r>
              <w:rPr>
                <w:rFonts w:asciiTheme="minorHAnsi" w:hAnsiTheme="minorHAnsi" w:cs="Arial"/>
                <w:color w:val="000000" w:themeColor="text1"/>
                <w:sz w:val="20"/>
                <w:szCs w:val="20"/>
              </w:rPr>
              <w:t>4,5 %</w:t>
            </w:r>
          </w:p>
        </w:tc>
      </w:tr>
      <w:tr w:rsidR="004D0909" w:rsidRPr="004D0909" w14:paraId="28CD7925" w14:textId="77777777" w:rsidTr="00BD7095">
        <w:trPr>
          <w:trHeight w:val="510"/>
        </w:trPr>
        <w:tc>
          <w:tcPr>
            <w:tcW w:w="3117" w:type="dxa"/>
            <w:tcBorders>
              <w:top w:val="nil"/>
              <w:left w:val="nil"/>
              <w:bottom w:val="nil"/>
              <w:right w:val="nil"/>
            </w:tcBorders>
            <w:shd w:val="clear" w:color="auto" w:fill="auto"/>
            <w:noWrap/>
            <w:vAlign w:val="bottom"/>
            <w:hideMark/>
          </w:tcPr>
          <w:p w14:paraId="7E889C8F" w14:textId="1FA3878B" w:rsidR="004D0909" w:rsidRPr="004D0909" w:rsidRDefault="004D0909" w:rsidP="004D0909">
            <w:pPr>
              <w:rPr>
                <w:rFonts w:asciiTheme="minorHAnsi" w:hAnsiTheme="minorHAnsi" w:cs="Open Sans"/>
                <w:color w:val="000000" w:themeColor="text1"/>
                <w:sz w:val="20"/>
                <w:szCs w:val="20"/>
              </w:rPr>
            </w:pPr>
            <w:r w:rsidRPr="004D0909">
              <w:rPr>
                <w:rFonts w:asciiTheme="minorHAnsi" w:hAnsiTheme="minorHAnsi" w:cs="Open Sans"/>
                <w:color w:val="000000" w:themeColor="text1"/>
                <w:sz w:val="20"/>
                <w:szCs w:val="20"/>
              </w:rPr>
              <w:t>d = sdp = sazba daně z příjmu</w:t>
            </w:r>
          </w:p>
        </w:tc>
        <w:tc>
          <w:tcPr>
            <w:tcW w:w="940" w:type="dxa"/>
            <w:tcBorders>
              <w:top w:val="nil"/>
              <w:left w:val="nil"/>
              <w:bottom w:val="nil"/>
              <w:right w:val="nil"/>
            </w:tcBorders>
            <w:shd w:val="clear" w:color="auto" w:fill="auto"/>
            <w:noWrap/>
            <w:vAlign w:val="bottom"/>
            <w:hideMark/>
          </w:tcPr>
          <w:p w14:paraId="59EB0937" w14:textId="7EC2A29B" w:rsidR="004D0909" w:rsidRPr="004D0909" w:rsidRDefault="004D0909" w:rsidP="004D0909">
            <w:pPr>
              <w:jc w:val="right"/>
              <w:rPr>
                <w:rFonts w:asciiTheme="minorHAnsi" w:hAnsiTheme="minorHAnsi" w:cs="Arial"/>
                <w:color w:val="000000" w:themeColor="text1"/>
                <w:sz w:val="20"/>
                <w:szCs w:val="20"/>
              </w:rPr>
            </w:pPr>
            <w:r w:rsidRPr="004D0909">
              <w:rPr>
                <w:rFonts w:asciiTheme="minorHAnsi" w:hAnsiTheme="minorHAnsi" w:cs="Arial"/>
                <w:color w:val="000000" w:themeColor="text1"/>
                <w:sz w:val="20"/>
                <w:szCs w:val="20"/>
              </w:rPr>
              <w:t>19</w:t>
            </w:r>
            <w:r w:rsidR="00BD7095">
              <w:rPr>
                <w:rFonts w:asciiTheme="minorHAnsi" w:hAnsiTheme="minorHAnsi" w:cs="Arial"/>
                <w:color w:val="000000" w:themeColor="text1"/>
                <w:sz w:val="20"/>
                <w:szCs w:val="20"/>
              </w:rPr>
              <w:t xml:space="preserve"> %</w:t>
            </w:r>
          </w:p>
        </w:tc>
      </w:tr>
    </w:tbl>
    <w:p w14:paraId="586028C8" w14:textId="5A5222DE" w:rsidR="00F76909" w:rsidRPr="00F76909" w:rsidRDefault="00BD7095" w:rsidP="007B6A87">
      <w:pPr>
        <w:pStyle w:val="Dalodstavce"/>
        <w:ind w:firstLine="0"/>
      </w:pPr>
      <w:r>
        <w:t>Poté byl</w:t>
      </w:r>
      <w:r w:rsidR="00EF7D4D">
        <w:t>a dle vzorce: G</w:t>
      </w:r>
      <w:r w:rsidR="00EF7D4D" w:rsidRPr="00EF7D4D">
        <w:t>IB = (ROE/h + ROA/u + L2/1 + KZČPK/z + DSD/s + UK/k)/6</w:t>
      </w:r>
      <w:r w:rsidR="00EF7D4D">
        <w:t xml:space="preserve"> vypočtena finální hodnota</w:t>
      </w:r>
      <w:r w:rsidR="000F2AD6">
        <w:t xml:space="preserve"> GIB, která je zvýrazněna v Tab. 22. </w:t>
      </w:r>
      <w:r w:rsidR="005A7D6D">
        <w:t xml:space="preserve">Tyto hodnoty by se však měly pohybovat v intervalu 0-3, což se v tomto případě neukazuje. Důvodem je zkreslení ukazatelem KZČPK A UK, které dosahují obrovských hodnot, především kvůli nízkým zásobám podniku a nízkým úrokům v prvních dvou sledovaných letech. Na druhou stranu však i přesto lze tvrdit, že společnost </w:t>
      </w:r>
      <w:r w:rsidR="00031EAC">
        <w:t xml:space="preserve">byla velmi </w:t>
      </w:r>
      <w:r w:rsidR="005A7D6D">
        <w:t>bonitní</w:t>
      </w:r>
      <w:r w:rsidR="00031EAC">
        <w:t xml:space="preserve"> v letech 2017 a 2018</w:t>
      </w:r>
      <w:r w:rsidR="005A7D6D">
        <w:t>, jelikož se všechny ukaz</w:t>
      </w:r>
      <w:r w:rsidR="006C6F95">
        <w:t>atele</w:t>
      </w:r>
      <w:r w:rsidR="002F37E1">
        <w:t xml:space="preserve"> se pohybují</w:t>
      </w:r>
      <w:r w:rsidR="005A7D6D">
        <w:t xml:space="preserve"> </w:t>
      </w:r>
      <w:r w:rsidR="007B6A87">
        <w:t xml:space="preserve">výrazně nad hodnotou 1. Další roky se bonitní situace podniku Disting výrazně zhoršila, kvůli již dříve zmiňovaným skutečnostem. </w:t>
      </w:r>
      <w:r w:rsidR="00297122">
        <w:t xml:space="preserve">Vývoj těchto hodnot můžeme vidět </w:t>
      </w:r>
      <w:r w:rsidR="007B6A87">
        <w:t>v</w:t>
      </w:r>
      <w:r w:rsidR="00297122">
        <w:t xml:space="preserve"> Grafu </w:t>
      </w:r>
      <w:r w:rsidR="007B6A87">
        <w:t>22.</w:t>
      </w:r>
    </w:p>
    <w:p w14:paraId="5B2FBFF5" w14:textId="1A0C7CD8" w:rsidR="001D101D" w:rsidRDefault="001D101D" w:rsidP="001D101D">
      <w:pPr>
        <w:pStyle w:val="Dalodstavce"/>
        <w:ind w:firstLine="0"/>
      </w:pPr>
      <w:r>
        <w:fldChar w:fldCharType="begin"/>
      </w:r>
      <w:r>
        <w:instrText xml:space="preserve"> LINK </w:instrText>
      </w:r>
      <w:r w:rsidR="00801DF4">
        <w:instrText xml:space="preserve">Excel.Sheet.12 https://ucnmuni-my.sharepoint.com/personal/495861_muni_cz/Documents/FMAN%20after%20VLAK.xlsx BONITNÍ!R24C11:R31C16 </w:instrText>
      </w:r>
      <w:r>
        <w:instrText xml:space="preserve">\a \f 4 \h </w:instrText>
      </w:r>
      <w:r>
        <w:fldChar w:fldCharType="separate"/>
      </w:r>
    </w:p>
    <w:tbl>
      <w:tblPr>
        <w:tblW w:w="7540" w:type="dxa"/>
        <w:tblCellMar>
          <w:left w:w="70" w:type="dxa"/>
          <w:right w:w="70" w:type="dxa"/>
        </w:tblCellMar>
        <w:tblLook w:val="04A0" w:firstRow="1" w:lastRow="0" w:firstColumn="1" w:lastColumn="0" w:noHBand="0" w:noVBand="1"/>
      </w:tblPr>
      <w:tblGrid>
        <w:gridCol w:w="2840"/>
        <w:gridCol w:w="940"/>
        <w:gridCol w:w="940"/>
        <w:gridCol w:w="940"/>
        <w:gridCol w:w="940"/>
        <w:gridCol w:w="940"/>
      </w:tblGrid>
      <w:tr w:rsidR="001D101D" w:rsidRPr="001D101D" w14:paraId="3A260725" w14:textId="77777777" w:rsidTr="001D101D">
        <w:trPr>
          <w:trHeight w:val="340"/>
        </w:trPr>
        <w:tc>
          <w:tcPr>
            <w:tcW w:w="284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083D597" w14:textId="62EDE324" w:rsidR="001D101D" w:rsidRPr="001D101D" w:rsidRDefault="001D101D" w:rsidP="001D101D">
            <w:pPr>
              <w:rPr>
                <w:rFonts w:ascii="Arial" w:hAnsi="Arial" w:cs="Arial"/>
                <w:color w:val="000000"/>
                <w:sz w:val="20"/>
                <w:szCs w:val="20"/>
              </w:rPr>
            </w:pPr>
            <w:r w:rsidRPr="001D101D">
              <w:rPr>
                <w:rFonts w:ascii="Arial" w:hAnsi="Arial" w:cs="Arial"/>
                <w:color w:val="000000"/>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CA5B0FC" w14:textId="77777777" w:rsidR="001D101D" w:rsidRPr="001D101D" w:rsidRDefault="001D101D" w:rsidP="001D101D">
            <w:pPr>
              <w:jc w:val="center"/>
              <w:rPr>
                <w:rFonts w:ascii="Arial" w:hAnsi="Arial" w:cs="Arial"/>
                <w:color w:val="000000"/>
                <w:sz w:val="20"/>
                <w:szCs w:val="20"/>
              </w:rPr>
            </w:pPr>
            <w:r w:rsidRPr="001D101D">
              <w:rPr>
                <w:rFonts w:ascii="Arial" w:hAnsi="Arial" w:cs="Arial"/>
                <w:color w:val="000000"/>
                <w:sz w:val="20"/>
                <w:szCs w:val="20"/>
              </w:rPr>
              <w:t>2017</w:t>
            </w:r>
          </w:p>
        </w:tc>
        <w:tc>
          <w:tcPr>
            <w:tcW w:w="94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B83970D" w14:textId="77777777" w:rsidR="001D101D" w:rsidRPr="001D101D" w:rsidRDefault="001D101D" w:rsidP="001D101D">
            <w:pPr>
              <w:jc w:val="center"/>
              <w:rPr>
                <w:rFonts w:ascii="Arial" w:hAnsi="Arial" w:cs="Arial"/>
                <w:color w:val="000000"/>
                <w:sz w:val="20"/>
                <w:szCs w:val="20"/>
              </w:rPr>
            </w:pPr>
            <w:r w:rsidRPr="001D101D">
              <w:rPr>
                <w:rFonts w:ascii="Arial" w:hAnsi="Arial" w:cs="Arial"/>
                <w:color w:val="000000"/>
                <w:sz w:val="20"/>
                <w:szCs w:val="20"/>
              </w:rPr>
              <w:t>2018</w:t>
            </w:r>
          </w:p>
        </w:tc>
        <w:tc>
          <w:tcPr>
            <w:tcW w:w="94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246BB6A" w14:textId="77777777" w:rsidR="001D101D" w:rsidRPr="001D101D" w:rsidRDefault="001D101D" w:rsidP="001D101D">
            <w:pPr>
              <w:jc w:val="center"/>
              <w:rPr>
                <w:rFonts w:ascii="Arial" w:hAnsi="Arial" w:cs="Arial"/>
                <w:color w:val="000000"/>
                <w:sz w:val="20"/>
                <w:szCs w:val="20"/>
              </w:rPr>
            </w:pPr>
            <w:r w:rsidRPr="001D101D">
              <w:rPr>
                <w:rFonts w:ascii="Arial" w:hAnsi="Arial" w:cs="Arial"/>
                <w:color w:val="000000"/>
                <w:sz w:val="20"/>
                <w:szCs w:val="20"/>
              </w:rPr>
              <w:t>2019</w:t>
            </w:r>
          </w:p>
        </w:tc>
        <w:tc>
          <w:tcPr>
            <w:tcW w:w="94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E90CEB6" w14:textId="77777777" w:rsidR="001D101D" w:rsidRPr="001D101D" w:rsidRDefault="001D101D" w:rsidP="001D101D">
            <w:pPr>
              <w:jc w:val="center"/>
              <w:rPr>
                <w:rFonts w:ascii="Arial" w:hAnsi="Arial" w:cs="Arial"/>
                <w:color w:val="000000"/>
                <w:sz w:val="20"/>
                <w:szCs w:val="20"/>
              </w:rPr>
            </w:pPr>
            <w:r w:rsidRPr="001D101D">
              <w:rPr>
                <w:rFonts w:ascii="Arial" w:hAnsi="Arial" w:cs="Arial"/>
                <w:color w:val="000000"/>
                <w:sz w:val="20"/>
                <w:szCs w:val="20"/>
              </w:rPr>
              <w:t>2020</w:t>
            </w:r>
          </w:p>
        </w:tc>
        <w:tc>
          <w:tcPr>
            <w:tcW w:w="94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45709F7" w14:textId="77777777" w:rsidR="001D101D" w:rsidRPr="001D101D" w:rsidRDefault="001D101D" w:rsidP="001D101D">
            <w:pPr>
              <w:jc w:val="center"/>
              <w:rPr>
                <w:rFonts w:ascii="Arial" w:hAnsi="Arial" w:cs="Arial"/>
                <w:color w:val="000000"/>
                <w:sz w:val="20"/>
                <w:szCs w:val="20"/>
              </w:rPr>
            </w:pPr>
            <w:r w:rsidRPr="001D101D">
              <w:rPr>
                <w:rFonts w:ascii="Arial" w:hAnsi="Arial" w:cs="Arial"/>
                <w:color w:val="000000"/>
                <w:sz w:val="20"/>
                <w:szCs w:val="20"/>
              </w:rPr>
              <w:t>2021</w:t>
            </w:r>
          </w:p>
        </w:tc>
      </w:tr>
      <w:tr w:rsidR="001D101D" w:rsidRPr="001D101D" w14:paraId="3E52D787" w14:textId="77777777" w:rsidTr="001D101D">
        <w:trPr>
          <w:trHeight w:val="34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FECFC0B" w14:textId="77777777" w:rsidR="001D101D" w:rsidRPr="001D101D" w:rsidRDefault="001D101D" w:rsidP="001D101D">
            <w:pPr>
              <w:rPr>
                <w:rFonts w:ascii="Arial" w:hAnsi="Arial" w:cs="Arial"/>
                <w:color w:val="000000"/>
                <w:sz w:val="20"/>
                <w:szCs w:val="20"/>
              </w:rPr>
            </w:pPr>
            <w:r w:rsidRPr="001D101D">
              <w:rPr>
                <w:rFonts w:ascii="Arial" w:hAnsi="Arial" w:cs="Arial"/>
                <w:color w:val="000000"/>
                <w:sz w:val="20"/>
                <w:szCs w:val="20"/>
              </w:rPr>
              <w:t>ROE/h</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E1787"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6,14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94E3D"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4,16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B5CD7"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0,43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58669"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0,20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24FF9"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0,46</w:t>
            </w:r>
          </w:p>
        </w:tc>
      </w:tr>
      <w:tr w:rsidR="001D101D" w:rsidRPr="001D101D" w14:paraId="474FC590" w14:textId="77777777" w:rsidTr="001D101D">
        <w:trPr>
          <w:trHeight w:val="34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B23283E" w14:textId="77777777" w:rsidR="001D101D" w:rsidRPr="001D101D" w:rsidRDefault="001D101D" w:rsidP="001D101D">
            <w:pPr>
              <w:rPr>
                <w:rFonts w:ascii="Arial" w:hAnsi="Arial" w:cs="Arial"/>
                <w:color w:val="000000"/>
                <w:sz w:val="20"/>
                <w:szCs w:val="20"/>
              </w:rPr>
            </w:pPr>
            <w:r w:rsidRPr="001D101D">
              <w:rPr>
                <w:rFonts w:ascii="Arial" w:hAnsi="Arial" w:cs="Arial"/>
                <w:color w:val="000000"/>
                <w:sz w:val="20"/>
                <w:szCs w:val="20"/>
              </w:rPr>
              <w:t>ROA/u</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B8FF7"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5,32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ECE79"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3,19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3C655"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0,41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C8491"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0,40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698C7"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0,52</w:t>
            </w:r>
          </w:p>
        </w:tc>
      </w:tr>
      <w:tr w:rsidR="001D101D" w:rsidRPr="001D101D" w14:paraId="3CE8C992" w14:textId="77777777" w:rsidTr="001D101D">
        <w:trPr>
          <w:trHeight w:val="34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A5AF2C9" w14:textId="77777777" w:rsidR="001D101D" w:rsidRPr="001D101D" w:rsidRDefault="001D101D" w:rsidP="001D101D">
            <w:pPr>
              <w:rPr>
                <w:rFonts w:ascii="Arial" w:hAnsi="Arial" w:cs="Arial"/>
                <w:color w:val="000000"/>
                <w:sz w:val="20"/>
                <w:szCs w:val="20"/>
              </w:rPr>
            </w:pPr>
            <w:r w:rsidRPr="001D101D">
              <w:rPr>
                <w:rFonts w:ascii="Arial" w:hAnsi="Arial" w:cs="Arial"/>
                <w:color w:val="000000"/>
                <w:sz w:val="20"/>
                <w:szCs w:val="20"/>
              </w:rPr>
              <w:t>L2/1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1022D"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4,92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D6D8A"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6,52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FFDE8"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9,04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C7EA7"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5,88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3B08D"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4,39</w:t>
            </w:r>
          </w:p>
        </w:tc>
      </w:tr>
      <w:tr w:rsidR="001D101D" w:rsidRPr="001D101D" w14:paraId="065471C8" w14:textId="77777777" w:rsidTr="001D101D">
        <w:trPr>
          <w:trHeight w:val="34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989B04B" w14:textId="77777777" w:rsidR="001D101D" w:rsidRPr="001D101D" w:rsidRDefault="001D101D" w:rsidP="001D101D">
            <w:pPr>
              <w:rPr>
                <w:rFonts w:ascii="Arial" w:hAnsi="Arial" w:cs="Arial"/>
                <w:color w:val="000000"/>
                <w:sz w:val="20"/>
                <w:szCs w:val="20"/>
              </w:rPr>
            </w:pPr>
            <w:r w:rsidRPr="001D101D">
              <w:rPr>
                <w:rFonts w:ascii="Arial" w:hAnsi="Arial" w:cs="Arial"/>
                <w:color w:val="000000"/>
                <w:sz w:val="20"/>
                <w:szCs w:val="20"/>
              </w:rPr>
              <w:t>KZČPK/1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D12C6"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102,81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6147D"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80,38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CE217"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115,05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A6EAA"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63,12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42F39"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8,79</w:t>
            </w:r>
          </w:p>
        </w:tc>
      </w:tr>
      <w:tr w:rsidR="001D101D" w:rsidRPr="001D101D" w14:paraId="11577D04" w14:textId="77777777" w:rsidTr="001D101D">
        <w:trPr>
          <w:trHeight w:val="34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09DB17D" w14:textId="77777777" w:rsidR="001D101D" w:rsidRPr="001D101D" w:rsidRDefault="001D101D" w:rsidP="001D101D">
            <w:pPr>
              <w:rPr>
                <w:rFonts w:ascii="Arial" w:hAnsi="Arial" w:cs="Arial"/>
                <w:color w:val="000000"/>
                <w:sz w:val="20"/>
                <w:szCs w:val="20"/>
              </w:rPr>
            </w:pPr>
            <w:r w:rsidRPr="001D101D">
              <w:rPr>
                <w:rFonts w:ascii="Arial" w:hAnsi="Arial" w:cs="Arial"/>
                <w:color w:val="000000"/>
                <w:sz w:val="20"/>
                <w:szCs w:val="20"/>
              </w:rPr>
              <w:t>DSD/1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EEC36"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0,57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8D1BA"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1,62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274A9"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15,81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231B0"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11,39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912E9"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8,81</w:t>
            </w:r>
          </w:p>
        </w:tc>
      </w:tr>
      <w:tr w:rsidR="001D101D" w:rsidRPr="001D101D" w14:paraId="66585AF9" w14:textId="77777777" w:rsidTr="001D101D">
        <w:trPr>
          <w:trHeight w:val="340"/>
        </w:trPr>
        <w:tc>
          <w:tcPr>
            <w:tcW w:w="284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463CC68" w14:textId="77777777" w:rsidR="001D101D" w:rsidRPr="001D101D" w:rsidRDefault="001D101D" w:rsidP="001D101D">
            <w:pPr>
              <w:rPr>
                <w:rFonts w:ascii="Arial" w:hAnsi="Arial" w:cs="Arial"/>
                <w:color w:val="000000"/>
                <w:sz w:val="20"/>
                <w:szCs w:val="20"/>
              </w:rPr>
            </w:pPr>
            <w:r w:rsidRPr="001D101D">
              <w:rPr>
                <w:rFonts w:ascii="Arial" w:hAnsi="Arial" w:cs="Arial"/>
                <w:color w:val="000000"/>
                <w:sz w:val="20"/>
                <w:szCs w:val="20"/>
              </w:rPr>
              <w:t>UK/2,5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59655"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47,34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531F0"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21,92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9B615"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1,24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AFAB3"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0,61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09245"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1,14</w:t>
            </w:r>
          </w:p>
        </w:tc>
      </w:tr>
      <w:tr w:rsidR="001D101D" w:rsidRPr="001D101D" w14:paraId="0EA475D5" w14:textId="77777777" w:rsidTr="001D101D">
        <w:trPr>
          <w:trHeight w:val="340"/>
        </w:trPr>
        <w:tc>
          <w:tcPr>
            <w:tcW w:w="284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6A6F0AD" w14:textId="5F0FE558" w:rsidR="001D101D" w:rsidRPr="001D101D" w:rsidRDefault="00F76909" w:rsidP="001D101D">
            <w:pPr>
              <w:rPr>
                <w:rFonts w:ascii="Arial" w:hAnsi="Arial" w:cs="Arial"/>
                <w:color w:val="000000"/>
                <w:sz w:val="20"/>
                <w:szCs w:val="20"/>
              </w:rPr>
            </w:pPr>
            <w:r>
              <w:rPr>
                <w:rFonts w:ascii="Arial" w:hAnsi="Arial" w:cs="Arial"/>
                <w:color w:val="000000"/>
                <w:sz w:val="20"/>
                <w:szCs w:val="20"/>
              </w:rPr>
              <w:t>G</w:t>
            </w:r>
            <w:r w:rsidR="001D101D" w:rsidRPr="001D101D">
              <w:rPr>
                <w:rFonts w:ascii="Arial" w:hAnsi="Arial" w:cs="Arial"/>
                <w:color w:val="000000"/>
                <w:sz w:val="20"/>
                <w:szCs w:val="20"/>
              </w:rPr>
              <w:t>IB = (ROE/h + ROA/u + L2/1 + KZČPK/z + DSD/s + UK/k)/6</w:t>
            </w:r>
          </w:p>
        </w:tc>
        <w:tc>
          <w:tcPr>
            <w:tcW w:w="9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D6BFE1B"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27,85</w:t>
            </w:r>
          </w:p>
        </w:tc>
        <w:tc>
          <w:tcPr>
            <w:tcW w:w="9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30022CF"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19,63</w:t>
            </w:r>
          </w:p>
        </w:tc>
        <w:tc>
          <w:tcPr>
            <w:tcW w:w="9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744203C"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23,66</w:t>
            </w:r>
          </w:p>
        </w:tc>
        <w:tc>
          <w:tcPr>
            <w:tcW w:w="9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B95911C"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13,60</w:t>
            </w:r>
          </w:p>
        </w:tc>
        <w:tc>
          <w:tcPr>
            <w:tcW w:w="9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3ECCDEA" w14:textId="77777777" w:rsidR="001D101D" w:rsidRPr="001D101D" w:rsidRDefault="001D101D" w:rsidP="001D101D">
            <w:pPr>
              <w:jc w:val="right"/>
              <w:rPr>
                <w:rFonts w:ascii="Arial" w:hAnsi="Arial" w:cs="Arial"/>
                <w:color w:val="000000"/>
                <w:sz w:val="20"/>
                <w:szCs w:val="20"/>
              </w:rPr>
            </w:pPr>
            <w:r w:rsidRPr="001D101D">
              <w:rPr>
                <w:rFonts w:ascii="Arial" w:hAnsi="Arial" w:cs="Arial"/>
                <w:color w:val="000000"/>
                <w:sz w:val="20"/>
                <w:szCs w:val="20"/>
              </w:rPr>
              <w:t>4,02</w:t>
            </w:r>
          </w:p>
        </w:tc>
      </w:tr>
    </w:tbl>
    <w:p w14:paraId="407A041F" w14:textId="59BD5BDF" w:rsidR="001D101D" w:rsidRPr="001D101D" w:rsidRDefault="001D101D" w:rsidP="001D101D">
      <w:pPr>
        <w:pStyle w:val="Dalodstavce"/>
        <w:ind w:firstLine="0"/>
      </w:pPr>
      <w:r>
        <w:fldChar w:fldCharType="end"/>
      </w:r>
      <w:r w:rsidR="00ED3E32">
        <w:t>Tab. 22: Výsledné hodnoty GIB</w:t>
      </w:r>
    </w:p>
    <w:p w14:paraId="4BEE56C3" w14:textId="198F8E54" w:rsidR="00FD66EE" w:rsidRDefault="00FD66EE" w:rsidP="00FD66EE">
      <w:pPr>
        <w:pStyle w:val="Dalodstavce"/>
        <w:ind w:firstLine="0"/>
      </w:pPr>
    </w:p>
    <w:p w14:paraId="1F90B9AF" w14:textId="138D6797" w:rsidR="004D528A" w:rsidRPr="00B83554" w:rsidRDefault="004D528A" w:rsidP="00B83554">
      <w:pPr>
        <w:pStyle w:val="Dalodstavce"/>
      </w:pPr>
      <w:r>
        <w:rPr>
          <w:noProof/>
        </w:rPr>
        <w:lastRenderedPageBreak/>
        <w:drawing>
          <wp:inline distT="0" distB="0" distL="0" distR="0" wp14:anchorId="32CBDAC2" wp14:editId="51940237">
            <wp:extent cx="4597102" cy="2719891"/>
            <wp:effectExtent l="0" t="0" r="13335" b="4445"/>
            <wp:docPr id="1362830767" name="Graf 1">
              <a:extLst xmlns:a="http://schemas.openxmlformats.org/drawingml/2006/main">
                <a:ext uri="{FF2B5EF4-FFF2-40B4-BE49-F238E27FC236}">
                  <a16:creationId xmlns:a16="http://schemas.microsoft.com/office/drawing/2014/main" id="{75369D53-DDAD-DBDE-43A3-229E3A977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E6EC467" w14:textId="7751E962" w:rsidR="00E51A8C" w:rsidRPr="00E51A8C" w:rsidRDefault="00297122" w:rsidP="00FD66EE">
      <w:pPr>
        <w:pStyle w:val="Odstavec1"/>
        <w:ind w:firstLine="482"/>
      </w:pPr>
      <w:r>
        <w:t>Graf 20: Vývoj G</w:t>
      </w:r>
      <w:r w:rsidR="00FD66EE">
        <w:t>IB</w:t>
      </w:r>
    </w:p>
    <w:p w14:paraId="6D7FEF04" w14:textId="7DDD2885" w:rsidR="00DD67B0" w:rsidRDefault="00D144CA" w:rsidP="00DD67B0">
      <w:pPr>
        <w:pStyle w:val="Nadpis2"/>
        <w:numPr>
          <w:ilvl w:val="1"/>
          <w:numId w:val="16"/>
        </w:numPr>
      </w:pPr>
      <w:bookmarkStart w:id="38" w:name="_Toc134175286"/>
      <w:r>
        <w:t>Index bonity</w:t>
      </w:r>
      <w:bookmarkEnd w:id="38"/>
      <w:r>
        <w:t xml:space="preserve"> </w:t>
      </w:r>
    </w:p>
    <w:p w14:paraId="0313CEE8" w14:textId="43D85E66" w:rsidR="00325491" w:rsidRDefault="001F216B" w:rsidP="00262F7C">
      <w:pPr>
        <w:pStyle w:val="Odstavec1"/>
      </w:pPr>
      <w:r>
        <w:t>Abychom mohli komplexně zhodnotit bonitu podniku,</w:t>
      </w:r>
      <w:r w:rsidR="004A01A9">
        <w:t xml:space="preserve"> rozhodli jsme se </w:t>
      </w:r>
      <w:r w:rsidR="00831231">
        <w:t xml:space="preserve">vypočíst další </w:t>
      </w:r>
      <w:r w:rsidR="00504204">
        <w:t xml:space="preserve">bonitní index. </w:t>
      </w:r>
      <w:r w:rsidR="00A57B4F">
        <w:t xml:space="preserve">Multivariační diskriminační analýza neboli index bonity </w:t>
      </w:r>
      <w:r w:rsidR="00262F7C">
        <w:t xml:space="preserve">se vypočítá podle následujícího vzorečku: </w:t>
      </w:r>
    </w:p>
    <w:p w14:paraId="5CF8266E" w14:textId="0D88D28B" w:rsidR="00262F7C" w:rsidRDefault="00262F7C" w:rsidP="00262F7C">
      <w:pPr>
        <w:pStyle w:val="Dalodstavce"/>
      </w:pPr>
      <w:r w:rsidRPr="009D49CE">
        <w:rPr>
          <w:noProof/>
        </w:rPr>
        <w:drawing>
          <wp:inline distT="0" distB="0" distL="0" distR="0" wp14:anchorId="5501DF02" wp14:editId="573E4C30">
            <wp:extent cx="4677410" cy="278130"/>
            <wp:effectExtent l="0" t="0" r="0" b="0"/>
            <wp:docPr id="136430020" name="Obrázek 13643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7410" cy="278130"/>
                    </a:xfrm>
                    <a:prstGeom prst="rect">
                      <a:avLst/>
                    </a:prstGeom>
                    <a:noFill/>
                    <a:ln>
                      <a:noFill/>
                    </a:ln>
                  </pic:spPr>
                </pic:pic>
              </a:graphicData>
            </a:graphic>
          </wp:inline>
        </w:drawing>
      </w:r>
    </w:p>
    <w:p w14:paraId="15B4A37E" w14:textId="77777777" w:rsidR="00262F7C" w:rsidRPr="00262F7C" w:rsidRDefault="00262F7C" w:rsidP="00262F7C">
      <w:pPr>
        <w:pStyle w:val="Dalodstavce"/>
      </w:pPr>
    </w:p>
    <w:p w14:paraId="58FC9331" w14:textId="7009286C" w:rsidR="00325491" w:rsidRDefault="00262F7C" w:rsidP="00325491">
      <w:pPr>
        <w:pStyle w:val="Dalodstavce"/>
      </w:pPr>
      <w:r>
        <w:t xml:space="preserve">Kde: </w:t>
      </w:r>
    </w:p>
    <w:p w14:paraId="4AAA5E86" w14:textId="77777777" w:rsidR="003E165E" w:rsidRDefault="003E165E" w:rsidP="003E165E">
      <w:pPr>
        <w:pStyle w:val="Dalodstavce"/>
      </w:pPr>
      <w:r>
        <w:t>x1 = cash flow / cizí zdroje</w:t>
      </w:r>
    </w:p>
    <w:p w14:paraId="04F90CBB" w14:textId="77777777" w:rsidR="003E165E" w:rsidRDefault="003E165E" w:rsidP="003E165E">
      <w:pPr>
        <w:pStyle w:val="Dalodstavce"/>
      </w:pPr>
      <w:r>
        <w:t>x2 = celková aktiva / cizí zdroje</w:t>
      </w:r>
    </w:p>
    <w:p w14:paraId="616A1170" w14:textId="77777777" w:rsidR="003E165E" w:rsidRDefault="003E165E" w:rsidP="003E165E">
      <w:pPr>
        <w:pStyle w:val="Dalodstavce"/>
      </w:pPr>
      <w:r>
        <w:t>x3 = zisk před zdaněním / celková aktiva</w:t>
      </w:r>
    </w:p>
    <w:p w14:paraId="3D2BD5AC" w14:textId="77777777" w:rsidR="003E165E" w:rsidRDefault="003E165E" w:rsidP="003E165E">
      <w:pPr>
        <w:pStyle w:val="Dalodstavce"/>
      </w:pPr>
      <w:r>
        <w:t>x4 = zisk před zdaněním / celkové výkony</w:t>
      </w:r>
    </w:p>
    <w:p w14:paraId="55B0F51C" w14:textId="77777777" w:rsidR="003E165E" w:rsidRDefault="003E165E" w:rsidP="003E165E">
      <w:pPr>
        <w:pStyle w:val="Dalodstavce"/>
      </w:pPr>
      <w:r>
        <w:t>x5 = zásoby / celkové výkony</w:t>
      </w:r>
    </w:p>
    <w:p w14:paraId="0C50BE2E" w14:textId="00B813E9" w:rsidR="003E165E" w:rsidRDefault="003E165E" w:rsidP="003E165E">
      <w:pPr>
        <w:pStyle w:val="Dalodstavce"/>
      </w:pPr>
      <w:r>
        <w:t>x6 = celkové výkony / celková aktiva</w:t>
      </w:r>
    </w:p>
    <w:p w14:paraId="087F7CB5" w14:textId="77777777" w:rsidR="003E165E" w:rsidRDefault="003E165E" w:rsidP="003E165E">
      <w:pPr>
        <w:pStyle w:val="Dalodstavce"/>
      </w:pPr>
    </w:p>
    <w:p w14:paraId="0C80C711" w14:textId="30313AD1" w:rsidR="003E165E" w:rsidRDefault="003E165E" w:rsidP="003E165E">
      <w:pPr>
        <w:pStyle w:val="Dalodstavce"/>
      </w:pPr>
      <w:r>
        <w:t xml:space="preserve">Nejnáročnější bylo zjistit ukazatel cash flow, jelikož </w:t>
      </w:r>
      <w:r w:rsidR="00E4368B">
        <w:t xml:space="preserve">tato informace se nedá přímo vyčíst z účetní závěrky ani ji firma nezvěřejňuje jinde. Byl </w:t>
      </w:r>
      <w:r w:rsidR="00E4368B">
        <w:lastRenderedPageBreak/>
        <w:t xml:space="preserve">proto vypočítán </w:t>
      </w:r>
      <w:r w:rsidR="0031690F">
        <w:t>dle Kislingerové</w:t>
      </w:r>
      <w:r w:rsidR="0031690F">
        <w:rPr>
          <w:rStyle w:val="Znakapoznpodarou"/>
        </w:rPr>
        <w:footnoteReference w:id="20"/>
      </w:r>
      <w:r w:rsidR="004A6A56">
        <w:rPr>
          <w:vertAlign w:val="superscript"/>
        </w:rPr>
        <w:t xml:space="preserve">, </w:t>
      </w:r>
      <w:r w:rsidR="004A6A56">
        <w:rPr>
          <w:rStyle w:val="Znakapoznpodarou"/>
        </w:rPr>
        <w:footnoteReference w:id="21"/>
      </w:r>
      <w:r w:rsidR="0019494B">
        <w:t xml:space="preserve">, která cash flow počítá jako </w:t>
      </w:r>
      <w:r w:rsidR="00310EB7">
        <w:t xml:space="preserve">součet </w:t>
      </w:r>
      <w:r w:rsidR="00310EB7" w:rsidRPr="00310EB7">
        <w:t>výsledek hospodaření za účetní období</w:t>
      </w:r>
      <w:r w:rsidR="00190BA6">
        <w:t xml:space="preserve">, </w:t>
      </w:r>
      <w:r w:rsidR="00310EB7" w:rsidRPr="00310EB7">
        <w:t>odpis</w:t>
      </w:r>
      <w:r w:rsidR="00190BA6">
        <w:t xml:space="preserve">ů a </w:t>
      </w:r>
      <w:r w:rsidR="00310EB7" w:rsidRPr="00310EB7">
        <w:t>změn</w:t>
      </w:r>
      <w:r w:rsidR="00190BA6">
        <w:t>y</w:t>
      </w:r>
      <w:r w:rsidR="00310EB7" w:rsidRPr="00310EB7">
        <w:t xml:space="preserve"> stavu rezerv</w:t>
      </w:r>
      <w:r w:rsidR="00190BA6">
        <w:t xml:space="preserve">. </w:t>
      </w:r>
      <w:r w:rsidR="00496481">
        <w:t xml:space="preserve">Přestože má tento výpočet své limity, věříme, že pro účely této seminární práce je to dostatečné. </w:t>
      </w:r>
    </w:p>
    <w:p w14:paraId="6C021313" w14:textId="46060E69" w:rsidR="00496481" w:rsidRDefault="00496481" w:rsidP="003E165E">
      <w:pPr>
        <w:pStyle w:val="Dalodstavce"/>
      </w:pPr>
      <w:r>
        <w:t>Co se týče ostatních</w:t>
      </w:r>
      <w:r w:rsidR="00837EC3">
        <w:t xml:space="preserve"> ukaz</w:t>
      </w:r>
      <w:r w:rsidR="007A128D">
        <w:t>at</w:t>
      </w:r>
      <w:r w:rsidR="00837EC3">
        <w:t>e</w:t>
      </w:r>
      <w:r w:rsidR="00256DDA">
        <w:t>lů, tak všechny hodnoty a jejich vývoj v jednotlivých letech je ukázán v Tab. 23</w:t>
      </w:r>
      <w:r w:rsidR="00D1050C">
        <w:t>. Nejlepší hodnoty ukazatelů jso</w:t>
      </w:r>
      <w:r w:rsidR="007A128D">
        <w:t>u v roce 2017 a výborné výsledky bonity má společnost i v roce 2018</w:t>
      </w:r>
      <w:r w:rsidR="00FF6B62">
        <w:t>. V roce 2019 nastává výrazný propad</w:t>
      </w:r>
      <w:r w:rsidR="00364ACB">
        <w:t>, kdy klesají hodnoty všech ukazatelů. Velmi nízké hodnoty zůstávají i v roce 2020</w:t>
      </w:r>
      <w:r w:rsidR="0085484B">
        <w:t xml:space="preserve">, avšak v roce 2021 se firma začíná stabilizovat a ukazatele bonity rostou. </w:t>
      </w:r>
    </w:p>
    <w:p w14:paraId="0A6E4C25" w14:textId="087DB14B" w:rsidR="004D528A" w:rsidRDefault="004D528A" w:rsidP="004D528A">
      <w:pPr>
        <w:pStyle w:val="Dalodstavce"/>
        <w:ind w:firstLine="0"/>
      </w:pPr>
      <w:r>
        <w:fldChar w:fldCharType="begin"/>
      </w:r>
      <w:r>
        <w:instrText xml:space="preserve"> LINK </w:instrText>
      </w:r>
      <w:r w:rsidR="00801DF4">
        <w:instrText xml:space="preserve">Excel.Sheet.12 https://ucnmuni-my.sharepoint.com/personal/495861_muni_cz/Documents/FMAN%20after%20VLAK.xlsx BONITNÍ!R35C11:R42C16 </w:instrText>
      </w:r>
      <w:r>
        <w:instrText xml:space="preserve">\a \f 4 \h </w:instrText>
      </w:r>
      <w:r w:rsidR="00BD18C5">
        <w:instrText xml:space="preserve"> \* MERGEFORMAT </w:instrText>
      </w:r>
      <w:r>
        <w:fldChar w:fldCharType="separate"/>
      </w:r>
    </w:p>
    <w:tbl>
      <w:tblPr>
        <w:tblW w:w="8329" w:type="dxa"/>
        <w:tblCellMar>
          <w:left w:w="70" w:type="dxa"/>
          <w:right w:w="70" w:type="dxa"/>
        </w:tblCellMar>
        <w:tblLook w:val="04A0" w:firstRow="1" w:lastRow="0" w:firstColumn="1" w:lastColumn="0" w:noHBand="0" w:noVBand="1"/>
      </w:tblPr>
      <w:tblGrid>
        <w:gridCol w:w="4189"/>
        <w:gridCol w:w="828"/>
        <w:gridCol w:w="828"/>
        <w:gridCol w:w="828"/>
        <w:gridCol w:w="828"/>
        <w:gridCol w:w="828"/>
      </w:tblGrid>
      <w:tr w:rsidR="00BD18C5" w:rsidRPr="004D528A" w14:paraId="0616B0B8" w14:textId="77777777" w:rsidTr="00BD18C5">
        <w:trPr>
          <w:trHeight w:val="277"/>
        </w:trPr>
        <w:tc>
          <w:tcPr>
            <w:tcW w:w="4189" w:type="dxa"/>
            <w:tcBorders>
              <w:top w:val="single" w:sz="4" w:space="0" w:color="auto"/>
              <w:left w:val="single" w:sz="4" w:space="0" w:color="auto"/>
              <w:bottom w:val="single" w:sz="4" w:space="0" w:color="auto"/>
              <w:right w:val="single" w:sz="4" w:space="0" w:color="auto"/>
            </w:tcBorders>
            <w:shd w:val="clear" w:color="A5A5A5" w:fill="A5A5A5"/>
            <w:noWrap/>
            <w:vAlign w:val="center"/>
            <w:hideMark/>
          </w:tcPr>
          <w:p w14:paraId="5F56C494" w14:textId="624F622D" w:rsidR="004D528A" w:rsidRPr="004D528A" w:rsidRDefault="004D528A" w:rsidP="004D528A">
            <w:pPr>
              <w:rPr>
                <w:rFonts w:ascii="Arial" w:hAnsi="Arial" w:cs="Arial"/>
                <w:b/>
                <w:bCs/>
                <w:color w:val="FFFFFF"/>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EC0535C" w14:textId="77777777" w:rsidR="004D528A" w:rsidRPr="004D528A" w:rsidRDefault="004D528A" w:rsidP="004D528A">
            <w:pPr>
              <w:rPr>
                <w:rFonts w:ascii="Arial" w:hAnsi="Arial" w:cs="Arial"/>
                <w:b/>
                <w:bCs/>
                <w:color w:val="FFFFFF"/>
                <w:sz w:val="20"/>
                <w:szCs w:val="20"/>
              </w:rPr>
            </w:pPr>
            <w:r w:rsidRPr="004D528A">
              <w:rPr>
                <w:rFonts w:ascii="Arial" w:hAnsi="Arial" w:cs="Arial"/>
                <w:b/>
                <w:bCs/>
                <w:color w:val="FFFFFF"/>
                <w:sz w:val="20"/>
                <w:szCs w:val="20"/>
              </w:rPr>
              <w:t>2017</w:t>
            </w:r>
          </w:p>
        </w:tc>
        <w:tc>
          <w:tcPr>
            <w:tcW w:w="828"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34AB1FC" w14:textId="77777777" w:rsidR="004D528A" w:rsidRPr="004D528A" w:rsidRDefault="004D528A" w:rsidP="004D528A">
            <w:pPr>
              <w:rPr>
                <w:rFonts w:ascii="Arial" w:hAnsi="Arial" w:cs="Arial"/>
                <w:b/>
                <w:bCs/>
                <w:color w:val="FFFFFF"/>
                <w:sz w:val="20"/>
                <w:szCs w:val="20"/>
              </w:rPr>
            </w:pPr>
            <w:r w:rsidRPr="004D528A">
              <w:rPr>
                <w:rFonts w:ascii="Arial" w:hAnsi="Arial" w:cs="Arial"/>
                <w:b/>
                <w:bCs/>
                <w:color w:val="FFFFFF"/>
                <w:sz w:val="20"/>
                <w:szCs w:val="20"/>
              </w:rPr>
              <w:t>2018</w:t>
            </w:r>
          </w:p>
        </w:tc>
        <w:tc>
          <w:tcPr>
            <w:tcW w:w="828"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39AE7E9" w14:textId="77777777" w:rsidR="004D528A" w:rsidRPr="004D528A" w:rsidRDefault="004D528A" w:rsidP="004D528A">
            <w:pPr>
              <w:rPr>
                <w:rFonts w:ascii="Arial" w:hAnsi="Arial" w:cs="Arial"/>
                <w:b/>
                <w:bCs/>
                <w:color w:val="FFFFFF"/>
                <w:sz w:val="20"/>
                <w:szCs w:val="20"/>
              </w:rPr>
            </w:pPr>
            <w:r w:rsidRPr="004D528A">
              <w:rPr>
                <w:rFonts w:ascii="Arial" w:hAnsi="Arial" w:cs="Arial"/>
                <w:b/>
                <w:bCs/>
                <w:color w:val="FFFFFF"/>
                <w:sz w:val="20"/>
                <w:szCs w:val="20"/>
              </w:rPr>
              <w:t>2019</w:t>
            </w:r>
          </w:p>
        </w:tc>
        <w:tc>
          <w:tcPr>
            <w:tcW w:w="828"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8BFCDE8" w14:textId="77777777" w:rsidR="004D528A" w:rsidRPr="004D528A" w:rsidRDefault="004D528A" w:rsidP="004D528A">
            <w:pPr>
              <w:rPr>
                <w:rFonts w:ascii="Arial" w:hAnsi="Arial" w:cs="Arial"/>
                <w:b/>
                <w:bCs/>
                <w:color w:val="FFFFFF"/>
                <w:sz w:val="20"/>
                <w:szCs w:val="20"/>
              </w:rPr>
            </w:pPr>
            <w:r w:rsidRPr="004D528A">
              <w:rPr>
                <w:rFonts w:ascii="Arial" w:hAnsi="Arial" w:cs="Arial"/>
                <w:b/>
                <w:bCs/>
                <w:color w:val="FFFFFF"/>
                <w:sz w:val="20"/>
                <w:szCs w:val="20"/>
              </w:rPr>
              <w:t>2020</w:t>
            </w:r>
          </w:p>
        </w:tc>
        <w:tc>
          <w:tcPr>
            <w:tcW w:w="828" w:type="dxa"/>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14B054A" w14:textId="77777777" w:rsidR="004D528A" w:rsidRPr="004D528A" w:rsidRDefault="004D528A" w:rsidP="004D528A">
            <w:pPr>
              <w:rPr>
                <w:rFonts w:ascii="Arial" w:hAnsi="Arial" w:cs="Arial"/>
                <w:b/>
                <w:bCs/>
                <w:color w:val="FFFFFF"/>
                <w:sz w:val="20"/>
                <w:szCs w:val="20"/>
              </w:rPr>
            </w:pPr>
            <w:r w:rsidRPr="004D528A">
              <w:rPr>
                <w:rFonts w:ascii="Arial" w:hAnsi="Arial" w:cs="Arial"/>
                <w:b/>
                <w:bCs/>
                <w:color w:val="FFFFFF"/>
                <w:sz w:val="20"/>
                <w:szCs w:val="20"/>
              </w:rPr>
              <w:t>2021</w:t>
            </w:r>
          </w:p>
        </w:tc>
      </w:tr>
      <w:tr w:rsidR="004D528A" w:rsidRPr="004D528A" w14:paraId="4E2FD309" w14:textId="77777777" w:rsidTr="00BD18C5">
        <w:trPr>
          <w:trHeight w:val="277"/>
        </w:trPr>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6253D" w14:textId="77777777" w:rsidR="004D528A" w:rsidRPr="004D528A" w:rsidRDefault="004D528A" w:rsidP="004D528A">
            <w:pPr>
              <w:rPr>
                <w:rFonts w:ascii="Arial" w:hAnsi="Arial" w:cs="Arial"/>
                <w:color w:val="000000"/>
                <w:sz w:val="20"/>
                <w:szCs w:val="20"/>
              </w:rPr>
            </w:pPr>
            <w:r w:rsidRPr="004D528A">
              <w:rPr>
                <w:rFonts w:ascii="Arial" w:hAnsi="Arial" w:cs="Arial"/>
                <w:color w:val="000000"/>
                <w:sz w:val="20"/>
                <w:szCs w:val="20"/>
              </w:rPr>
              <w:t>x1 = cash flow / cizí zdroje</w:t>
            </w:r>
          </w:p>
        </w:tc>
        <w:tc>
          <w:tcPr>
            <w:tcW w:w="82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4F56F2"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1,76</w:t>
            </w:r>
          </w:p>
        </w:tc>
        <w:tc>
          <w:tcPr>
            <w:tcW w:w="828" w:type="dxa"/>
            <w:tcBorders>
              <w:top w:val="single" w:sz="4" w:space="0" w:color="auto"/>
              <w:left w:val="single" w:sz="4" w:space="0" w:color="auto"/>
              <w:bottom w:val="single" w:sz="4" w:space="0" w:color="auto"/>
              <w:right w:val="single" w:sz="4" w:space="0" w:color="auto"/>
            </w:tcBorders>
            <w:shd w:val="clear" w:color="000000" w:fill="D0DE82"/>
            <w:noWrap/>
            <w:vAlign w:val="bottom"/>
            <w:hideMark/>
          </w:tcPr>
          <w:p w14:paraId="26C76E30"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0,62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DAECF8"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0,06</w:t>
            </w:r>
          </w:p>
        </w:tc>
        <w:tc>
          <w:tcPr>
            <w:tcW w:w="828" w:type="dxa"/>
            <w:tcBorders>
              <w:top w:val="single" w:sz="4" w:space="0" w:color="auto"/>
              <w:left w:val="single" w:sz="4" w:space="0" w:color="auto"/>
              <w:bottom w:val="single" w:sz="4" w:space="0" w:color="auto"/>
              <w:right w:val="single" w:sz="4" w:space="0" w:color="auto"/>
            </w:tcBorders>
            <w:shd w:val="clear" w:color="000000" w:fill="FBA877"/>
            <w:noWrap/>
            <w:vAlign w:val="bottom"/>
            <w:hideMark/>
          </w:tcPr>
          <w:p w14:paraId="28C1D584"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0,09</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F28E040"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0,11</w:t>
            </w:r>
          </w:p>
        </w:tc>
      </w:tr>
      <w:tr w:rsidR="004D528A" w:rsidRPr="004D528A" w14:paraId="4DC0672F" w14:textId="77777777" w:rsidTr="00BD18C5">
        <w:trPr>
          <w:trHeight w:val="277"/>
        </w:trPr>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FEDAB" w14:textId="77777777" w:rsidR="004D528A" w:rsidRPr="004D528A" w:rsidRDefault="004D528A" w:rsidP="004D528A">
            <w:pPr>
              <w:rPr>
                <w:rFonts w:ascii="Arial" w:hAnsi="Arial" w:cs="Arial"/>
                <w:color w:val="000000"/>
                <w:sz w:val="20"/>
                <w:szCs w:val="20"/>
              </w:rPr>
            </w:pPr>
            <w:r w:rsidRPr="004D528A">
              <w:rPr>
                <w:rFonts w:ascii="Arial" w:hAnsi="Arial" w:cs="Arial"/>
                <w:color w:val="000000"/>
                <w:sz w:val="20"/>
                <w:szCs w:val="20"/>
              </w:rPr>
              <w:t>x2 = celková aktiva / cizí zdroje</w:t>
            </w:r>
          </w:p>
        </w:tc>
        <w:tc>
          <w:tcPr>
            <w:tcW w:w="82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0D7417"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6,90</w:t>
            </w:r>
          </w:p>
        </w:tc>
        <w:tc>
          <w:tcPr>
            <w:tcW w:w="828"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14:paraId="782B6E51"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3,95</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5342312"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2,18</w:t>
            </w:r>
          </w:p>
        </w:tc>
        <w:tc>
          <w:tcPr>
            <w:tcW w:w="828" w:type="dxa"/>
            <w:tcBorders>
              <w:top w:val="single" w:sz="4" w:space="0" w:color="auto"/>
              <w:left w:val="single" w:sz="4" w:space="0" w:color="auto"/>
              <w:bottom w:val="single" w:sz="4" w:space="0" w:color="auto"/>
              <w:right w:val="single" w:sz="4" w:space="0" w:color="auto"/>
            </w:tcBorders>
            <w:shd w:val="clear" w:color="000000" w:fill="FBAB77"/>
            <w:noWrap/>
            <w:vAlign w:val="bottom"/>
            <w:hideMark/>
          </w:tcPr>
          <w:p w14:paraId="2C3236F1"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2,66</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D728761"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3,11</w:t>
            </w:r>
          </w:p>
        </w:tc>
      </w:tr>
      <w:tr w:rsidR="004D528A" w:rsidRPr="004D528A" w14:paraId="610F3C1F" w14:textId="77777777" w:rsidTr="00BD18C5">
        <w:trPr>
          <w:trHeight w:val="277"/>
        </w:trPr>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352D5" w14:textId="77777777" w:rsidR="004D528A" w:rsidRPr="004D528A" w:rsidRDefault="004D528A" w:rsidP="004D528A">
            <w:pPr>
              <w:rPr>
                <w:rFonts w:ascii="Arial" w:hAnsi="Arial" w:cs="Arial"/>
                <w:color w:val="000000"/>
                <w:sz w:val="20"/>
                <w:szCs w:val="20"/>
              </w:rPr>
            </w:pPr>
            <w:r w:rsidRPr="004D528A">
              <w:rPr>
                <w:rFonts w:ascii="Arial" w:hAnsi="Arial" w:cs="Arial"/>
                <w:color w:val="000000"/>
                <w:sz w:val="20"/>
                <w:szCs w:val="20"/>
              </w:rPr>
              <w:t>x3 = zisk před zdaněním / celková aktiva</w:t>
            </w:r>
          </w:p>
        </w:tc>
        <w:tc>
          <w:tcPr>
            <w:tcW w:w="82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CDB0A3"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0,237</w:t>
            </w:r>
          </w:p>
        </w:tc>
        <w:tc>
          <w:tcPr>
            <w:tcW w:w="828" w:type="dxa"/>
            <w:tcBorders>
              <w:top w:val="single" w:sz="4" w:space="0" w:color="auto"/>
              <w:left w:val="single" w:sz="4" w:space="0" w:color="auto"/>
              <w:bottom w:val="single" w:sz="4" w:space="0" w:color="auto"/>
              <w:right w:val="single" w:sz="4" w:space="0" w:color="auto"/>
            </w:tcBorders>
            <w:shd w:val="clear" w:color="000000" w:fill="A7D27F"/>
            <w:noWrap/>
            <w:vAlign w:val="bottom"/>
            <w:hideMark/>
          </w:tcPr>
          <w:p w14:paraId="2BFE2F56"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0,141</w:t>
            </w:r>
          </w:p>
        </w:tc>
        <w:tc>
          <w:tcPr>
            <w:tcW w:w="828" w:type="dxa"/>
            <w:tcBorders>
              <w:top w:val="single" w:sz="4" w:space="0" w:color="auto"/>
              <w:left w:val="single" w:sz="4" w:space="0" w:color="auto"/>
              <w:bottom w:val="single" w:sz="4" w:space="0" w:color="auto"/>
              <w:right w:val="single" w:sz="4" w:space="0" w:color="auto"/>
            </w:tcBorders>
            <w:shd w:val="clear" w:color="000000" w:fill="FCC47C"/>
            <w:noWrap/>
            <w:vAlign w:val="bottom"/>
            <w:hideMark/>
          </w:tcPr>
          <w:p w14:paraId="516AD314"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0,012</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308222"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0,006</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1FCF9FE"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0,015</w:t>
            </w:r>
          </w:p>
        </w:tc>
      </w:tr>
      <w:tr w:rsidR="004D528A" w:rsidRPr="004D528A" w14:paraId="155D20DE" w14:textId="77777777" w:rsidTr="00BD18C5">
        <w:trPr>
          <w:trHeight w:val="277"/>
        </w:trPr>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2499B" w14:textId="77777777" w:rsidR="004D528A" w:rsidRPr="004D528A" w:rsidRDefault="004D528A" w:rsidP="004D528A">
            <w:pPr>
              <w:rPr>
                <w:rFonts w:ascii="Arial" w:hAnsi="Arial" w:cs="Arial"/>
                <w:color w:val="000000"/>
                <w:sz w:val="20"/>
                <w:szCs w:val="20"/>
              </w:rPr>
            </w:pPr>
            <w:r w:rsidRPr="004D528A">
              <w:rPr>
                <w:rFonts w:ascii="Arial" w:hAnsi="Arial" w:cs="Arial"/>
                <w:color w:val="000000"/>
                <w:sz w:val="20"/>
                <w:szCs w:val="20"/>
              </w:rPr>
              <w:t>x4 = zisk před zdaněním / celkové výkony</w:t>
            </w:r>
          </w:p>
        </w:tc>
        <w:tc>
          <w:tcPr>
            <w:tcW w:w="82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4E8FB5"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0,170</w:t>
            </w:r>
          </w:p>
        </w:tc>
        <w:tc>
          <w:tcPr>
            <w:tcW w:w="828" w:type="dxa"/>
            <w:tcBorders>
              <w:top w:val="single" w:sz="4" w:space="0" w:color="auto"/>
              <w:left w:val="single" w:sz="4" w:space="0" w:color="auto"/>
              <w:bottom w:val="single" w:sz="4" w:space="0" w:color="auto"/>
              <w:right w:val="single" w:sz="4" w:space="0" w:color="auto"/>
            </w:tcBorders>
            <w:shd w:val="clear" w:color="000000" w:fill="89C97E"/>
            <w:noWrap/>
            <w:vAlign w:val="bottom"/>
            <w:hideMark/>
          </w:tcPr>
          <w:p w14:paraId="7DEBE8C5"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0,133</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E4DBB7C"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0,016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71E6FDE"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0,007</w:t>
            </w:r>
          </w:p>
        </w:tc>
        <w:tc>
          <w:tcPr>
            <w:tcW w:w="828" w:type="dxa"/>
            <w:tcBorders>
              <w:top w:val="single" w:sz="4" w:space="0" w:color="auto"/>
              <w:left w:val="single" w:sz="4" w:space="0" w:color="auto"/>
              <w:bottom w:val="single" w:sz="4" w:space="0" w:color="auto"/>
              <w:right w:val="single" w:sz="4" w:space="0" w:color="auto"/>
            </w:tcBorders>
            <w:shd w:val="clear" w:color="000000" w:fill="FDD07E"/>
            <w:noWrap/>
            <w:vAlign w:val="bottom"/>
            <w:hideMark/>
          </w:tcPr>
          <w:p w14:paraId="15B6801A"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0,014</w:t>
            </w:r>
          </w:p>
        </w:tc>
      </w:tr>
      <w:tr w:rsidR="004D528A" w:rsidRPr="004D528A" w14:paraId="1A0AF061" w14:textId="77777777" w:rsidTr="00BD18C5">
        <w:trPr>
          <w:trHeight w:val="277"/>
        </w:trPr>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299B3" w14:textId="77777777" w:rsidR="004D528A" w:rsidRPr="004D528A" w:rsidRDefault="004D528A" w:rsidP="004D528A">
            <w:pPr>
              <w:rPr>
                <w:rFonts w:ascii="Arial" w:hAnsi="Arial" w:cs="Arial"/>
                <w:color w:val="000000"/>
                <w:sz w:val="20"/>
                <w:szCs w:val="20"/>
              </w:rPr>
            </w:pPr>
            <w:r w:rsidRPr="004D528A">
              <w:rPr>
                <w:rFonts w:ascii="Arial" w:hAnsi="Arial" w:cs="Arial"/>
                <w:color w:val="000000"/>
                <w:sz w:val="20"/>
                <w:szCs w:val="20"/>
              </w:rPr>
              <w:t>x5 = zásoby / celkové výkony</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48F3295"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0,004</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4944DB3"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0,006</w:t>
            </w:r>
          </w:p>
        </w:tc>
        <w:tc>
          <w:tcPr>
            <w:tcW w:w="828" w:type="dxa"/>
            <w:tcBorders>
              <w:top w:val="single" w:sz="4" w:space="0" w:color="auto"/>
              <w:left w:val="single" w:sz="4" w:space="0" w:color="auto"/>
              <w:bottom w:val="single" w:sz="4" w:space="0" w:color="auto"/>
              <w:right w:val="single" w:sz="4" w:space="0" w:color="auto"/>
            </w:tcBorders>
            <w:shd w:val="clear" w:color="000000" w:fill="FDCB7D"/>
            <w:noWrap/>
            <w:vAlign w:val="bottom"/>
            <w:hideMark/>
          </w:tcPr>
          <w:p w14:paraId="7875C87B"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0,005</w:t>
            </w:r>
          </w:p>
        </w:tc>
        <w:tc>
          <w:tcPr>
            <w:tcW w:w="828"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59990BA5"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0,007</w:t>
            </w:r>
          </w:p>
        </w:tc>
        <w:tc>
          <w:tcPr>
            <w:tcW w:w="82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60A79C"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0,038</w:t>
            </w:r>
          </w:p>
        </w:tc>
      </w:tr>
      <w:tr w:rsidR="004D528A" w:rsidRPr="004D528A" w14:paraId="1A096001" w14:textId="77777777" w:rsidTr="00BD18C5">
        <w:trPr>
          <w:trHeight w:val="277"/>
        </w:trPr>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47183" w14:textId="77777777" w:rsidR="004D528A" w:rsidRPr="004D528A" w:rsidRDefault="004D528A" w:rsidP="004D528A">
            <w:pPr>
              <w:rPr>
                <w:rFonts w:ascii="Arial" w:hAnsi="Arial" w:cs="Arial"/>
                <w:color w:val="000000"/>
                <w:sz w:val="20"/>
                <w:szCs w:val="20"/>
              </w:rPr>
            </w:pPr>
            <w:r w:rsidRPr="004D528A">
              <w:rPr>
                <w:rFonts w:ascii="Arial" w:hAnsi="Arial" w:cs="Arial"/>
                <w:color w:val="000000"/>
                <w:sz w:val="20"/>
                <w:szCs w:val="20"/>
              </w:rPr>
              <w:t>x6 = celkové výkony / celková aktiva</w:t>
            </w:r>
          </w:p>
        </w:tc>
        <w:tc>
          <w:tcPr>
            <w:tcW w:w="82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7371E1"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1,39</w:t>
            </w:r>
          </w:p>
        </w:tc>
        <w:tc>
          <w:tcPr>
            <w:tcW w:w="82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8E47C90"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1,06</w:t>
            </w:r>
          </w:p>
        </w:tc>
        <w:tc>
          <w:tcPr>
            <w:tcW w:w="8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08B6027"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0,79</w:t>
            </w:r>
          </w:p>
        </w:tc>
        <w:tc>
          <w:tcPr>
            <w:tcW w:w="828" w:type="dxa"/>
            <w:tcBorders>
              <w:top w:val="single" w:sz="4" w:space="0" w:color="auto"/>
              <w:left w:val="single" w:sz="4" w:space="0" w:color="auto"/>
              <w:bottom w:val="single" w:sz="4" w:space="0" w:color="auto"/>
              <w:right w:val="single" w:sz="4" w:space="0" w:color="auto"/>
            </w:tcBorders>
            <w:shd w:val="clear" w:color="000000" w:fill="FCB479"/>
            <w:noWrap/>
            <w:vAlign w:val="bottom"/>
            <w:hideMark/>
          </w:tcPr>
          <w:p w14:paraId="3DF488B7"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0,95</w:t>
            </w:r>
          </w:p>
        </w:tc>
        <w:tc>
          <w:tcPr>
            <w:tcW w:w="828"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692DB86F"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1,09</w:t>
            </w:r>
          </w:p>
        </w:tc>
      </w:tr>
      <w:tr w:rsidR="00BD18C5" w:rsidRPr="004D528A" w14:paraId="0A6D145F" w14:textId="77777777" w:rsidTr="00BD18C5">
        <w:trPr>
          <w:trHeight w:val="277"/>
        </w:trPr>
        <w:tc>
          <w:tcPr>
            <w:tcW w:w="418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4B4CC7E" w14:textId="77777777" w:rsidR="004D528A" w:rsidRPr="004D528A" w:rsidRDefault="004D528A" w:rsidP="004D528A">
            <w:pPr>
              <w:rPr>
                <w:rFonts w:ascii="Arial" w:hAnsi="Arial" w:cs="Arial"/>
                <w:color w:val="000000"/>
                <w:sz w:val="20"/>
                <w:szCs w:val="20"/>
              </w:rPr>
            </w:pPr>
            <w:r w:rsidRPr="004D528A">
              <w:rPr>
                <w:rFonts w:ascii="Arial" w:hAnsi="Arial" w:cs="Arial"/>
                <w:color w:val="000000"/>
                <w:sz w:val="20"/>
                <w:szCs w:val="20"/>
              </w:rPr>
              <w:t>Index bonity</w:t>
            </w:r>
          </w:p>
        </w:tc>
        <w:tc>
          <w:tcPr>
            <w:tcW w:w="828"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715FE93"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6,56</w:t>
            </w:r>
          </w:p>
        </w:tc>
        <w:tc>
          <w:tcPr>
            <w:tcW w:w="828"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1D43089"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3,42</w:t>
            </w:r>
          </w:p>
        </w:tc>
        <w:tc>
          <w:tcPr>
            <w:tcW w:w="828"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456B729"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0,55</w:t>
            </w:r>
          </w:p>
        </w:tc>
        <w:tc>
          <w:tcPr>
            <w:tcW w:w="828"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DBD6CFF"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0,54</w:t>
            </w:r>
          </w:p>
        </w:tc>
        <w:tc>
          <w:tcPr>
            <w:tcW w:w="828"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70B5FF4" w14:textId="77777777" w:rsidR="004D528A" w:rsidRPr="004D528A" w:rsidRDefault="004D528A" w:rsidP="004D528A">
            <w:pPr>
              <w:jc w:val="right"/>
              <w:rPr>
                <w:rFonts w:ascii="Arial" w:hAnsi="Arial" w:cs="Arial"/>
                <w:color w:val="000000"/>
                <w:sz w:val="20"/>
                <w:szCs w:val="20"/>
              </w:rPr>
            </w:pPr>
            <w:r w:rsidRPr="004D528A">
              <w:rPr>
                <w:rFonts w:ascii="Arial" w:hAnsi="Arial" w:cs="Arial"/>
                <w:color w:val="000000"/>
                <w:sz w:val="20"/>
                <w:szCs w:val="20"/>
              </w:rPr>
              <w:t>0,76</w:t>
            </w:r>
          </w:p>
        </w:tc>
      </w:tr>
    </w:tbl>
    <w:p w14:paraId="2EA36DEC" w14:textId="687CB20B" w:rsidR="009866B9" w:rsidRDefault="004D528A" w:rsidP="004D528A">
      <w:pPr>
        <w:pStyle w:val="Dalodstavce"/>
        <w:ind w:firstLine="0"/>
      </w:pPr>
      <w:r>
        <w:fldChar w:fldCharType="end"/>
      </w:r>
      <w:r w:rsidR="00256DDA">
        <w:t xml:space="preserve">Tab. 23: Výpočet indexu bonity </w:t>
      </w:r>
    </w:p>
    <w:p w14:paraId="2AEA6242" w14:textId="77777777" w:rsidR="00256DDA" w:rsidRDefault="00256DDA" w:rsidP="004D528A">
      <w:pPr>
        <w:pStyle w:val="Dalodstavce"/>
        <w:ind w:firstLine="0"/>
      </w:pPr>
    </w:p>
    <w:p w14:paraId="1CB0BDDA" w14:textId="5A19123F" w:rsidR="00382410" w:rsidRDefault="00382410" w:rsidP="004D528A">
      <w:pPr>
        <w:pStyle w:val="Dalodstavce"/>
        <w:ind w:firstLine="0"/>
      </w:pPr>
      <w:r>
        <w:t>Graf 21 ukazuje vývoj hodnot indexu bonity</w:t>
      </w:r>
      <w:r w:rsidR="00F46767">
        <w:t xml:space="preserve">. Lze pozorovat velmi vysoké hodnoty v roce 2017 a 2018, kde </w:t>
      </w:r>
      <w:r w:rsidR="0016712A">
        <w:t xml:space="preserve">index bonity Bi byl vyšší než 2 a poté můžeme podnik hodnotit jako </w:t>
      </w:r>
      <w:r w:rsidR="003879CB">
        <w:t xml:space="preserve">výborný tedy </w:t>
      </w:r>
      <w:r w:rsidR="0016712A">
        <w:t>velmi bonitní</w:t>
      </w:r>
      <w:r w:rsidR="003879CB">
        <w:t>. V letech 2019</w:t>
      </w:r>
      <w:r w:rsidR="008979AB">
        <w:t>-2021</w:t>
      </w:r>
      <w:r w:rsidR="00652454">
        <w:t xml:space="preserve"> se hodnota Bi pohybuje mezi 0-1</w:t>
      </w:r>
      <w:r w:rsidR="00920CF2">
        <w:t xml:space="preserve">, takže v této době můžeme bonitu podniku považovat za problematickou, podnik je tedy málo bonitní. Avšak </w:t>
      </w:r>
      <w:r w:rsidR="008F704A">
        <w:t>rok 2021 ukazuje, že se společnost stabilizuje a lze predikovat, že se v dalších letech bude opět přibližovat vyšší hodnotě ukaz</w:t>
      </w:r>
      <w:r w:rsidR="00631870">
        <w:t>a</w:t>
      </w:r>
      <w:r w:rsidR="008F704A">
        <w:t xml:space="preserve">tele a bude </w:t>
      </w:r>
      <w:r w:rsidR="00631870">
        <w:t xml:space="preserve">více bonitní. </w:t>
      </w:r>
    </w:p>
    <w:p w14:paraId="09AB4827" w14:textId="5365862D" w:rsidR="00F34C56" w:rsidRDefault="00F34C56" w:rsidP="004D528A">
      <w:pPr>
        <w:pStyle w:val="Dalodstavce"/>
        <w:ind w:firstLine="0"/>
      </w:pPr>
      <w:r>
        <w:rPr>
          <w:noProof/>
        </w:rPr>
        <w:lastRenderedPageBreak/>
        <w:drawing>
          <wp:inline distT="0" distB="0" distL="0" distR="0" wp14:anchorId="78D960A2" wp14:editId="465D2375">
            <wp:extent cx="4582309" cy="2713617"/>
            <wp:effectExtent l="0" t="0" r="8890" b="10795"/>
            <wp:docPr id="443249677" name="Graf 1">
              <a:extLst xmlns:a="http://schemas.openxmlformats.org/drawingml/2006/main">
                <a:ext uri="{FF2B5EF4-FFF2-40B4-BE49-F238E27FC236}">
                  <a16:creationId xmlns:a16="http://schemas.microsoft.com/office/drawing/2014/main" id="{B1087380-58D6-C394-42F0-67F67B781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C525D6F" w14:textId="5631A339" w:rsidR="004D528A" w:rsidRDefault="00256DDA" w:rsidP="00325491">
      <w:pPr>
        <w:pStyle w:val="Dalodstavce"/>
      </w:pPr>
      <w:r>
        <w:t xml:space="preserve">Graf 21: Vývoj indexu bonity </w:t>
      </w:r>
    </w:p>
    <w:p w14:paraId="112CAD75" w14:textId="77777777" w:rsidR="00262F7C" w:rsidRDefault="00262F7C" w:rsidP="00631870">
      <w:pPr>
        <w:pStyle w:val="Dalodstavce"/>
        <w:ind w:firstLine="0"/>
      </w:pPr>
    </w:p>
    <w:p w14:paraId="2491DF26" w14:textId="15CCD4C9" w:rsidR="00631870" w:rsidRDefault="00E56F9E" w:rsidP="00631870">
      <w:pPr>
        <w:pStyle w:val="Nadpis2"/>
        <w:numPr>
          <w:ilvl w:val="1"/>
          <w:numId w:val="16"/>
        </w:numPr>
      </w:pPr>
      <w:bookmarkStart w:id="39" w:name="_Toc134175287"/>
      <w:r>
        <w:t>Index IN</w:t>
      </w:r>
      <w:r w:rsidR="006A1DE5">
        <w:t xml:space="preserve"> a Altmanův index</w:t>
      </w:r>
      <w:bookmarkEnd w:id="39"/>
    </w:p>
    <w:p w14:paraId="52A778B1" w14:textId="319B1A5E" w:rsidR="00C51F73" w:rsidRDefault="007D0BF5" w:rsidP="00C51F73">
      <w:pPr>
        <w:pStyle w:val="Odstavec1"/>
      </w:pPr>
      <w:r>
        <w:t xml:space="preserve">Index IN </w:t>
      </w:r>
      <w:r w:rsidR="00433AC5">
        <w:t xml:space="preserve">je prvním bankrotním modelem, který bude použit v této práci. Jedná se </w:t>
      </w:r>
      <w:r w:rsidR="00497BA3">
        <w:t xml:space="preserve">konkrétně o index důvěryhodnosti českého podniku a využívá konkrétně pojmenované vstupy z českých účetních výkazů. </w:t>
      </w:r>
      <w:r w:rsidR="00C51F73">
        <w:t xml:space="preserve">Vzorec pro výpočet </w:t>
      </w:r>
      <w:r w:rsidR="00BD1466">
        <w:t>IN indexu je následující:</w:t>
      </w:r>
    </w:p>
    <w:p w14:paraId="1518C6C8" w14:textId="77777777" w:rsidR="00FF361D" w:rsidRDefault="00FF361D" w:rsidP="00FF361D">
      <w:pPr>
        <w:pStyle w:val="Dalodstavce"/>
      </w:pPr>
    </w:p>
    <w:p w14:paraId="2976F922" w14:textId="1408082F" w:rsidR="00604EFF" w:rsidRDefault="00604EFF" w:rsidP="00991ADB">
      <w:pPr>
        <w:pStyle w:val="Normlnweb"/>
        <w:jc w:val="center"/>
        <w:rPr>
          <w:b w:val="0"/>
          <w:sz w:val="28"/>
          <w:szCs w:val="28"/>
          <w:lang w:val="cs-CZ" w:eastAsia="cs-CZ"/>
        </w:rPr>
      </w:pPr>
      <w:r w:rsidRPr="00991ADB">
        <w:rPr>
          <w:b w:val="0"/>
          <w:sz w:val="28"/>
          <w:szCs w:val="28"/>
          <w:lang w:val="cs-CZ" w:eastAsia="cs-CZ"/>
        </w:rPr>
        <w:t>IN</w:t>
      </w:r>
      <w:r w:rsidRPr="00991ADB">
        <w:rPr>
          <w:b w:val="0"/>
          <w:position w:val="-6"/>
          <w:sz w:val="28"/>
          <w:szCs w:val="28"/>
          <w:lang w:val="cs-CZ" w:eastAsia="cs-CZ"/>
        </w:rPr>
        <w:t xml:space="preserve">01 </w:t>
      </w:r>
      <w:r w:rsidRPr="00991ADB">
        <w:rPr>
          <w:b w:val="0"/>
          <w:sz w:val="28"/>
          <w:szCs w:val="28"/>
          <w:lang w:val="cs-CZ" w:eastAsia="cs-CZ"/>
        </w:rPr>
        <w:t>= 0,13 * A/CZ + 0,04 * EBIT/U + 3,92 * EBIT/A + 0,21 * V/A + 0,09 * OA/(KZ + KBU)</w:t>
      </w:r>
    </w:p>
    <w:p w14:paraId="36BF89A1" w14:textId="219E9194" w:rsidR="00914C6E" w:rsidRDefault="00914C6E" w:rsidP="00914C6E">
      <w:pPr>
        <w:pStyle w:val="Normlnweb"/>
        <w:jc w:val="both"/>
        <w:rPr>
          <w:b w:val="0"/>
          <w:lang w:val="cs-CZ" w:eastAsia="cs-CZ"/>
        </w:rPr>
      </w:pPr>
      <w:r>
        <w:rPr>
          <w:b w:val="0"/>
          <w:lang w:val="cs-CZ" w:eastAsia="cs-CZ"/>
        </w:rPr>
        <w:t>Kde:</w:t>
      </w:r>
    </w:p>
    <w:p w14:paraId="0A4CC665" w14:textId="77777777" w:rsidR="009A6A06" w:rsidRDefault="00914C6E" w:rsidP="00914C6E">
      <w:pPr>
        <w:pStyle w:val="Normlnweb"/>
        <w:jc w:val="both"/>
        <w:rPr>
          <w:b w:val="0"/>
          <w:lang w:val="cs-CZ" w:eastAsia="cs-CZ"/>
        </w:rPr>
      </w:pPr>
      <w:r w:rsidRPr="00914C6E">
        <w:rPr>
          <w:b w:val="0"/>
          <w:lang w:val="cs-CZ" w:eastAsia="cs-CZ"/>
        </w:rPr>
        <w:t>A = aktiva</w:t>
      </w:r>
    </w:p>
    <w:p w14:paraId="30BDCB96" w14:textId="532695C7" w:rsidR="00914C6E" w:rsidRPr="00914C6E" w:rsidRDefault="00914C6E" w:rsidP="00914C6E">
      <w:pPr>
        <w:pStyle w:val="Normlnweb"/>
        <w:jc w:val="both"/>
        <w:rPr>
          <w:b w:val="0"/>
          <w:lang w:val="cs-CZ" w:eastAsia="cs-CZ"/>
        </w:rPr>
      </w:pPr>
      <w:r w:rsidRPr="00914C6E">
        <w:rPr>
          <w:b w:val="0"/>
          <w:lang w:val="cs-CZ" w:eastAsia="cs-CZ"/>
        </w:rPr>
        <w:t>CZ = cizí zdroje</w:t>
      </w:r>
    </w:p>
    <w:p w14:paraId="7C37FD60" w14:textId="77777777" w:rsidR="00914C6E" w:rsidRPr="00914C6E" w:rsidRDefault="00914C6E" w:rsidP="00914C6E">
      <w:pPr>
        <w:pStyle w:val="Normlnweb"/>
        <w:jc w:val="both"/>
        <w:rPr>
          <w:b w:val="0"/>
          <w:lang w:val="cs-CZ" w:eastAsia="cs-CZ"/>
        </w:rPr>
      </w:pPr>
      <w:r w:rsidRPr="00914C6E">
        <w:rPr>
          <w:b w:val="0"/>
          <w:lang w:val="cs-CZ" w:eastAsia="cs-CZ"/>
        </w:rPr>
        <w:t>EBIT = hospodářský výsledek před zdaněním a splacením úroků U = nákladové úroky</w:t>
      </w:r>
    </w:p>
    <w:p w14:paraId="0B003B72" w14:textId="77777777" w:rsidR="00914C6E" w:rsidRPr="00914C6E" w:rsidRDefault="00914C6E" w:rsidP="00914C6E">
      <w:pPr>
        <w:pStyle w:val="Normlnweb"/>
        <w:jc w:val="both"/>
        <w:rPr>
          <w:b w:val="0"/>
          <w:lang w:val="cs-CZ" w:eastAsia="cs-CZ"/>
        </w:rPr>
      </w:pPr>
      <w:r w:rsidRPr="00914C6E">
        <w:rPr>
          <w:b w:val="0"/>
          <w:lang w:val="cs-CZ" w:eastAsia="cs-CZ"/>
        </w:rPr>
        <w:t>V = výnosy (celkové)</w:t>
      </w:r>
    </w:p>
    <w:p w14:paraId="22F549BA" w14:textId="77777777" w:rsidR="00914C6E" w:rsidRPr="00914C6E" w:rsidRDefault="00914C6E" w:rsidP="00914C6E">
      <w:pPr>
        <w:pStyle w:val="Normlnweb"/>
        <w:jc w:val="both"/>
        <w:rPr>
          <w:b w:val="0"/>
          <w:lang w:val="cs-CZ" w:eastAsia="cs-CZ"/>
        </w:rPr>
      </w:pPr>
      <w:r w:rsidRPr="00914C6E">
        <w:rPr>
          <w:b w:val="0"/>
          <w:lang w:val="cs-CZ" w:eastAsia="cs-CZ"/>
        </w:rPr>
        <w:lastRenderedPageBreak/>
        <w:t>OA = oběžná aktiva</w:t>
      </w:r>
    </w:p>
    <w:p w14:paraId="371A18B9" w14:textId="77777777" w:rsidR="00914C6E" w:rsidRPr="00914C6E" w:rsidRDefault="00914C6E" w:rsidP="00914C6E">
      <w:pPr>
        <w:pStyle w:val="Normlnweb"/>
        <w:jc w:val="both"/>
        <w:rPr>
          <w:b w:val="0"/>
          <w:lang w:val="cs-CZ" w:eastAsia="cs-CZ"/>
        </w:rPr>
      </w:pPr>
      <w:r w:rsidRPr="00914C6E">
        <w:rPr>
          <w:b w:val="0"/>
          <w:lang w:val="cs-CZ" w:eastAsia="cs-CZ"/>
        </w:rPr>
        <w:t>KZ = krátkodobé závazky</w:t>
      </w:r>
    </w:p>
    <w:p w14:paraId="7550571F" w14:textId="0DB7A1A1" w:rsidR="00914C6E" w:rsidRDefault="00914C6E" w:rsidP="00914C6E">
      <w:pPr>
        <w:pStyle w:val="Normlnweb"/>
        <w:jc w:val="both"/>
        <w:rPr>
          <w:b w:val="0"/>
          <w:lang w:val="cs-CZ" w:eastAsia="cs-CZ"/>
        </w:rPr>
      </w:pPr>
      <w:r w:rsidRPr="00914C6E">
        <w:rPr>
          <w:b w:val="0"/>
          <w:lang w:val="cs-CZ" w:eastAsia="cs-CZ"/>
        </w:rPr>
        <w:t>KBU = krátkodobé bankovní úvěry</w:t>
      </w:r>
    </w:p>
    <w:p w14:paraId="3684DF84" w14:textId="4C7CF39A" w:rsidR="009A6A06" w:rsidRDefault="00A34CC7" w:rsidP="00914C6E">
      <w:pPr>
        <w:pStyle w:val="Normlnweb"/>
        <w:jc w:val="both"/>
        <w:rPr>
          <w:b w:val="0"/>
          <w:lang w:val="cs-CZ" w:eastAsia="cs-CZ"/>
        </w:rPr>
      </w:pPr>
      <w:r>
        <w:rPr>
          <w:b w:val="0"/>
          <w:lang w:val="cs-CZ" w:eastAsia="cs-CZ"/>
        </w:rPr>
        <w:t>Následně jsou výsledky interpretovány na základě zařazení do těchto intervalů:</w:t>
      </w:r>
    </w:p>
    <w:p w14:paraId="27D10FDA" w14:textId="24C09DE5" w:rsidR="00A34CC7" w:rsidRDefault="00E516E4" w:rsidP="00E516E4">
      <w:pPr>
        <w:pStyle w:val="Normlnweb"/>
        <w:numPr>
          <w:ilvl w:val="0"/>
          <w:numId w:val="31"/>
        </w:numPr>
        <w:jc w:val="both"/>
        <w:rPr>
          <w:b w:val="0"/>
          <w:lang w:val="cs-CZ" w:eastAsia="cs-CZ"/>
        </w:rPr>
      </w:pPr>
      <w:r>
        <w:rPr>
          <w:b w:val="0"/>
          <w:lang w:val="cs-CZ" w:eastAsia="cs-CZ"/>
        </w:rPr>
        <w:t>Menší než 0,75 – podnik míří k bankrotu</w:t>
      </w:r>
    </w:p>
    <w:p w14:paraId="2D174D38" w14:textId="19F07299" w:rsidR="00E516E4" w:rsidRDefault="009259A0" w:rsidP="00E516E4">
      <w:pPr>
        <w:pStyle w:val="Normlnweb"/>
        <w:numPr>
          <w:ilvl w:val="0"/>
          <w:numId w:val="31"/>
        </w:numPr>
        <w:jc w:val="both"/>
        <w:rPr>
          <w:b w:val="0"/>
          <w:lang w:val="cs-CZ" w:eastAsia="cs-CZ"/>
        </w:rPr>
      </w:pPr>
      <w:r>
        <w:rPr>
          <w:b w:val="0"/>
          <w:lang w:val="cs-CZ" w:eastAsia="cs-CZ"/>
        </w:rPr>
        <w:t xml:space="preserve">0,75 až 1,77 – šedá zóna </w:t>
      </w:r>
    </w:p>
    <w:p w14:paraId="714690A8" w14:textId="25E7EBEB" w:rsidR="009259A0" w:rsidRDefault="009259A0" w:rsidP="00E516E4">
      <w:pPr>
        <w:pStyle w:val="Normlnweb"/>
        <w:numPr>
          <w:ilvl w:val="0"/>
          <w:numId w:val="31"/>
        </w:numPr>
        <w:jc w:val="both"/>
        <w:rPr>
          <w:b w:val="0"/>
          <w:lang w:val="cs-CZ" w:eastAsia="cs-CZ"/>
        </w:rPr>
      </w:pPr>
      <w:r>
        <w:rPr>
          <w:b w:val="0"/>
          <w:lang w:val="cs-CZ" w:eastAsia="cs-CZ"/>
        </w:rPr>
        <w:t xml:space="preserve">Více než 1,77 </w:t>
      </w:r>
      <w:r w:rsidR="005F5A4B">
        <w:rPr>
          <w:b w:val="0"/>
          <w:lang w:val="cs-CZ" w:eastAsia="cs-CZ"/>
        </w:rPr>
        <w:t>–</w:t>
      </w:r>
      <w:r>
        <w:rPr>
          <w:b w:val="0"/>
          <w:lang w:val="cs-CZ" w:eastAsia="cs-CZ"/>
        </w:rPr>
        <w:t xml:space="preserve"> </w:t>
      </w:r>
      <w:r w:rsidR="005F5A4B">
        <w:rPr>
          <w:b w:val="0"/>
          <w:lang w:val="cs-CZ" w:eastAsia="cs-CZ"/>
        </w:rPr>
        <w:t>podnik vytváří hodnotu</w:t>
      </w:r>
    </w:p>
    <w:p w14:paraId="137B5BBF" w14:textId="4F6C4BD7" w:rsidR="005F5A4B" w:rsidRDefault="002E64FA" w:rsidP="005F5A4B">
      <w:pPr>
        <w:pStyle w:val="Normlnweb"/>
        <w:jc w:val="both"/>
        <w:rPr>
          <w:b w:val="0"/>
          <w:lang w:val="cs-CZ" w:eastAsia="cs-CZ"/>
        </w:rPr>
      </w:pPr>
      <w:r>
        <w:rPr>
          <w:b w:val="0"/>
          <w:lang w:val="cs-CZ" w:eastAsia="cs-CZ"/>
        </w:rPr>
        <w:t>Pro náš podnik</w:t>
      </w:r>
      <w:r w:rsidR="00562019">
        <w:rPr>
          <w:b w:val="0"/>
          <w:lang w:val="cs-CZ" w:eastAsia="cs-CZ"/>
        </w:rPr>
        <w:t xml:space="preserve"> vychází po dosazení hodnot z rozvahy </w:t>
      </w:r>
      <w:r w:rsidR="00FD6186">
        <w:rPr>
          <w:b w:val="0"/>
          <w:lang w:val="cs-CZ" w:eastAsia="cs-CZ"/>
        </w:rPr>
        <w:t>následující výsledky znázorněné v tabulce 24.</w:t>
      </w:r>
    </w:p>
    <w:tbl>
      <w:tblPr>
        <w:tblW w:w="7440" w:type="dxa"/>
        <w:tblCellMar>
          <w:left w:w="70" w:type="dxa"/>
          <w:right w:w="70" w:type="dxa"/>
        </w:tblCellMar>
        <w:tblLook w:val="04A0" w:firstRow="1" w:lastRow="0" w:firstColumn="1" w:lastColumn="0" w:noHBand="0" w:noVBand="1"/>
      </w:tblPr>
      <w:tblGrid>
        <w:gridCol w:w="2100"/>
        <w:gridCol w:w="1120"/>
        <w:gridCol w:w="1020"/>
        <w:gridCol w:w="1060"/>
        <w:gridCol w:w="1060"/>
        <w:gridCol w:w="1080"/>
      </w:tblGrid>
      <w:tr w:rsidR="004F432A" w:rsidRPr="004F432A" w14:paraId="356B1DCB" w14:textId="77777777" w:rsidTr="004F432A">
        <w:trPr>
          <w:trHeight w:val="260"/>
        </w:trPr>
        <w:tc>
          <w:tcPr>
            <w:tcW w:w="2100" w:type="dxa"/>
            <w:tcBorders>
              <w:top w:val="single" w:sz="8" w:space="0" w:color="auto"/>
              <w:left w:val="single" w:sz="8" w:space="0" w:color="auto"/>
              <w:bottom w:val="single" w:sz="4" w:space="0" w:color="auto"/>
              <w:right w:val="single" w:sz="4" w:space="0" w:color="auto"/>
            </w:tcBorders>
            <w:shd w:val="clear" w:color="000000" w:fill="FFC000"/>
            <w:noWrap/>
            <w:vAlign w:val="bottom"/>
            <w:hideMark/>
          </w:tcPr>
          <w:p w14:paraId="0C7DF827" w14:textId="77777777" w:rsidR="004F432A" w:rsidRPr="004F432A" w:rsidRDefault="004F432A" w:rsidP="004F432A">
            <w:pPr>
              <w:rPr>
                <w:rFonts w:ascii="Arial" w:hAnsi="Arial" w:cs="Arial"/>
                <w:b/>
                <w:bCs/>
                <w:sz w:val="20"/>
                <w:szCs w:val="20"/>
              </w:rPr>
            </w:pPr>
            <w:r w:rsidRPr="004F432A">
              <w:rPr>
                <w:rFonts w:ascii="Arial" w:hAnsi="Arial" w:cs="Arial"/>
                <w:b/>
                <w:bCs/>
                <w:sz w:val="20"/>
                <w:szCs w:val="20"/>
              </w:rPr>
              <w:t> </w:t>
            </w:r>
          </w:p>
        </w:tc>
        <w:tc>
          <w:tcPr>
            <w:tcW w:w="1120" w:type="dxa"/>
            <w:tcBorders>
              <w:top w:val="single" w:sz="8" w:space="0" w:color="auto"/>
              <w:left w:val="nil"/>
              <w:bottom w:val="single" w:sz="4" w:space="0" w:color="auto"/>
              <w:right w:val="single" w:sz="4" w:space="0" w:color="auto"/>
            </w:tcBorders>
            <w:shd w:val="clear" w:color="000000" w:fill="FFC000"/>
            <w:noWrap/>
            <w:vAlign w:val="bottom"/>
            <w:hideMark/>
          </w:tcPr>
          <w:p w14:paraId="57A5A537" w14:textId="77777777" w:rsidR="004F432A" w:rsidRPr="004F432A" w:rsidRDefault="004F432A" w:rsidP="004F432A">
            <w:pPr>
              <w:jc w:val="right"/>
              <w:rPr>
                <w:rFonts w:ascii="Arial" w:hAnsi="Arial" w:cs="Arial"/>
                <w:b/>
                <w:bCs/>
                <w:sz w:val="20"/>
                <w:szCs w:val="20"/>
              </w:rPr>
            </w:pPr>
            <w:r w:rsidRPr="004F432A">
              <w:rPr>
                <w:rFonts w:ascii="Arial" w:hAnsi="Arial" w:cs="Arial"/>
                <w:b/>
                <w:bCs/>
                <w:sz w:val="20"/>
                <w:szCs w:val="20"/>
              </w:rPr>
              <w:t>2017</w:t>
            </w:r>
          </w:p>
        </w:tc>
        <w:tc>
          <w:tcPr>
            <w:tcW w:w="1020" w:type="dxa"/>
            <w:tcBorders>
              <w:top w:val="single" w:sz="8" w:space="0" w:color="auto"/>
              <w:left w:val="nil"/>
              <w:bottom w:val="single" w:sz="4" w:space="0" w:color="auto"/>
              <w:right w:val="single" w:sz="4" w:space="0" w:color="auto"/>
            </w:tcBorders>
            <w:shd w:val="clear" w:color="000000" w:fill="FFC000"/>
            <w:noWrap/>
            <w:vAlign w:val="bottom"/>
            <w:hideMark/>
          </w:tcPr>
          <w:p w14:paraId="08C01FE7" w14:textId="77777777" w:rsidR="004F432A" w:rsidRPr="004F432A" w:rsidRDefault="004F432A" w:rsidP="004F432A">
            <w:pPr>
              <w:jc w:val="right"/>
              <w:rPr>
                <w:rFonts w:ascii="Arial" w:hAnsi="Arial" w:cs="Arial"/>
                <w:b/>
                <w:bCs/>
                <w:sz w:val="20"/>
                <w:szCs w:val="20"/>
              </w:rPr>
            </w:pPr>
            <w:r w:rsidRPr="004F432A">
              <w:rPr>
                <w:rFonts w:ascii="Arial" w:hAnsi="Arial" w:cs="Arial"/>
                <w:b/>
                <w:bCs/>
                <w:sz w:val="20"/>
                <w:szCs w:val="20"/>
              </w:rPr>
              <w:t>2018</w:t>
            </w:r>
          </w:p>
        </w:tc>
        <w:tc>
          <w:tcPr>
            <w:tcW w:w="1060" w:type="dxa"/>
            <w:tcBorders>
              <w:top w:val="single" w:sz="8" w:space="0" w:color="auto"/>
              <w:left w:val="nil"/>
              <w:bottom w:val="single" w:sz="4" w:space="0" w:color="auto"/>
              <w:right w:val="single" w:sz="4" w:space="0" w:color="auto"/>
            </w:tcBorders>
            <w:shd w:val="clear" w:color="000000" w:fill="FFC000"/>
            <w:noWrap/>
            <w:vAlign w:val="bottom"/>
            <w:hideMark/>
          </w:tcPr>
          <w:p w14:paraId="4D948A21" w14:textId="77777777" w:rsidR="004F432A" w:rsidRPr="004F432A" w:rsidRDefault="004F432A" w:rsidP="004F432A">
            <w:pPr>
              <w:jc w:val="right"/>
              <w:rPr>
                <w:rFonts w:ascii="Arial" w:hAnsi="Arial" w:cs="Arial"/>
                <w:b/>
                <w:bCs/>
                <w:sz w:val="20"/>
                <w:szCs w:val="20"/>
              </w:rPr>
            </w:pPr>
            <w:r w:rsidRPr="004F432A">
              <w:rPr>
                <w:rFonts w:ascii="Arial" w:hAnsi="Arial" w:cs="Arial"/>
                <w:b/>
                <w:bCs/>
                <w:sz w:val="20"/>
                <w:szCs w:val="20"/>
              </w:rPr>
              <w:t>2019</w:t>
            </w:r>
          </w:p>
        </w:tc>
        <w:tc>
          <w:tcPr>
            <w:tcW w:w="1060" w:type="dxa"/>
            <w:tcBorders>
              <w:top w:val="single" w:sz="8" w:space="0" w:color="auto"/>
              <w:left w:val="nil"/>
              <w:bottom w:val="single" w:sz="4" w:space="0" w:color="auto"/>
              <w:right w:val="single" w:sz="4" w:space="0" w:color="auto"/>
            </w:tcBorders>
            <w:shd w:val="clear" w:color="000000" w:fill="FFC000"/>
            <w:noWrap/>
            <w:vAlign w:val="bottom"/>
            <w:hideMark/>
          </w:tcPr>
          <w:p w14:paraId="5683EA14" w14:textId="77777777" w:rsidR="004F432A" w:rsidRPr="004F432A" w:rsidRDefault="004F432A" w:rsidP="004F432A">
            <w:pPr>
              <w:jc w:val="right"/>
              <w:rPr>
                <w:rFonts w:ascii="Arial" w:hAnsi="Arial" w:cs="Arial"/>
                <w:b/>
                <w:bCs/>
                <w:sz w:val="20"/>
                <w:szCs w:val="20"/>
              </w:rPr>
            </w:pPr>
            <w:r w:rsidRPr="004F432A">
              <w:rPr>
                <w:rFonts w:ascii="Arial" w:hAnsi="Arial" w:cs="Arial"/>
                <w:b/>
                <w:bCs/>
                <w:sz w:val="20"/>
                <w:szCs w:val="20"/>
              </w:rPr>
              <w:t>2020</w:t>
            </w:r>
          </w:p>
        </w:tc>
        <w:tc>
          <w:tcPr>
            <w:tcW w:w="1080" w:type="dxa"/>
            <w:tcBorders>
              <w:top w:val="single" w:sz="8" w:space="0" w:color="auto"/>
              <w:left w:val="nil"/>
              <w:bottom w:val="single" w:sz="4" w:space="0" w:color="auto"/>
              <w:right w:val="single" w:sz="8" w:space="0" w:color="auto"/>
            </w:tcBorders>
            <w:shd w:val="clear" w:color="000000" w:fill="FFC000"/>
            <w:noWrap/>
            <w:vAlign w:val="bottom"/>
            <w:hideMark/>
          </w:tcPr>
          <w:p w14:paraId="1DB7F628" w14:textId="77777777" w:rsidR="004F432A" w:rsidRPr="004F432A" w:rsidRDefault="004F432A" w:rsidP="004F432A">
            <w:pPr>
              <w:jc w:val="right"/>
              <w:rPr>
                <w:rFonts w:ascii="Arial" w:hAnsi="Arial" w:cs="Arial"/>
                <w:b/>
                <w:bCs/>
                <w:sz w:val="20"/>
                <w:szCs w:val="20"/>
              </w:rPr>
            </w:pPr>
            <w:r w:rsidRPr="004F432A">
              <w:rPr>
                <w:rFonts w:ascii="Arial" w:hAnsi="Arial" w:cs="Arial"/>
                <w:b/>
                <w:bCs/>
                <w:sz w:val="20"/>
                <w:szCs w:val="20"/>
              </w:rPr>
              <w:t>2021</w:t>
            </w:r>
          </w:p>
        </w:tc>
      </w:tr>
      <w:tr w:rsidR="004F432A" w:rsidRPr="004F432A" w14:paraId="0BED656D" w14:textId="77777777" w:rsidTr="004F432A">
        <w:trPr>
          <w:trHeight w:val="260"/>
        </w:trPr>
        <w:tc>
          <w:tcPr>
            <w:tcW w:w="2100" w:type="dxa"/>
            <w:tcBorders>
              <w:top w:val="nil"/>
              <w:left w:val="single" w:sz="8" w:space="0" w:color="auto"/>
              <w:bottom w:val="single" w:sz="4" w:space="0" w:color="auto"/>
              <w:right w:val="single" w:sz="4" w:space="0" w:color="auto"/>
            </w:tcBorders>
            <w:shd w:val="clear" w:color="000000" w:fill="FFC000"/>
            <w:noWrap/>
            <w:vAlign w:val="bottom"/>
            <w:hideMark/>
          </w:tcPr>
          <w:p w14:paraId="6962D69A" w14:textId="77777777" w:rsidR="004F432A" w:rsidRPr="004F432A" w:rsidRDefault="004F432A" w:rsidP="004F432A">
            <w:pPr>
              <w:rPr>
                <w:rFonts w:ascii="Arial" w:hAnsi="Arial" w:cs="Arial"/>
                <w:b/>
                <w:bCs/>
                <w:sz w:val="20"/>
                <w:szCs w:val="20"/>
              </w:rPr>
            </w:pPr>
            <w:r w:rsidRPr="004F432A">
              <w:rPr>
                <w:rFonts w:ascii="Arial" w:hAnsi="Arial" w:cs="Arial"/>
                <w:b/>
                <w:bCs/>
                <w:sz w:val="20"/>
                <w:szCs w:val="20"/>
              </w:rPr>
              <w:t>A/CZ</w:t>
            </w:r>
          </w:p>
        </w:tc>
        <w:tc>
          <w:tcPr>
            <w:tcW w:w="1120" w:type="dxa"/>
            <w:tcBorders>
              <w:top w:val="nil"/>
              <w:left w:val="nil"/>
              <w:bottom w:val="single" w:sz="4" w:space="0" w:color="auto"/>
              <w:right w:val="single" w:sz="4" w:space="0" w:color="auto"/>
            </w:tcBorders>
            <w:shd w:val="clear" w:color="auto" w:fill="auto"/>
            <w:noWrap/>
            <w:vAlign w:val="bottom"/>
            <w:hideMark/>
          </w:tcPr>
          <w:p w14:paraId="0FCFB454"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6,90</w:t>
            </w:r>
          </w:p>
        </w:tc>
        <w:tc>
          <w:tcPr>
            <w:tcW w:w="1020" w:type="dxa"/>
            <w:tcBorders>
              <w:top w:val="nil"/>
              <w:left w:val="nil"/>
              <w:bottom w:val="single" w:sz="4" w:space="0" w:color="auto"/>
              <w:right w:val="single" w:sz="4" w:space="0" w:color="auto"/>
            </w:tcBorders>
            <w:shd w:val="clear" w:color="auto" w:fill="auto"/>
            <w:noWrap/>
            <w:vAlign w:val="bottom"/>
            <w:hideMark/>
          </w:tcPr>
          <w:p w14:paraId="2E45C0F3"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3,95</w:t>
            </w:r>
          </w:p>
        </w:tc>
        <w:tc>
          <w:tcPr>
            <w:tcW w:w="1060" w:type="dxa"/>
            <w:tcBorders>
              <w:top w:val="nil"/>
              <w:left w:val="nil"/>
              <w:bottom w:val="single" w:sz="4" w:space="0" w:color="auto"/>
              <w:right w:val="single" w:sz="4" w:space="0" w:color="auto"/>
            </w:tcBorders>
            <w:shd w:val="clear" w:color="auto" w:fill="auto"/>
            <w:noWrap/>
            <w:vAlign w:val="bottom"/>
            <w:hideMark/>
          </w:tcPr>
          <w:p w14:paraId="4507FA3A"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2,18</w:t>
            </w:r>
          </w:p>
        </w:tc>
        <w:tc>
          <w:tcPr>
            <w:tcW w:w="1060" w:type="dxa"/>
            <w:tcBorders>
              <w:top w:val="nil"/>
              <w:left w:val="nil"/>
              <w:bottom w:val="single" w:sz="4" w:space="0" w:color="auto"/>
              <w:right w:val="single" w:sz="4" w:space="0" w:color="auto"/>
            </w:tcBorders>
            <w:shd w:val="clear" w:color="auto" w:fill="auto"/>
            <w:noWrap/>
            <w:vAlign w:val="bottom"/>
            <w:hideMark/>
          </w:tcPr>
          <w:p w14:paraId="5E1755A4"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2,66</w:t>
            </w:r>
          </w:p>
        </w:tc>
        <w:tc>
          <w:tcPr>
            <w:tcW w:w="1080" w:type="dxa"/>
            <w:tcBorders>
              <w:top w:val="nil"/>
              <w:left w:val="nil"/>
              <w:bottom w:val="single" w:sz="4" w:space="0" w:color="auto"/>
              <w:right w:val="single" w:sz="8" w:space="0" w:color="auto"/>
            </w:tcBorders>
            <w:shd w:val="clear" w:color="auto" w:fill="auto"/>
            <w:noWrap/>
            <w:vAlign w:val="bottom"/>
            <w:hideMark/>
          </w:tcPr>
          <w:p w14:paraId="403D54DC"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3,11</w:t>
            </w:r>
          </w:p>
        </w:tc>
      </w:tr>
      <w:tr w:rsidR="004F432A" w:rsidRPr="004F432A" w14:paraId="799E08A0" w14:textId="77777777" w:rsidTr="004F432A">
        <w:trPr>
          <w:trHeight w:val="260"/>
        </w:trPr>
        <w:tc>
          <w:tcPr>
            <w:tcW w:w="2100" w:type="dxa"/>
            <w:tcBorders>
              <w:top w:val="nil"/>
              <w:left w:val="single" w:sz="8" w:space="0" w:color="auto"/>
              <w:bottom w:val="single" w:sz="4" w:space="0" w:color="auto"/>
              <w:right w:val="single" w:sz="4" w:space="0" w:color="auto"/>
            </w:tcBorders>
            <w:shd w:val="clear" w:color="000000" w:fill="FFC000"/>
            <w:noWrap/>
            <w:vAlign w:val="bottom"/>
            <w:hideMark/>
          </w:tcPr>
          <w:p w14:paraId="2D58B07C" w14:textId="77777777" w:rsidR="004F432A" w:rsidRPr="004F432A" w:rsidRDefault="004F432A" w:rsidP="004F432A">
            <w:pPr>
              <w:rPr>
                <w:rFonts w:ascii="Arial" w:hAnsi="Arial" w:cs="Arial"/>
                <w:b/>
                <w:bCs/>
                <w:sz w:val="20"/>
                <w:szCs w:val="20"/>
              </w:rPr>
            </w:pPr>
            <w:r w:rsidRPr="004F432A">
              <w:rPr>
                <w:rFonts w:ascii="Arial" w:hAnsi="Arial" w:cs="Arial"/>
                <w:b/>
                <w:bCs/>
                <w:sz w:val="20"/>
                <w:szCs w:val="20"/>
              </w:rPr>
              <w:t>EBIT/U</w:t>
            </w:r>
          </w:p>
        </w:tc>
        <w:tc>
          <w:tcPr>
            <w:tcW w:w="1120" w:type="dxa"/>
            <w:tcBorders>
              <w:top w:val="nil"/>
              <w:left w:val="nil"/>
              <w:bottom w:val="single" w:sz="4" w:space="0" w:color="auto"/>
              <w:right w:val="single" w:sz="4" w:space="0" w:color="auto"/>
            </w:tcBorders>
            <w:shd w:val="clear" w:color="auto" w:fill="auto"/>
            <w:noWrap/>
            <w:vAlign w:val="bottom"/>
            <w:hideMark/>
          </w:tcPr>
          <w:p w14:paraId="3E774D21"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118,36</w:t>
            </w:r>
          </w:p>
        </w:tc>
        <w:tc>
          <w:tcPr>
            <w:tcW w:w="1020" w:type="dxa"/>
            <w:tcBorders>
              <w:top w:val="nil"/>
              <w:left w:val="nil"/>
              <w:bottom w:val="single" w:sz="4" w:space="0" w:color="auto"/>
              <w:right w:val="single" w:sz="4" w:space="0" w:color="auto"/>
            </w:tcBorders>
            <w:shd w:val="clear" w:color="auto" w:fill="auto"/>
            <w:noWrap/>
            <w:vAlign w:val="bottom"/>
            <w:hideMark/>
          </w:tcPr>
          <w:p w14:paraId="01D6BACB" w14:textId="77777777" w:rsidR="004F432A" w:rsidRPr="004F432A" w:rsidRDefault="004F432A" w:rsidP="004F432A">
            <w:pPr>
              <w:jc w:val="right"/>
              <w:rPr>
                <w:rFonts w:ascii="Arial" w:hAnsi="Arial" w:cs="Arial"/>
                <w:b/>
                <w:bCs/>
                <w:color w:val="FF0000"/>
                <w:sz w:val="20"/>
                <w:szCs w:val="20"/>
              </w:rPr>
            </w:pPr>
            <w:r w:rsidRPr="004F432A">
              <w:rPr>
                <w:rFonts w:ascii="Arial" w:hAnsi="Arial" w:cs="Arial"/>
                <w:b/>
                <w:bCs/>
                <w:color w:val="FF0000"/>
                <w:sz w:val="20"/>
                <w:szCs w:val="20"/>
              </w:rPr>
              <w:t>54,80</w:t>
            </w:r>
          </w:p>
        </w:tc>
        <w:tc>
          <w:tcPr>
            <w:tcW w:w="1060" w:type="dxa"/>
            <w:tcBorders>
              <w:top w:val="nil"/>
              <w:left w:val="nil"/>
              <w:bottom w:val="single" w:sz="4" w:space="0" w:color="auto"/>
              <w:right w:val="single" w:sz="4" w:space="0" w:color="auto"/>
            </w:tcBorders>
            <w:shd w:val="clear" w:color="auto" w:fill="auto"/>
            <w:noWrap/>
            <w:vAlign w:val="bottom"/>
            <w:hideMark/>
          </w:tcPr>
          <w:p w14:paraId="25C89C05" w14:textId="77777777" w:rsidR="004F432A" w:rsidRPr="004F432A" w:rsidRDefault="004F432A" w:rsidP="004F432A">
            <w:pPr>
              <w:jc w:val="right"/>
              <w:rPr>
                <w:rFonts w:ascii="Arial" w:hAnsi="Arial" w:cs="Arial"/>
                <w:b/>
                <w:bCs/>
                <w:color w:val="FF0000"/>
                <w:sz w:val="20"/>
                <w:szCs w:val="20"/>
              </w:rPr>
            </w:pPr>
            <w:r w:rsidRPr="004F432A">
              <w:rPr>
                <w:rFonts w:ascii="Arial" w:hAnsi="Arial" w:cs="Arial"/>
                <w:b/>
                <w:bCs/>
                <w:color w:val="FF0000"/>
                <w:sz w:val="20"/>
                <w:szCs w:val="20"/>
              </w:rPr>
              <w:t>3,11</w:t>
            </w:r>
          </w:p>
        </w:tc>
        <w:tc>
          <w:tcPr>
            <w:tcW w:w="1060" w:type="dxa"/>
            <w:tcBorders>
              <w:top w:val="nil"/>
              <w:left w:val="nil"/>
              <w:bottom w:val="single" w:sz="4" w:space="0" w:color="auto"/>
              <w:right w:val="single" w:sz="4" w:space="0" w:color="auto"/>
            </w:tcBorders>
            <w:shd w:val="clear" w:color="auto" w:fill="auto"/>
            <w:noWrap/>
            <w:vAlign w:val="bottom"/>
            <w:hideMark/>
          </w:tcPr>
          <w:p w14:paraId="1C162DFC" w14:textId="77777777" w:rsidR="004F432A" w:rsidRPr="004F432A" w:rsidRDefault="004F432A" w:rsidP="004F432A">
            <w:pPr>
              <w:jc w:val="right"/>
              <w:rPr>
                <w:rFonts w:ascii="Arial" w:hAnsi="Arial" w:cs="Arial"/>
                <w:b/>
                <w:bCs/>
                <w:color w:val="FF0000"/>
                <w:sz w:val="20"/>
                <w:szCs w:val="20"/>
              </w:rPr>
            </w:pPr>
            <w:r w:rsidRPr="004F432A">
              <w:rPr>
                <w:rFonts w:ascii="Arial" w:hAnsi="Arial" w:cs="Arial"/>
                <w:b/>
                <w:bCs/>
                <w:color w:val="FF0000"/>
                <w:sz w:val="20"/>
                <w:szCs w:val="20"/>
              </w:rPr>
              <w:t>1,53</w:t>
            </w:r>
          </w:p>
        </w:tc>
        <w:tc>
          <w:tcPr>
            <w:tcW w:w="1080" w:type="dxa"/>
            <w:tcBorders>
              <w:top w:val="nil"/>
              <w:left w:val="nil"/>
              <w:bottom w:val="single" w:sz="4" w:space="0" w:color="auto"/>
              <w:right w:val="single" w:sz="8" w:space="0" w:color="auto"/>
            </w:tcBorders>
            <w:shd w:val="clear" w:color="auto" w:fill="auto"/>
            <w:noWrap/>
            <w:vAlign w:val="bottom"/>
            <w:hideMark/>
          </w:tcPr>
          <w:p w14:paraId="19EECF93"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2,84</w:t>
            </w:r>
          </w:p>
        </w:tc>
      </w:tr>
      <w:tr w:rsidR="004F432A" w:rsidRPr="004F432A" w14:paraId="7F0F8850" w14:textId="77777777" w:rsidTr="004F432A">
        <w:trPr>
          <w:trHeight w:val="260"/>
        </w:trPr>
        <w:tc>
          <w:tcPr>
            <w:tcW w:w="2100" w:type="dxa"/>
            <w:tcBorders>
              <w:top w:val="nil"/>
              <w:left w:val="single" w:sz="8" w:space="0" w:color="auto"/>
              <w:bottom w:val="single" w:sz="4" w:space="0" w:color="auto"/>
              <w:right w:val="single" w:sz="4" w:space="0" w:color="auto"/>
            </w:tcBorders>
            <w:shd w:val="clear" w:color="000000" w:fill="FFC000"/>
            <w:noWrap/>
            <w:vAlign w:val="bottom"/>
            <w:hideMark/>
          </w:tcPr>
          <w:p w14:paraId="3EBDD43E" w14:textId="77777777" w:rsidR="004F432A" w:rsidRPr="004F432A" w:rsidRDefault="004F432A" w:rsidP="004F432A">
            <w:pPr>
              <w:rPr>
                <w:rFonts w:ascii="Arial" w:hAnsi="Arial" w:cs="Arial"/>
                <w:b/>
                <w:bCs/>
                <w:sz w:val="20"/>
                <w:szCs w:val="20"/>
              </w:rPr>
            </w:pPr>
            <w:r w:rsidRPr="004F432A">
              <w:rPr>
                <w:rFonts w:ascii="Arial" w:hAnsi="Arial" w:cs="Arial"/>
                <w:b/>
                <w:bCs/>
                <w:sz w:val="20"/>
                <w:szCs w:val="20"/>
              </w:rPr>
              <w:t>EBIT/U po korekci</w:t>
            </w:r>
          </w:p>
        </w:tc>
        <w:tc>
          <w:tcPr>
            <w:tcW w:w="1120" w:type="dxa"/>
            <w:tcBorders>
              <w:top w:val="nil"/>
              <w:left w:val="nil"/>
              <w:bottom w:val="single" w:sz="4" w:space="0" w:color="auto"/>
              <w:right w:val="single" w:sz="4" w:space="0" w:color="auto"/>
            </w:tcBorders>
            <w:shd w:val="clear" w:color="auto" w:fill="auto"/>
            <w:noWrap/>
            <w:vAlign w:val="bottom"/>
            <w:hideMark/>
          </w:tcPr>
          <w:p w14:paraId="13841A94"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9</w:t>
            </w:r>
          </w:p>
        </w:tc>
        <w:tc>
          <w:tcPr>
            <w:tcW w:w="1020" w:type="dxa"/>
            <w:tcBorders>
              <w:top w:val="nil"/>
              <w:left w:val="nil"/>
              <w:bottom w:val="single" w:sz="4" w:space="0" w:color="auto"/>
              <w:right w:val="single" w:sz="4" w:space="0" w:color="auto"/>
            </w:tcBorders>
            <w:shd w:val="clear" w:color="auto" w:fill="auto"/>
            <w:noWrap/>
            <w:vAlign w:val="bottom"/>
            <w:hideMark/>
          </w:tcPr>
          <w:p w14:paraId="4DFC6141"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9</w:t>
            </w:r>
          </w:p>
        </w:tc>
        <w:tc>
          <w:tcPr>
            <w:tcW w:w="1060" w:type="dxa"/>
            <w:tcBorders>
              <w:top w:val="nil"/>
              <w:left w:val="nil"/>
              <w:bottom w:val="single" w:sz="4" w:space="0" w:color="auto"/>
              <w:right w:val="single" w:sz="4" w:space="0" w:color="auto"/>
            </w:tcBorders>
            <w:shd w:val="clear" w:color="auto" w:fill="auto"/>
            <w:noWrap/>
            <w:vAlign w:val="bottom"/>
            <w:hideMark/>
          </w:tcPr>
          <w:p w14:paraId="662BCB02"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3,11</w:t>
            </w:r>
          </w:p>
        </w:tc>
        <w:tc>
          <w:tcPr>
            <w:tcW w:w="1060" w:type="dxa"/>
            <w:tcBorders>
              <w:top w:val="nil"/>
              <w:left w:val="nil"/>
              <w:bottom w:val="single" w:sz="4" w:space="0" w:color="auto"/>
              <w:right w:val="single" w:sz="4" w:space="0" w:color="auto"/>
            </w:tcBorders>
            <w:shd w:val="clear" w:color="auto" w:fill="auto"/>
            <w:noWrap/>
            <w:vAlign w:val="bottom"/>
            <w:hideMark/>
          </w:tcPr>
          <w:p w14:paraId="3918081C"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1,53</w:t>
            </w:r>
          </w:p>
        </w:tc>
        <w:tc>
          <w:tcPr>
            <w:tcW w:w="1080" w:type="dxa"/>
            <w:tcBorders>
              <w:top w:val="nil"/>
              <w:left w:val="nil"/>
              <w:bottom w:val="single" w:sz="4" w:space="0" w:color="auto"/>
              <w:right w:val="single" w:sz="8" w:space="0" w:color="auto"/>
            </w:tcBorders>
            <w:shd w:val="clear" w:color="auto" w:fill="auto"/>
            <w:noWrap/>
            <w:vAlign w:val="bottom"/>
            <w:hideMark/>
          </w:tcPr>
          <w:p w14:paraId="69FBE1BA"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2,84</w:t>
            </w:r>
          </w:p>
        </w:tc>
      </w:tr>
      <w:tr w:rsidR="004F432A" w:rsidRPr="004F432A" w14:paraId="5B8E6870" w14:textId="77777777" w:rsidTr="004F432A">
        <w:trPr>
          <w:trHeight w:val="260"/>
        </w:trPr>
        <w:tc>
          <w:tcPr>
            <w:tcW w:w="2100" w:type="dxa"/>
            <w:tcBorders>
              <w:top w:val="nil"/>
              <w:left w:val="single" w:sz="8" w:space="0" w:color="auto"/>
              <w:bottom w:val="single" w:sz="4" w:space="0" w:color="auto"/>
              <w:right w:val="single" w:sz="4" w:space="0" w:color="auto"/>
            </w:tcBorders>
            <w:shd w:val="clear" w:color="000000" w:fill="FFC000"/>
            <w:noWrap/>
            <w:vAlign w:val="bottom"/>
            <w:hideMark/>
          </w:tcPr>
          <w:p w14:paraId="11ED6CE9" w14:textId="77777777" w:rsidR="004F432A" w:rsidRPr="004F432A" w:rsidRDefault="004F432A" w:rsidP="004F432A">
            <w:pPr>
              <w:rPr>
                <w:rFonts w:ascii="Arial" w:hAnsi="Arial" w:cs="Arial"/>
                <w:b/>
                <w:bCs/>
                <w:sz w:val="20"/>
                <w:szCs w:val="20"/>
              </w:rPr>
            </w:pPr>
            <w:r w:rsidRPr="004F432A">
              <w:rPr>
                <w:rFonts w:ascii="Arial" w:hAnsi="Arial" w:cs="Arial"/>
                <w:b/>
                <w:bCs/>
                <w:sz w:val="20"/>
                <w:szCs w:val="20"/>
              </w:rPr>
              <w:t>EBIT/A</w:t>
            </w:r>
          </w:p>
        </w:tc>
        <w:tc>
          <w:tcPr>
            <w:tcW w:w="1120" w:type="dxa"/>
            <w:tcBorders>
              <w:top w:val="nil"/>
              <w:left w:val="nil"/>
              <w:bottom w:val="single" w:sz="4" w:space="0" w:color="auto"/>
              <w:right w:val="single" w:sz="4" w:space="0" w:color="auto"/>
            </w:tcBorders>
            <w:shd w:val="clear" w:color="auto" w:fill="auto"/>
            <w:noWrap/>
            <w:vAlign w:val="bottom"/>
            <w:hideMark/>
          </w:tcPr>
          <w:p w14:paraId="5C77E642"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0,24</w:t>
            </w:r>
          </w:p>
        </w:tc>
        <w:tc>
          <w:tcPr>
            <w:tcW w:w="1020" w:type="dxa"/>
            <w:tcBorders>
              <w:top w:val="nil"/>
              <w:left w:val="nil"/>
              <w:bottom w:val="single" w:sz="4" w:space="0" w:color="auto"/>
              <w:right w:val="single" w:sz="4" w:space="0" w:color="auto"/>
            </w:tcBorders>
            <w:shd w:val="clear" w:color="auto" w:fill="auto"/>
            <w:noWrap/>
            <w:vAlign w:val="bottom"/>
            <w:hideMark/>
          </w:tcPr>
          <w:p w14:paraId="7EC953FB"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0,14</w:t>
            </w:r>
          </w:p>
        </w:tc>
        <w:tc>
          <w:tcPr>
            <w:tcW w:w="1060" w:type="dxa"/>
            <w:tcBorders>
              <w:top w:val="nil"/>
              <w:left w:val="nil"/>
              <w:bottom w:val="single" w:sz="4" w:space="0" w:color="auto"/>
              <w:right w:val="single" w:sz="4" w:space="0" w:color="auto"/>
            </w:tcBorders>
            <w:shd w:val="clear" w:color="auto" w:fill="auto"/>
            <w:noWrap/>
            <w:vAlign w:val="bottom"/>
            <w:hideMark/>
          </w:tcPr>
          <w:p w14:paraId="0CA7B481" w14:textId="77777777" w:rsidR="004F432A" w:rsidRPr="004F432A" w:rsidRDefault="004F432A" w:rsidP="004F432A">
            <w:pPr>
              <w:jc w:val="right"/>
              <w:rPr>
                <w:rFonts w:ascii="Arial" w:hAnsi="Arial" w:cs="Arial"/>
                <w:b/>
                <w:bCs/>
                <w:color w:val="FF0000"/>
                <w:sz w:val="20"/>
                <w:szCs w:val="20"/>
              </w:rPr>
            </w:pPr>
            <w:r w:rsidRPr="004F432A">
              <w:rPr>
                <w:rFonts w:ascii="Arial" w:hAnsi="Arial" w:cs="Arial"/>
                <w:b/>
                <w:bCs/>
                <w:color w:val="FF0000"/>
                <w:sz w:val="20"/>
                <w:szCs w:val="20"/>
              </w:rPr>
              <w:t>0,02</w:t>
            </w:r>
          </w:p>
        </w:tc>
        <w:tc>
          <w:tcPr>
            <w:tcW w:w="1060" w:type="dxa"/>
            <w:tcBorders>
              <w:top w:val="nil"/>
              <w:left w:val="nil"/>
              <w:bottom w:val="single" w:sz="4" w:space="0" w:color="auto"/>
              <w:right w:val="single" w:sz="4" w:space="0" w:color="auto"/>
            </w:tcBorders>
            <w:shd w:val="clear" w:color="auto" w:fill="auto"/>
            <w:noWrap/>
            <w:vAlign w:val="bottom"/>
            <w:hideMark/>
          </w:tcPr>
          <w:p w14:paraId="18C47722"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0,02</w:t>
            </w:r>
          </w:p>
        </w:tc>
        <w:tc>
          <w:tcPr>
            <w:tcW w:w="1080" w:type="dxa"/>
            <w:tcBorders>
              <w:top w:val="nil"/>
              <w:left w:val="nil"/>
              <w:bottom w:val="single" w:sz="4" w:space="0" w:color="auto"/>
              <w:right w:val="single" w:sz="8" w:space="0" w:color="auto"/>
            </w:tcBorders>
            <w:shd w:val="clear" w:color="auto" w:fill="auto"/>
            <w:noWrap/>
            <w:vAlign w:val="bottom"/>
            <w:hideMark/>
          </w:tcPr>
          <w:p w14:paraId="441B04A8"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0,02</w:t>
            </w:r>
          </w:p>
        </w:tc>
      </w:tr>
      <w:tr w:rsidR="004F432A" w:rsidRPr="004F432A" w14:paraId="442990BB" w14:textId="77777777" w:rsidTr="004F432A">
        <w:trPr>
          <w:trHeight w:val="260"/>
        </w:trPr>
        <w:tc>
          <w:tcPr>
            <w:tcW w:w="2100" w:type="dxa"/>
            <w:tcBorders>
              <w:top w:val="nil"/>
              <w:left w:val="single" w:sz="8" w:space="0" w:color="auto"/>
              <w:bottom w:val="single" w:sz="4" w:space="0" w:color="auto"/>
              <w:right w:val="single" w:sz="4" w:space="0" w:color="auto"/>
            </w:tcBorders>
            <w:shd w:val="clear" w:color="000000" w:fill="FFC000"/>
            <w:noWrap/>
            <w:vAlign w:val="bottom"/>
            <w:hideMark/>
          </w:tcPr>
          <w:p w14:paraId="01496E80" w14:textId="77777777" w:rsidR="004F432A" w:rsidRPr="004F432A" w:rsidRDefault="004F432A" w:rsidP="004F432A">
            <w:pPr>
              <w:rPr>
                <w:rFonts w:ascii="Arial" w:hAnsi="Arial" w:cs="Arial"/>
                <w:b/>
                <w:bCs/>
                <w:sz w:val="20"/>
                <w:szCs w:val="20"/>
              </w:rPr>
            </w:pPr>
            <w:r w:rsidRPr="004F432A">
              <w:rPr>
                <w:rFonts w:ascii="Arial" w:hAnsi="Arial" w:cs="Arial"/>
                <w:b/>
                <w:bCs/>
                <w:sz w:val="20"/>
                <w:szCs w:val="20"/>
              </w:rPr>
              <w:t>V/A</w:t>
            </w:r>
          </w:p>
        </w:tc>
        <w:tc>
          <w:tcPr>
            <w:tcW w:w="1120" w:type="dxa"/>
            <w:tcBorders>
              <w:top w:val="nil"/>
              <w:left w:val="nil"/>
              <w:bottom w:val="single" w:sz="4" w:space="0" w:color="auto"/>
              <w:right w:val="single" w:sz="4" w:space="0" w:color="auto"/>
            </w:tcBorders>
            <w:shd w:val="clear" w:color="auto" w:fill="auto"/>
            <w:noWrap/>
            <w:vAlign w:val="bottom"/>
            <w:hideMark/>
          </w:tcPr>
          <w:p w14:paraId="7920E7DB"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1,40</w:t>
            </w:r>
          </w:p>
        </w:tc>
        <w:tc>
          <w:tcPr>
            <w:tcW w:w="1020" w:type="dxa"/>
            <w:tcBorders>
              <w:top w:val="nil"/>
              <w:left w:val="nil"/>
              <w:bottom w:val="single" w:sz="4" w:space="0" w:color="auto"/>
              <w:right w:val="single" w:sz="4" w:space="0" w:color="auto"/>
            </w:tcBorders>
            <w:shd w:val="clear" w:color="auto" w:fill="auto"/>
            <w:noWrap/>
            <w:vAlign w:val="bottom"/>
            <w:hideMark/>
          </w:tcPr>
          <w:p w14:paraId="7E6BC813" w14:textId="77777777" w:rsidR="004F432A" w:rsidRPr="004F432A" w:rsidRDefault="004F432A" w:rsidP="004F432A">
            <w:pPr>
              <w:jc w:val="right"/>
              <w:rPr>
                <w:rFonts w:ascii="Arial" w:hAnsi="Arial" w:cs="Arial"/>
                <w:b/>
                <w:bCs/>
                <w:color w:val="FF0000"/>
                <w:sz w:val="20"/>
                <w:szCs w:val="20"/>
              </w:rPr>
            </w:pPr>
            <w:r w:rsidRPr="004F432A">
              <w:rPr>
                <w:rFonts w:ascii="Arial" w:hAnsi="Arial" w:cs="Arial"/>
                <w:b/>
                <w:bCs/>
                <w:color w:val="FF0000"/>
                <w:sz w:val="20"/>
                <w:szCs w:val="20"/>
              </w:rPr>
              <w:t>1,07</w:t>
            </w:r>
          </w:p>
        </w:tc>
        <w:tc>
          <w:tcPr>
            <w:tcW w:w="1060" w:type="dxa"/>
            <w:tcBorders>
              <w:top w:val="nil"/>
              <w:left w:val="nil"/>
              <w:bottom w:val="single" w:sz="4" w:space="0" w:color="auto"/>
              <w:right w:val="single" w:sz="4" w:space="0" w:color="auto"/>
            </w:tcBorders>
            <w:shd w:val="clear" w:color="auto" w:fill="auto"/>
            <w:noWrap/>
            <w:vAlign w:val="bottom"/>
            <w:hideMark/>
          </w:tcPr>
          <w:p w14:paraId="07E76E87"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0,79</w:t>
            </w:r>
          </w:p>
        </w:tc>
        <w:tc>
          <w:tcPr>
            <w:tcW w:w="1060" w:type="dxa"/>
            <w:tcBorders>
              <w:top w:val="nil"/>
              <w:left w:val="nil"/>
              <w:bottom w:val="single" w:sz="4" w:space="0" w:color="auto"/>
              <w:right w:val="single" w:sz="4" w:space="0" w:color="auto"/>
            </w:tcBorders>
            <w:shd w:val="clear" w:color="auto" w:fill="auto"/>
            <w:noWrap/>
            <w:vAlign w:val="bottom"/>
            <w:hideMark/>
          </w:tcPr>
          <w:p w14:paraId="5487DAA1"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0,97</w:t>
            </w:r>
          </w:p>
        </w:tc>
        <w:tc>
          <w:tcPr>
            <w:tcW w:w="1080" w:type="dxa"/>
            <w:tcBorders>
              <w:top w:val="nil"/>
              <w:left w:val="nil"/>
              <w:bottom w:val="single" w:sz="4" w:space="0" w:color="auto"/>
              <w:right w:val="single" w:sz="8" w:space="0" w:color="auto"/>
            </w:tcBorders>
            <w:shd w:val="clear" w:color="auto" w:fill="auto"/>
            <w:noWrap/>
            <w:vAlign w:val="bottom"/>
            <w:hideMark/>
          </w:tcPr>
          <w:p w14:paraId="7ADB250E"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1,10</w:t>
            </w:r>
          </w:p>
        </w:tc>
      </w:tr>
      <w:tr w:rsidR="004F432A" w:rsidRPr="004F432A" w14:paraId="745E3304" w14:textId="77777777" w:rsidTr="004F432A">
        <w:trPr>
          <w:trHeight w:val="260"/>
        </w:trPr>
        <w:tc>
          <w:tcPr>
            <w:tcW w:w="2100" w:type="dxa"/>
            <w:tcBorders>
              <w:top w:val="nil"/>
              <w:left w:val="single" w:sz="8" w:space="0" w:color="auto"/>
              <w:bottom w:val="single" w:sz="4" w:space="0" w:color="auto"/>
              <w:right w:val="single" w:sz="4" w:space="0" w:color="auto"/>
            </w:tcBorders>
            <w:shd w:val="clear" w:color="000000" w:fill="FFC000"/>
            <w:noWrap/>
            <w:vAlign w:val="bottom"/>
            <w:hideMark/>
          </w:tcPr>
          <w:p w14:paraId="09A23F83" w14:textId="77777777" w:rsidR="004F432A" w:rsidRPr="004F432A" w:rsidRDefault="004F432A" w:rsidP="004F432A">
            <w:pPr>
              <w:rPr>
                <w:rFonts w:ascii="Arial" w:hAnsi="Arial" w:cs="Arial"/>
                <w:b/>
                <w:bCs/>
                <w:sz w:val="20"/>
                <w:szCs w:val="20"/>
              </w:rPr>
            </w:pPr>
            <w:r w:rsidRPr="004F432A">
              <w:rPr>
                <w:rFonts w:ascii="Arial" w:hAnsi="Arial" w:cs="Arial"/>
                <w:b/>
                <w:bCs/>
                <w:sz w:val="20"/>
                <w:szCs w:val="20"/>
              </w:rPr>
              <w:t>OA (KZ + KBU)</w:t>
            </w:r>
          </w:p>
        </w:tc>
        <w:tc>
          <w:tcPr>
            <w:tcW w:w="1120" w:type="dxa"/>
            <w:tcBorders>
              <w:top w:val="nil"/>
              <w:left w:val="nil"/>
              <w:bottom w:val="single" w:sz="4" w:space="0" w:color="auto"/>
              <w:right w:val="single" w:sz="4" w:space="0" w:color="auto"/>
            </w:tcBorders>
            <w:shd w:val="clear" w:color="auto" w:fill="auto"/>
            <w:noWrap/>
            <w:vAlign w:val="bottom"/>
            <w:hideMark/>
          </w:tcPr>
          <w:p w14:paraId="306B3572"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4,96</w:t>
            </w:r>
          </w:p>
        </w:tc>
        <w:tc>
          <w:tcPr>
            <w:tcW w:w="1020" w:type="dxa"/>
            <w:tcBorders>
              <w:top w:val="nil"/>
              <w:left w:val="nil"/>
              <w:bottom w:val="single" w:sz="4" w:space="0" w:color="auto"/>
              <w:right w:val="single" w:sz="4" w:space="0" w:color="auto"/>
            </w:tcBorders>
            <w:shd w:val="clear" w:color="auto" w:fill="auto"/>
            <w:noWrap/>
            <w:vAlign w:val="bottom"/>
            <w:hideMark/>
          </w:tcPr>
          <w:p w14:paraId="1BEE1A60"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6,59</w:t>
            </w:r>
          </w:p>
        </w:tc>
        <w:tc>
          <w:tcPr>
            <w:tcW w:w="1060" w:type="dxa"/>
            <w:tcBorders>
              <w:top w:val="nil"/>
              <w:left w:val="nil"/>
              <w:bottom w:val="single" w:sz="4" w:space="0" w:color="auto"/>
              <w:right w:val="single" w:sz="4" w:space="0" w:color="auto"/>
            </w:tcBorders>
            <w:shd w:val="clear" w:color="auto" w:fill="auto"/>
            <w:noWrap/>
            <w:vAlign w:val="bottom"/>
            <w:hideMark/>
          </w:tcPr>
          <w:p w14:paraId="1876A50D" w14:textId="77777777" w:rsidR="004F432A" w:rsidRPr="004F432A" w:rsidRDefault="004F432A" w:rsidP="004F432A">
            <w:pPr>
              <w:jc w:val="right"/>
              <w:rPr>
                <w:rFonts w:ascii="Arial" w:hAnsi="Arial" w:cs="Arial"/>
                <w:b/>
                <w:bCs/>
                <w:color w:val="FF0000"/>
                <w:sz w:val="20"/>
                <w:szCs w:val="20"/>
              </w:rPr>
            </w:pPr>
            <w:r w:rsidRPr="004F432A">
              <w:rPr>
                <w:rFonts w:ascii="Arial" w:hAnsi="Arial" w:cs="Arial"/>
                <w:b/>
                <w:bCs/>
                <w:color w:val="FF0000"/>
                <w:sz w:val="20"/>
                <w:szCs w:val="20"/>
              </w:rPr>
              <w:t>9,11</w:t>
            </w:r>
          </w:p>
        </w:tc>
        <w:tc>
          <w:tcPr>
            <w:tcW w:w="1060" w:type="dxa"/>
            <w:tcBorders>
              <w:top w:val="nil"/>
              <w:left w:val="nil"/>
              <w:bottom w:val="single" w:sz="4" w:space="0" w:color="auto"/>
              <w:right w:val="single" w:sz="4" w:space="0" w:color="auto"/>
            </w:tcBorders>
            <w:shd w:val="clear" w:color="auto" w:fill="auto"/>
            <w:noWrap/>
            <w:vAlign w:val="bottom"/>
            <w:hideMark/>
          </w:tcPr>
          <w:p w14:paraId="1AA6A4D7"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5,96</w:t>
            </w:r>
          </w:p>
        </w:tc>
        <w:tc>
          <w:tcPr>
            <w:tcW w:w="1080" w:type="dxa"/>
            <w:tcBorders>
              <w:top w:val="nil"/>
              <w:left w:val="nil"/>
              <w:bottom w:val="single" w:sz="4" w:space="0" w:color="auto"/>
              <w:right w:val="single" w:sz="8" w:space="0" w:color="auto"/>
            </w:tcBorders>
            <w:shd w:val="clear" w:color="auto" w:fill="auto"/>
            <w:noWrap/>
            <w:vAlign w:val="bottom"/>
            <w:hideMark/>
          </w:tcPr>
          <w:p w14:paraId="060E79AA" w14:textId="77777777" w:rsidR="004F432A" w:rsidRPr="004F432A" w:rsidRDefault="004F432A" w:rsidP="004F432A">
            <w:pPr>
              <w:jc w:val="right"/>
              <w:rPr>
                <w:rFonts w:ascii="Arial" w:hAnsi="Arial" w:cs="Arial"/>
                <w:sz w:val="20"/>
                <w:szCs w:val="20"/>
              </w:rPr>
            </w:pPr>
            <w:r w:rsidRPr="004F432A">
              <w:rPr>
                <w:rFonts w:ascii="Arial" w:hAnsi="Arial" w:cs="Arial"/>
                <w:sz w:val="20"/>
                <w:szCs w:val="20"/>
              </w:rPr>
              <w:t>4,82</w:t>
            </w:r>
          </w:p>
        </w:tc>
      </w:tr>
      <w:tr w:rsidR="004F432A" w:rsidRPr="004F432A" w14:paraId="6ABD54EA" w14:textId="77777777" w:rsidTr="004F432A">
        <w:trPr>
          <w:trHeight w:val="280"/>
        </w:trPr>
        <w:tc>
          <w:tcPr>
            <w:tcW w:w="2100" w:type="dxa"/>
            <w:tcBorders>
              <w:top w:val="nil"/>
              <w:left w:val="single" w:sz="8" w:space="0" w:color="auto"/>
              <w:bottom w:val="single" w:sz="8" w:space="0" w:color="auto"/>
              <w:right w:val="single" w:sz="4" w:space="0" w:color="auto"/>
            </w:tcBorders>
            <w:shd w:val="clear" w:color="000000" w:fill="FFC000"/>
            <w:noWrap/>
            <w:vAlign w:val="bottom"/>
            <w:hideMark/>
          </w:tcPr>
          <w:p w14:paraId="5CD80C80" w14:textId="77777777" w:rsidR="004F432A" w:rsidRPr="004F432A" w:rsidRDefault="004F432A" w:rsidP="004F432A">
            <w:pPr>
              <w:rPr>
                <w:rFonts w:ascii="Arial" w:hAnsi="Arial" w:cs="Arial"/>
                <w:b/>
                <w:bCs/>
                <w:sz w:val="20"/>
                <w:szCs w:val="20"/>
              </w:rPr>
            </w:pPr>
            <w:r w:rsidRPr="004F432A">
              <w:rPr>
                <w:rFonts w:ascii="Arial" w:hAnsi="Arial" w:cs="Arial"/>
                <w:b/>
                <w:bCs/>
                <w:sz w:val="20"/>
                <w:szCs w:val="20"/>
              </w:rPr>
              <w:t>IN01</w:t>
            </w:r>
          </w:p>
        </w:tc>
        <w:tc>
          <w:tcPr>
            <w:tcW w:w="1120" w:type="dxa"/>
            <w:tcBorders>
              <w:top w:val="nil"/>
              <w:left w:val="nil"/>
              <w:bottom w:val="single" w:sz="8" w:space="0" w:color="auto"/>
              <w:right w:val="single" w:sz="4" w:space="0" w:color="auto"/>
            </w:tcBorders>
            <w:shd w:val="clear" w:color="000000" w:fill="C6E0B4"/>
            <w:noWrap/>
            <w:vAlign w:val="bottom"/>
            <w:hideMark/>
          </w:tcPr>
          <w:p w14:paraId="676461A4" w14:textId="77777777" w:rsidR="004F432A" w:rsidRPr="004F432A" w:rsidRDefault="004F432A" w:rsidP="004F432A">
            <w:pPr>
              <w:jc w:val="right"/>
              <w:rPr>
                <w:rFonts w:ascii="Arial" w:hAnsi="Arial" w:cs="Arial"/>
                <w:b/>
                <w:bCs/>
                <w:sz w:val="20"/>
                <w:szCs w:val="20"/>
              </w:rPr>
            </w:pPr>
            <w:r w:rsidRPr="004F432A">
              <w:rPr>
                <w:rFonts w:ascii="Arial" w:hAnsi="Arial" w:cs="Arial"/>
                <w:b/>
                <w:bCs/>
                <w:sz w:val="20"/>
                <w:szCs w:val="20"/>
              </w:rPr>
              <w:t>2,94</w:t>
            </w:r>
          </w:p>
        </w:tc>
        <w:tc>
          <w:tcPr>
            <w:tcW w:w="1020" w:type="dxa"/>
            <w:tcBorders>
              <w:top w:val="nil"/>
              <w:left w:val="nil"/>
              <w:bottom w:val="single" w:sz="8" w:space="0" w:color="auto"/>
              <w:right w:val="single" w:sz="4" w:space="0" w:color="auto"/>
            </w:tcBorders>
            <w:shd w:val="clear" w:color="000000" w:fill="C6E0B4"/>
            <w:noWrap/>
            <w:vAlign w:val="bottom"/>
            <w:hideMark/>
          </w:tcPr>
          <w:p w14:paraId="1102B3F0" w14:textId="77777777" w:rsidR="004F432A" w:rsidRPr="004F432A" w:rsidRDefault="004F432A" w:rsidP="004F432A">
            <w:pPr>
              <w:jc w:val="right"/>
              <w:rPr>
                <w:rFonts w:ascii="Arial" w:hAnsi="Arial" w:cs="Arial"/>
                <w:b/>
                <w:bCs/>
                <w:sz w:val="20"/>
                <w:szCs w:val="20"/>
              </w:rPr>
            </w:pPr>
            <w:r w:rsidRPr="004F432A">
              <w:rPr>
                <w:rFonts w:ascii="Arial" w:hAnsi="Arial" w:cs="Arial"/>
                <w:b/>
                <w:bCs/>
                <w:sz w:val="20"/>
                <w:szCs w:val="20"/>
              </w:rPr>
              <w:t>2,25</w:t>
            </w:r>
          </w:p>
        </w:tc>
        <w:tc>
          <w:tcPr>
            <w:tcW w:w="1060" w:type="dxa"/>
            <w:tcBorders>
              <w:top w:val="nil"/>
              <w:left w:val="nil"/>
              <w:bottom w:val="single" w:sz="8" w:space="0" w:color="auto"/>
              <w:right w:val="single" w:sz="4" w:space="0" w:color="auto"/>
            </w:tcBorders>
            <w:shd w:val="clear" w:color="000000" w:fill="C6E0B4"/>
            <w:noWrap/>
            <w:vAlign w:val="bottom"/>
            <w:hideMark/>
          </w:tcPr>
          <w:p w14:paraId="2FBDAC1F" w14:textId="77777777" w:rsidR="004F432A" w:rsidRPr="004F432A" w:rsidRDefault="004F432A" w:rsidP="004F432A">
            <w:pPr>
              <w:jc w:val="right"/>
              <w:rPr>
                <w:rFonts w:ascii="Arial" w:hAnsi="Arial" w:cs="Arial"/>
                <w:b/>
                <w:bCs/>
                <w:sz w:val="20"/>
                <w:szCs w:val="20"/>
              </w:rPr>
            </w:pPr>
            <w:r w:rsidRPr="004F432A">
              <w:rPr>
                <w:rFonts w:ascii="Arial" w:hAnsi="Arial" w:cs="Arial"/>
                <w:b/>
                <w:bCs/>
                <w:sz w:val="20"/>
                <w:szCs w:val="20"/>
              </w:rPr>
              <w:t>1,47</w:t>
            </w:r>
          </w:p>
        </w:tc>
        <w:tc>
          <w:tcPr>
            <w:tcW w:w="1060" w:type="dxa"/>
            <w:tcBorders>
              <w:top w:val="nil"/>
              <w:left w:val="nil"/>
              <w:bottom w:val="single" w:sz="8" w:space="0" w:color="auto"/>
              <w:right w:val="single" w:sz="4" w:space="0" w:color="auto"/>
            </w:tcBorders>
            <w:shd w:val="clear" w:color="000000" w:fill="C6E0B4"/>
            <w:noWrap/>
            <w:vAlign w:val="bottom"/>
            <w:hideMark/>
          </w:tcPr>
          <w:p w14:paraId="1A80E201" w14:textId="77777777" w:rsidR="004F432A" w:rsidRPr="004F432A" w:rsidRDefault="004F432A" w:rsidP="004F432A">
            <w:pPr>
              <w:jc w:val="right"/>
              <w:rPr>
                <w:rFonts w:ascii="Arial" w:hAnsi="Arial" w:cs="Arial"/>
                <w:b/>
                <w:bCs/>
                <w:sz w:val="20"/>
                <w:szCs w:val="20"/>
              </w:rPr>
            </w:pPr>
            <w:r w:rsidRPr="004F432A">
              <w:rPr>
                <w:rFonts w:ascii="Arial" w:hAnsi="Arial" w:cs="Arial"/>
                <w:b/>
                <w:bCs/>
                <w:sz w:val="20"/>
                <w:szCs w:val="20"/>
              </w:rPr>
              <w:t>1,218</w:t>
            </w:r>
          </w:p>
        </w:tc>
        <w:tc>
          <w:tcPr>
            <w:tcW w:w="1080" w:type="dxa"/>
            <w:tcBorders>
              <w:top w:val="nil"/>
              <w:left w:val="nil"/>
              <w:bottom w:val="single" w:sz="8" w:space="0" w:color="auto"/>
              <w:right w:val="single" w:sz="8" w:space="0" w:color="auto"/>
            </w:tcBorders>
            <w:shd w:val="clear" w:color="000000" w:fill="C6E0B4"/>
            <w:noWrap/>
            <w:vAlign w:val="bottom"/>
            <w:hideMark/>
          </w:tcPr>
          <w:p w14:paraId="5D6AF171" w14:textId="77777777" w:rsidR="004F432A" w:rsidRPr="004F432A" w:rsidRDefault="004F432A" w:rsidP="004F432A">
            <w:pPr>
              <w:jc w:val="right"/>
              <w:rPr>
                <w:rFonts w:ascii="Arial" w:hAnsi="Arial" w:cs="Arial"/>
                <w:b/>
                <w:bCs/>
                <w:sz w:val="20"/>
                <w:szCs w:val="20"/>
              </w:rPr>
            </w:pPr>
            <w:r w:rsidRPr="004F432A">
              <w:rPr>
                <w:rFonts w:ascii="Arial" w:hAnsi="Arial" w:cs="Arial"/>
                <w:b/>
                <w:bCs/>
                <w:sz w:val="20"/>
                <w:szCs w:val="20"/>
              </w:rPr>
              <w:t>1,276</w:t>
            </w:r>
          </w:p>
        </w:tc>
      </w:tr>
    </w:tbl>
    <w:p w14:paraId="3373347F" w14:textId="022D4AFD" w:rsidR="00E67E18" w:rsidRDefault="00344EFE" w:rsidP="00E67E18">
      <w:pPr>
        <w:pStyle w:val="Normlnweb"/>
        <w:jc w:val="right"/>
        <w:rPr>
          <w:b w:val="0"/>
          <w:lang w:val="cs-CZ" w:eastAsia="cs-CZ"/>
        </w:rPr>
      </w:pPr>
      <w:r>
        <w:rPr>
          <w:b w:val="0"/>
          <w:lang w:val="cs-CZ" w:eastAsia="cs-CZ"/>
        </w:rPr>
        <w:t>Tab. 23: Index IN</w:t>
      </w:r>
    </w:p>
    <w:p w14:paraId="3B863723" w14:textId="6B8F23E8" w:rsidR="00344EFE" w:rsidRDefault="00375F0B" w:rsidP="001247B2">
      <w:pPr>
        <w:pStyle w:val="Normlnweb"/>
        <w:jc w:val="both"/>
        <w:rPr>
          <w:b w:val="0"/>
          <w:lang w:val="cs-CZ" w:eastAsia="cs-CZ"/>
        </w:rPr>
      </w:pPr>
      <w:r>
        <w:rPr>
          <w:b w:val="0"/>
          <w:lang w:val="cs-CZ" w:eastAsia="cs-CZ"/>
        </w:rPr>
        <w:t>Z výsledků je zcela patrné, že</w:t>
      </w:r>
      <w:r w:rsidR="00D11B62">
        <w:rPr>
          <w:b w:val="0"/>
          <w:lang w:val="cs-CZ" w:eastAsia="cs-CZ"/>
        </w:rPr>
        <w:t xml:space="preserve"> samotný podnik je ve velmi dobrém stavu. Během let 2017 a 2018 vytvářel podnik </w:t>
      </w:r>
      <w:r w:rsidR="00676DEC">
        <w:rPr>
          <w:b w:val="0"/>
          <w:lang w:val="cs-CZ" w:eastAsia="cs-CZ"/>
        </w:rPr>
        <w:t xml:space="preserve">velmi dobře hodnotu. V roce 219 </w:t>
      </w:r>
      <w:r w:rsidR="00014D1E">
        <w:rPr>
          <w:b w:val="0"/>
          <w:lang w:val="cs-CZ" w:eastAsia="cs-CZ"/>
        </w:rPr>
        <w:t xml:space="preserve">se poprvé podnik začal nacházet v tzv. „šedé zóně“ je však třeba podotknout, že se </w:t>
      </w:r>
      <w:r w:rsidR="00552BC7">
        <w:rPr>
          <w:b w:val="0"/>
          <w:lang w:val="cs-CZ" w:eastAsia="cs-CZ"/>
        </w:rPr>
        <w:t>stále nachází ve vrchních hodnotách tohoto intervalu a je tedy daleko od bankrotu.</w:t>
      </w:r>
      <w:r w:rsidR="00900226">
        <w:rPr>
          <w:b w:val="0"/>
          <w:lang w:val="cs-CZ" w:eastAsia="cs-CZ"/>
        </w:rPr>
        <w:t xml:space="preserve"> Pokles, který započal v roce 2019 a pokračuje i v následujících letech je především způsoben růstem nákladových úroků</w:t>
      </w:r>
      <w:r w:rsidR="00C34F3A">
        <w:rPr>
          <w:b w:val="0"/>
          <w:lang w:val="cs-CZ" w:eastAsia="cs-CZ"/>
        </w:rPr>
        <w:t xml:space="preserve">. Tento růst NU a zároveň </w:t>
      </w:r>
      <w:r w:rsidR="00130F92">
        <w:rPr>
          <w:b w:val="0"/>
          <w:lang w:val="cs-CZ" w:eastAsia="cs-CZ"/>
        </w:rPr>
        <w:t>růst aktiv je způsoben stavbou nové budovy, na kterou si společnost půjčuje pomocí cizích zdrojů.</w:t>
      </w:r>
      <w:r w:rsidR="00FB447E">
        <w:rPr>
          <w:b w:val="0"/>
          <w:lang w:val="cs-CZ" w:eastAsia="cs-CZ"/>
        </w:rPr>
        <w:t xml:space="preserve"> Mezi lety 2020 a 2021 je však viditelný rostoucí trend, který naznačuje, že v následujících letech by index IN měl růst, tedy společnost by měla opět </w:t>
      </w:r>
      <w:r w:rsidR="005E33D6">
        <w:rPr>
          <w:b w:val="0"/>
          <w:lang w:val="cs-CZ" w:eastAsia="cs-CZ"/>
        </w:rPr>
        <w:t xml:space="preserve">vytvářet hodnotu. </w:t>
      </w:r>
    </w:p>
    <w:p w14:paraId="6DA22328" w14:textId="41297BA4" w:rsidR="00D965F7" w:rsidRDefault="00E37B0E" w:rsidP="001247B2">
      <w:pPr>
        <w:pStyle w:val="Normlnweb"/>
        <w:jc w:val="both"/>
        <w:rPr>
          <w:b w:val="0"/>
          <w:lang w:val="cs-CZ" w:eastAsia="cs-CZ"/>
        </w:rPr>
      </w:pPr>
      <w:r>
        <w:rPr>
          <w:b w:val="0"/>
          <w:lang w:val="cs-CZ" w:eastAsia="cs-CZ"/>
        </w:rPr>
        <w:lastRenderedPageBreak/>
        <w:t>Následně jsme provedli výpočet bankrotního modelu i pomocí Altmanova</w:t>
      </w:r>
      <w:r w:rsidR="00655F57">
        <w:rPr>
          <w:b w:val="0"/>
          <w:lang w:val="cs-CZ" w:eastAsia="cs-CZ"/>
        </w:rPr>
        <w:t xml:space="preserve"> indexu, který je známějším a mezinárodně využívaným modelem.</w:t>
      </w:r>
      <w:r w:rsidR="008E414E">
        <w:rPr>
          <w:b w:val="0"/>
          <w:lang w:val="cs-CZ" w:eastAsia="cs-CZ"/>
        </w:rPr>
        <w:t xml:space="preserve"> Výpočet je následující:</w:t>
      </w:r>
    </w:p>
    <w:p w14:paraId="34ED5583" w14:textId="2E959224" w:rsidR="008E414E" w:rsidRDefault="008E414E" w:rsidP="008E414E">
      <w:pPr>
        <w:pStyle w:val="Normlnweb"/>
        <w:jc w:val="both"/>
        <w:rPr>
          <w:b w:val="0"/>
          <w:lang w:val="cs-CZ" w:eastAsia="cs-CZ"/>
        </w:rPr>
      </w:pPr>
      <w:r w:rsidRPr="008E414E">
        <w:rPr>
          <w:b w:val="0"/>
          <w:lang w:val="cs-CZ" w:eastAsia="cs-CZ"/>
        </w:rPr>
        <w:t>Z = 1,2 * x1 + 1,4 * x2 + 3,7 * x3 + 0,6 * x4 + 1,0 * x5 -1,0 * x6</w:t>
      </w:r>
    </w:p>
    <w:p w14:paraId="03B5D496" w14:textId="4F105BDC" w:rsidR="000B5C70" w:rsidRDefault="008E414E" w:rsidP="008E414E">
      <w:pPr>
        <w:pStyle w:val="Normlnweb"/>
        <w:jc w:val="both"/>
        <w:rPr>
          <w:b w:val="0"/>
          <w:lang w:val="cs-CZ" w:eastAsia="cs-CZ"/>
        </w:rPr>
      </w:pPr>
      <w:r>
        <w:rPr>
          <w:b w:val="0"/>
          <w:lang w:val="cs-CZ" w:eastAsia="cs-CZ"/>
        </w:rPr>
        <w:t>Kde:</w:t>
      </w:r>
      <w:r w:rsidR="000B5C70">
        <w:rPr>
          <w:b w:val="0"/>
          <w:lang w:val="cs-CZ" w:eastAsia="cs-CZ"/>
        </w:rPr>
        <w:br/>
        <w:t>X1 = čistý pracovní kapitál / celková aktiva</w:t>
      </w:r>
    </w:p>
    <w:p w14:paraId="5EA09DD1" w14:textId="03D4D692" w:rsidR="000B5C70" w:rsidRDefault="000B5C70" w:rsidP="008E414E">
      <w:pPr>
        <w:pStyle w:val="Normlnweb"/>
        <w:jc w:val="both"/>
        <w:rPr>
          <w:b w:val="0"/>
          <w:lang w:val="cs-CZ" w:eastAsia="cs-CZ"/>
        </w:rPr>
      </w:pPr>
      <w:r>
        <w:rPr>
          <w:b w:val="0"/>
          <w:lang w:val="cs-CZ" w:eastAsia="cs-CZ"/>
        </w:rPr>
        <w:t xml:space="preserve">X2 = </w:t>
      </w:r>
      <w:r w:rsidR="00D04D0B">
        <w:rPr>
          <w:b w:val="0"/>
          <w:lang w:val="cs-CZ" w:eastAsia="cs-CZ"/>
        </w:rPr>
        <w:t>kumulovaný zisk / celková aktiva</w:t>
      </w:r>
    </w:p>
    <w:p w14:paraId="48A0B8F3" w14:textId="56FC9DCB" w:rsidR="00D04D0B" w:rsidRDefault="00D04D0B" w:rsidP="008E414E">
      <w:pPr>
        <w:pStyle w:val="Normlnweb"/>
        <w:jc w:val="both"/>
        <w:rPr>
          <w:b w:val="0"/>
          <w:lang w:val="cs-CZ" w:eastAsia="cs-CZ"/>
        </w:rPr>
      </w:pPr>
      <w:r>
        <w:rPr>
          <w:b w:val="0"/>
          <w:lang w:val="cs-CZ" w:eastAsia="cs-CZ"/>
        </w:rPr>
        <w:t>X3 = zisk před zdaněním a úroky / celková aktiva</w:t>
      </w:r>
    </w:p>
    <w:p w14:paraId="7DD1301E" w14:textId="6E784680" w:rsidR="00D04D0B" w:rsidRDefault="00D04D0B" w:rsidP="008E414E">
      <w:pPr>
        <w:pStyle w:val="Normlnweb"/>
        <w:jc w:val="both"/>
        <w:rPr>
          <w:b w:val="0"/>
          <w:lang w:val="cs-CZ" w:eastAsia="cs-CZ"/>
        </w:rPr>
      </w:pPr>
      <w:r>
        <w:rPr>
          <w:b w:val="0"/>
          <w:lang w:val="cs-CZ" w:eastAsia="cs-CZ"/>
        </w:rPr>
        <w:t xml:space="preserve">X4 = </w:t>
      </w:r>
      <w:r w:rsidR="00D60721">
        <w:rPr>
          <w:b w:val="0"/>
          <w:lang w:val="cs-CZ" w:eastAsia="cs-CZ"/>
        </w:rPr>
        <w:t>základní kapitál / dluhy</w:t>
      </w:r>
    </w:p>
    <w:p w14:paraId="0F4B891F" w14:textId="39C21D95" w:rsidR="00D60721" w:rsidRDefault="00D60721" w:rsidP="008E414E">
      <w:pPr>
        <w:pStyle w:val="Normlnweb"/>
        <w:jc w:val="both"/>
        <w:rPr>
          <w:b w:val="0"/>
          <w:lang w:val="cs-CZ" w:eastAsia="cs-CZ"/>
        </w:rPr>
      </w:pPr>
      <w:r>
        <w:rPr>
          <w:b w:val="0"/>
          <w:lang w:val="cs-CZ" w:eastAsia="cs-CZ"/>
        </w:rPr>
        <w:t>X5 = celkové výnosy / celková aktiva</w:t>
      </w:r>
    </w:p>
    <w:p w14:paraId="5FB7ADC9" w14:textId="2E8806E5" w:rsidR="00E03C66" w:rsidRDefault="00E03C66" w:rsidP="008E414E">
      <w:pPr>
        <w:pStyle w:val="Normlnweb"/>
        <w:jc w:val="both"/>
        <w:rPr>
          <w:b w:val="0"/>
          <w:lang w:val="cs-CZ" w:eastAsia="cs-CZ"/>
        </w:rPr>
      </w:pPr>
      <w:r>
        <w:rPr>
          <w:b w:val="0"/>
          <w:lang w:val="cs-CZ" w:eastAsia="cs-CZ"/>
        </w:rPr>
        <w:t>Výsledky výpočtů Altmanova indexu jsou zobrazeny v následující tabulce:</w:t>
      </w:r>
    </w:p>
    <w:p w14:paraId="2DB7C28A" w14:textId="22BFD77E" w:rsidR="008F018B" w:rsidRDefault="007D7AC3" w:rsidP="008E414E">
      <w:pPr>
        <w:pStyle w:val="Normlnweb"/>
        <w:jc w:val="both"/>
        <w:rPr>
          <w:b w:val="0"/>
          <w:lang w:val="cs-CZ" w:eastAsia="cs-CZ"/>
        </w:rPr>
      </w:pPr>
      <w:r w:rsidRPr="007D7AC3">
        <w:rPr>
          <w:b w:val="0"/>
          <w:noProof/>
          <w:lang w:val="cs-CZ" w:eastAsia="cs-CZ"/>
        </w:rPr>
        <w:drawing>
          <wp:inline distT="0" distB="0" distL="0" distR="0" wp14:anchorId="34BACAB3" wp14:editId="0675B6A8">
            <wp:extent cx="5191291" cy="1489166"/>
            <wp:effectExtent l="0" t="0" r="3175" b="0"/>
            <wp:docPr id="1057129648" name="Obrázek 105712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29648" name=""/>
                    <pic:cNvPicPr/>
                  </pic:nvPicPr>
                  <pic:blipFill>
                    <a:blip r:embed="rId75"/>
                    <a:stretch>
                      <a:fillRect/>
                    </a:stretch>
                  </pic:blipFill>
                  <pic:spPr>
                    <a:xfrm>
                      <a:off x="0" y="0"/>
                      <a:ext cx="5207687" cy="1493869"/>
                    </a:xfrm>
                    <a:prstGeom prst="rect">
                      <a:avLst/>
                    </a:prstGeom>
                  </pic:spPr>
                </pic:pic>
              </a:graphicData>
            </a:graphic>
          </wp:inline>
        </w:drawing>
      </w:r>
    </w:p>
    <w:p w14:paraId="551DE622" w14:textId="55484940" w:rsidR="007D7AC3" w:rsidRDefault="007D7AC3" w:rsidP="007D7AC3">
      <w:pPr>
        <w:pStyle w:val="Normlnweb"/>
        <w:jc w:val="right"/>
        <w:rPr>
          <w:b w:val="0"/>
          <w:lang w:val="cs-CZ" w:eastAsia="cs-CZ"/>
        </w:rPr>
      </w:pPr>
      <w:r>
        <w:rPr>
          <w:b w:val="0"/>
          <w:lang w:val="cs-CZ" w:eastAsia="cs-CZ"/>
        </w:rPr>
        <w:t>Tab. 24: Altmanův index</w:t>
      </w:r>
    </w:p>
    <w:p w14:paraId="09737C51" w14:textId="38991F14" w:rsidR="000744B3" w:rsidRDefault="006A1DE5" w:rsidP="000744B3">
      <w:pPr>
        <w:pStyle w:val="Normlnweb"/>
        <w:jc w:val="both"/>
        <w:rPr>
          <w:b w:val="0"/>
          <w:lang w:val="cs-CZ" w:eastAsia="cs-CZ"/>
        </w:rPr>
      </w:pPr>
      <w:r>
        <w:rPr>
          <w:b w:val="0"/>
          <w:lang w:val="cs-CZ" w:eastAsia="cs-CZ"/>
        </w:rPr>
        <w:t xml:space="preserve">Výsledky Altmanova indexu v podstatě kopírují výsledky </w:t>
      </w:r>
      <w:r w:rsidR="00D12E06">
        <w:rPr>
          <w:b w:val="0"/>
          <w:lang w:val="cs-CZ" w:eastAsia="cs-CZ"/>
        </w:rPr>
        <w:t xml:space="preserve">indexu IN, je zde však výrazněji viditelný rostoucí trend mezi lety 2019 až 2021. V indexu IN je v roce 2020 pokles výraznější než v roce 2019, zatímco v Altmanově indexu </w:t>
      </w:r>
      <w:r w:rsidR="006E78B5">
        <w:rPr>
          <w:b w:val="0"/>
          <w:lang w:val="cs-CZ" w:eastAsia="cs-CZ"/>
        </w:rPr>
        <w:t xml:space="preserve">je zde již od roku 2019 do roku 2021 pouze rostoucí trend. </w:t>
      </w:r>
    </w:p>
    <w:p w14:paraId="58F21D7A" w14:textId="77777777" w:rsidR="00E03C66" w:rsidRDefault="00E03C66" w:rsidP="008E414E">
      <w:pPr>
        <w:pStyle w:val="Normlnweb"/>
        <w:jc w:val="both"/>
        <w:rPr>
          <w:b w:val="0"/>
          <w:lang w:val="cs-CZ" w:eastAsia="cs-CZ"/>
        </w:rPr>
      </w:pPr>
    </w:p>
    <w:p w14:paraId="237E7AF9" w14:textId="6BC4EF81" w:rsidR="00FD6186" w:rsidRDefault="00FD6186" w:rsidP="005F5A4B">
      <w:pPr>
        <w:pStyle w:val="Normlnweb"/>
        <w:jc w:val="both"/>
        <w:rPr>
          <w:b w:val="0"/>
          <w:lang w:val="cs-CZ" w:eastAsia="cs-CZ"/>
        </w:rPr>
      </w:pPr>
    </w:p>
    <w:p w14:paraId="4B19B73F" w14:textId="77777777" w:rsidR="00DA0840" w:rsidRPr="00DA0840" w:rsidRDefault="00DA0840" w:rsidP="00DA0840">
      <w:pPr>
        <w:pStyle w:val="Odstavec1"/>
      </w:pPr>
    </w:p>
    <w:p w14:paraId="49ADC93B" w14:textId="798249F5" w:rsidR="00631870" w:rsidRDefault="00631870" w:rsidP="006E78B5">
      <w:pPr>
        <w:pStyle w:val="Nadpis2"/>
        <w:numPr>
          <w:ilvl w:val="1"/>
          <w:numId w:val="16"/>
        </w:numPr>
      </w:pPr>
      <w:bookmarkStart w:id="40" w:name="_Toc134175288"/>
      <w:r>
        <w:lastRenderedPageBreak/>
        <w:t>SWOT matice</w:t>
      </w:r>
      <w:bookmarkEnd w:id="40"/>
    </w:p>
    <w:p w14:paraId="272F6642" w14:textId="77777777" w:rsidR="00631870" w:rsidRPr="00631870" w:rsidRDefault="00631870" w:rsidP="00631870">
      <w:pPr>
        <w:pStyle w:val="Dalodstavce"/>
      </w:pPr>
    </w:p>
    <w:tbl>
      <w:tblPr>
        <w:tblStyle w:val="Mkatabulky"/>
        <w:tblW w:w="9613" w:type="dxa"/>
        <w:jc w:val="left"/>
        <w:tblInd w:w="-1140" w:type="dxa"/>
        <w:tblLook w:val="04A0" w:firstRow="1" w:lastRow="0" w:firstColumn="1" w:lastColumn="0" w:noHBand="0" w:noVBand="1"/>
      </w:tblPr>
      <w:tblGrid>
        <w:gridCol w:w="600"/>
        <w:gridCol w:w="4506"/>
        <w:gridCol w:w="4507"/>
      </w:tblGrid>
      <w:tr w:rsidR="00325491" w:rsidRPr="0077144C" w14:paraId="020CF4CA" w14:textId="77777777">
        <w:trPr>
          <w:cnfStyle w:val="100000000000" w:firstRow="1" w:lastRow="0" w:firstColumn="0" w:lastColumn="0" w:oddVBand="0" w:evenVBand="0" w:oddHBand="0" w:evenHBand="0" w:firstRowFirstColumn="0" w:firstRowLastColumn="0" w:lastRowFirstColumn="0" w:lastRowLastColumn="0"/>
          <w:trHeight w:val="534"/>
          <w:jc w:val="left"/>
        </w:trPr>
        <w:tc>
          <w:tcPr>
            <w:tcW w:w="600" w:type="dxa"/>
            <w:shd w:val="clear" w:color="auto" w:fill="D9E2F3" w:themeFill="accent5" w:themeFillTint="33"/>
          </w:tcPr>
          <w:p w14:paraId="44BCFEFC" w14:textId="77777777" w:rsidR="00325491" w:rsidRPr="0077144C" w:rsidRDefault="00325491">
            <w:pPr>
              <w:pStyle w:val="Dalodstavce"/>
              <w:spacing w:before="0" w:after="0"/>
              <w:rPr>
                <w:rFonts w:asciiTheme="minorHAnsi" w:hAnsiTheme="minorHAnsi"/>
              </w:rPr>
            </w:pPr>
          </w:p>
        </w:tc>
        <w:tc>
          <w:tcPr>
            <w:tcW w:w="4506" w:type="dxa"/>
            <w:shd w:val="clear" w:color="auto" w:fill="D9E2F3" w:themeFill="accent5" w:themeFillTint="33"/>
          </w:tcPr>
          <w:p w14:paraId="218ED84C" w14:textId="77777777" w:rsidR="00325491" w:rsidRPr="0077144C" w:rsidRDefault="00325491">
            <w:pPr>
              <w:pStyle w:val="Dalodstavce"/>
              <w:spacing w:before="0" w:after="0"/>
              <w:ind w:firstLine="0"/>
              <w:jc w:val="center"/>
              <w:rPr>
                <w:rFonts w:asciiTheme="minorHAnsi" w:hAnsiTheme="minorHAnsi"/>
              </w:rPr>
            </w:pPr>
            <w:r w:rsidRPr="0077144C">
              <w:rPr>
                <w:rFonts w:asciiTheme="minorHAnsi" w:hAnsiTheme="minorHAnsi"/>
              </w:rPr>
              <w:t>POMOCNÉ</w:t>
            </w:r>
          </w:p>
        </w:tc>
        <w:tc>
          <w:tcPr>
            <w:tcW w:w="4507" w:type="dxa"/>
            <w:shd w:val="clear" w:color="auto" w:fill="D9E2F3" w:themeFill="accent5" w:themeFillTint="33"/>
          </w:tcPr>
          <w:p w14:paraId="000CB1C8" w14:textId="77777777" w:rsidR="00325491" w:rsidRPr="0077144C" w:rsidRDefault="00325491">
            <w:pPr>
              <w:pStyle w:val="Dalodstavce"/>
              <w:spacing w:before="0" w:after="0"/>
              <w:ind w:firstLine="0"/>
              <w:jc w:val="center"/>
              <w:rPr>
                <w:rFonts w:asciiTheme="minorHAnsi" w:hAnsiTheme="minorHAnsi"/>
              </w:rPr>
            </w:pPr>
            <w:r w:rsidRPr="0077144C">
              <w:rPr>
                <w:rFonts w:asciiTheme="minorHAnsi" w:hAnsiTheme="minorHAnsi"/>
              </w:rPr>
              <w:t>ŠKODLIVÉ</w:t>
            </w:r>
          </w:p>
        </w:tc>
      </w:tr>
      <w:tr w:rsidR="00325491" w:rsidRPr="0077144C" w14:paraId="107CB963" w14:textId="77777777">
        <w:trPr>
          <w:cantSplit/>
          <w:trHeight w:val="2955"/>
          <w:jc w:val="left"/>
        </w:trPr>
        <w:tc>
          <w:tcPr>
            <w:tcW w:w="600" w:type="dxa"/>
            <w:shd w:val="clear" w:color="auto" w:fill="D9E2F3" w:themeFill="accent5" w:themeFillTint="33"/>
            <w:textDirection w:val="btLr"/>
          </w:tcPr>
          <w:p w14:paraId="4617A687" w14:textId="77777777" w:rsidR="00325491" w:rsidRPr="0077144C" w:rsidRDefault="00325491">
            <w:pPr>
              <w:pStyle w:val="Dalodstavce"/>
              <w:spacing w:before="0" w:after="0"/>
              <w:ind w:left="113" w:right="113" w:firstLine="0"/>
              <w:jc w:val="center"/>
              <w:rPr>
                <w:rFonts w:asciiTheme="minorHAnsi" w:hAnsiTheme="minorHAnsi"/>
              </w:rPr>
            </w:pPr>
            <w:r w:rsidRPr="0077144C">
              <w:rPr>
                <w:rFonts w:asciiTheme="minorHAnsi" w:hAnsiTheme="minorHAnsi"/>
              </w:rPr>
              <w:t>VNITŘNÍ PROSTŘEDÍ</w:t>
            </w:r>
          </w:p>
        </w:tc>
        <w:tc>
          <w:tcPr>
            <w:tcW w:w="4506" w:type="dxa"/>
            <w:vAlign w:val="top"/>
          </w:tcPr>
          <w:p w14:paraId="145C5292"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SILNÉ STRÁNKY (S)</w:t>
            </w:r>
          </w:p>
          <w:p w14:paraId="33D527EB" w14:textId="77777777" w:rsidR="00325491" w:rsidRDefault="006D7230" w:rsidP="00325491">
            <w:pPr>
              <w:pStyle w:val="Dalodstavce"/>
              <w:numPr>
                <w:ilvl w:val="0"/>
                <w:numId w:val="21"/>
              </w:numPr>
              <w:spacing w:before="0" w:after="0"/>
              <w:ind w:left="643"/>
              <w:jc w:val="left"/>
              <w:rPr>
                <w:rFonts w:asciiTheme="minorHAnsi" w:hAnsiTheme="minorHAnsi"/>
              </w:rPr>
            </w:pPr>
            <w:r>
              <w:rPr>
                <w:rFonts w:asciiTheme="minorHAnsi" w:hAnsiTheme="minorHAnsi"/>
              </w:rPr>
              <w:t xml:space="preserve">Nízké zadlužení a dobrá platební schopnost podniku </w:t>
            </w:r>
          </w:p>
          <w:p w14:paraId="0BB686BF" w14:textId="77777777" w:rsidR="005C3CB8" w:rsidRDefault="005C3CB8" w:rsidP="00325491">
            <w:pPr>
              <w:pStyle w:val="Dalodstavce"/>
              <w:numPr>
                <w:ilvl w:val="0"/>
                <w:numId w:val="21"/>
              </w:numPr>
              <w:spacing w:before="0" w:after="0"/>
              <w:ind w:left="643"/>
              <w:jc w:val="left"/>
              <w:rPr>
                <w:rFonts w:asciiTheme="minorHAnsi" w:hAnsiTheme="minorHAnsi"/>
              </w:rPr>
            </w:pPr>
            <w:r>
              <w:rPr>
                <w:rFonts w:asciiTheme="minorHAnsi" w:hAnsiTheme="minorHAnsi"/>
              </w:rPr>
              <w:t xml:space="preserve">Velmi vysoké </w:t>
            </w:r>
            <w:r w:rsidR="00DA128E">
              <w:rPr>
                <w:rFonts w:asciiTheme="minorHAnsi" w:hAnsiTheme="minorHAnsi"/>
              </w:rPr>
              <w:t>hodnoty rentabilit v letech 2017 a 2018</w:t>
            </w:r>
          </w:p>
          <w:p w14:paraId="34D85DEB" w14:textId="2226C12D" w:rsidR="00DA128E" w:rsidRPr="0077144C" w:rsidRDefault="00BA1462" w:rsidP="00325491">
            <w:pPr>
              <w:pStyle w:val="Dalodstavce"/>
              <w:numPr>
                <w:ilvl w:val="0"/>
                <w:numId w:val="21"/>
              </w:numPr>
              <w:spacing w:before="0" w:after="0"/>
              <w:ind w:left="643"/>
              <w:jc w:val="left"/>
              <w:rPr>
                <w:rFonts w:asciiTheme="minorHAnsi" w:hAnsiTheme="minorHAnsi"/>
              </w:rPr>
            </w:pPr>
            <w:r>
              <w:rPr>
                <w:rFonts w:asciiTheme="minorHAnsi" w:hAnsiTheme="minorHAnsi"/>
              </w:rPr>
              <w:t xml:space="preserve">Pozitivní vývoj v roce 2021 a </w:t>
            </w:r>
            <w:r w:rsidR="009A62F4">
              <w:rPr>
                <w:rFonts w:asciiTheme="minorHAnsi" w:hAnsiTheme="minorHAnsi"/>
              </w:rPr>
              <w:t>predikce pozitivního vývoje do dalších let</w:t>
            </w:r>
          </w:p>
        </w:tc>
        <w:tc>
          <w:tcPr>
            <w:tcW w:w="4507" w:type="dxa"/>
            <w:vAlign w:val="top"/>
          </w:tcPr>
          <w:p w14:paraId="6B97C0A8"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SLABÉ STRÁNKY (W)</w:t>
            </w:r>
          </w:p>
          <w:p w14:paraId="37C6E764" w14:textId="06A47134" w:rsidR="00325491" w:rsidRPr="0077144C" w:rsidRDefault="00987800" w:rsidP="00325491">
            <w:pPr>
              <w:pStyle w:val="Dalodstavce"/>
              <w:numPr>
                <w:ilvl w:val="0"/>
                <w:numId w:val="21"/>
              </w:numPr>
              <w:spacing w:before="0" w:after="0"/>
              <w:ind w:left="530"/>
              <w:jc w:val="left"/>
              <w:rPr>
                <w:rFonts w:asciiTheme="minorHAnsi" w:hAnsiTheme="minorHAnsi"/>
              </w:rPr>
            </w:pPr>
            <w:r>
              <w:rPr>
                <w:rFonts w:asciiTheme="minorHAnsi" w:hAnsiTheme="minorHAnsi"/>
              </w:rPr>
              <w:t>Averze k riziku a konzervativnost brzdící v</w:t>
            </w:r>
            <w:r w:rsidR="006D7230">
              <w:rPr>
                <w:rFonts w:asciiTheme="minorHAnsi" w:hAnsiTheme="minorHAnsi"/>
              </w:rPr>
              <w:t xml:space="preserve">ětší výkon </w:t>
            </w:r>
          </w:p>
          <w:p w14:paraId="64A7B2A1" w14:textId="06A63EAE" w:rsidR="00325491" w:rsidRPr="0077144C" w:rsidRDefault="00CC637A" w:rsidP="00325491">
            <w:pPr>
              <w:pStyle w:val="Dalodstavce"/>
              <w:numPr>
                <w:ilvl w:val="0"/>
                <w:numId w:val="21"/>
              </w:numPr>
              <w:spacing w:before="0" w:after="0"/>
              <w:ind w:left="530"/>
              <w:jc w:val="left"/>
              <w:rPr>
                <w:rFonts w:asciiTheme="minorHAnsi" w:hAnsiTheme="minorHAnsi"/>
              </w:rPr>
            </w:pPr>
            <w:r>
              <w:rPr>
                <w:rFonts w:asciiTheme="minorHAnsi" w:hAnsiTheme="minorHAnsi"/>
              </w:rPr>
              <w:t>Propad poměrových ukazatelů a bonitních ukazatelů v letech 2019 a 2020</w:t>
            </w:r>
          </w:p>
        </w:tc>
      </w:tr>
      <w:tr w:rsidR="00325491" w:rsidRPr="0077144C" w14:paraId="76EE3FD9" w14:textId="77777777">
        <w:trPr>
          <w:cantSplit/>
          <w:trHeight w:val="2955"/>
          <w:jc w:val="left"/>
        </w:trPr>
        <w:tc>
          <w:tcPr>
            <w:tcW w:w="600" w:type="dxa"/>
            <w:shd w:val="clear" w:color="auto" w:fill="D9E2F3" w:themeFill="accent5" w:themeFillTint="33"/>
            <w:textDirection w:val="btLr"/>
          </w:tcPr>
          <w:p w14:paraId="1BE0B7D9" w14:textId="77777777" w:rsidR="00325491" w:rsidRPr="0077144C" w:rsidRDefault="00325491">
            <w:pPr>
              <w:pStyle w:val="Dalodstavce"/>
              <w:spacing w:before="0" w:after="0"/>
              <w:ind w:left="113" w:right="113" w:firstLine="0"/>
              <w:jc w:val="center"/>
              <w:rPr>
                <w:rFonts w:asciiTheme="minorHAnsi" w:hAnsiTheme="minorHAnsi"/>
              </w:rPr>
            </w:pPr>
            <w:r w:rsidRPr="0077144C">
              <w:rPr>
                <w:rFonts w:asciiTheme="minorHAnsi" w:hAnsiTheme="minorHAnsi"/>
              </w:rPr>
              <w:t>VNĚJŠÍ PROSTŘEDÍ</w:t>
            </w:r>
          </w:p>
        </w:tc>
        <w:tc>
          <w:tcPr>
            <w:tcW w:w="4506" w:type="dxa"/>
            <w:vAlign w:val="top"/>
          </w:tcPr>
          <w:p w14:paraId="16F9D21B"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PŘÍLEŽITOSTI (O)</w:t>
            </w:r>
          </w:p>
          <w:p w14:paraId="08FE1A39" w14:textId="5CBFBEC5" w:rsidR="00325491" w:rsidRPr="0077144C" w:rsidRDefault="00DA0840" w:rsidP="00325491">
            <w:pPr>
              <w:pStyle w:val="Dalodstavce"/>
              <w:numPr>
                <w:ilvl w:val="0"/>
                <w:numId w:val="21"/>
              </w:numPr>
              <w:spacing w:before="0" w:after="0"/>
              <w:ind w:left="530"/>
              <w:jc w:val="left"/>
              <w:rPr>
                <w:rFonts w:asciiTheme="minorHAnsi" w:hAnsiTheme="minorHAnsi"/>
              </w:rPr>
            </w:pPr>
            <w:r>
              <w:rPr>
                <w:rFonts w:asciiTheme="minorHAnsi" w:hAnsiTheme="minorHAnsi"/>
              </w:rPr>
              <w:t>Velký v</w:t>
            </w:r>
            <w:r w:rsidR="0079133C">
              <w:rPr>
                <w:rFonts w:asciiTheme="minorHAnsi" w:hAnsiTheme="minorHAnsi"/>
              </w:rPr>
              <w:t xml:space="preserve">ýznam podnikatelských </w:t>
            </w:r>
            <w:r>
              <w:rPr>
                <w:rFonts w:asciiTheme="minorHAnsi" w:hAnsiTheme="minorHAnsi"/>
              </w:rPr>
              <w:t xml:space="preserve">odvětví v české ekonomice – velký potenciál růstu </w:t>
            </w:r>
          </w:p>
        </w:tc>
        <w:tc>
          <w:tcPr>
            <w:tcW w:w="4507" w:type="dxa"/>
            <w:vAlign w:val="top"/>
          </w:tcPr>
          <w:p w14:paraId="1740A9F7"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HROZBY (T)</w:t>
            </w:r>
          </w:p>
          <w:p w14:paraId="202DE5F2" w14:textId="77777777" w:rsidR="00325491" w:rsidRDefault="006D7230" w:rsidP="00325491">
            <w:pPr>
              <w:pStyle w:val="Dalodstavce"/>
              <w:numPr>
                <w:ilvl w:val="0"/>
                <w:numId w:val="21"/>
              </w:numPr>
              <w:spacing w:before="0" w:after="0"/>
              <w:ind w:left="530"/>
              <w:jc w:val="left"/>
              <w:rPr>
                <w:rFonts w:asciiTheme="minorHAnsi" w:hAnsiTheme="minorHAnsi"/>
              </w:rPr>
            </w:pPr>
            <w:r>
              <w:rPr>
                <w:rFonts w:asciiTheme="minorHAnsi" w:hAnsiTheme="minorHAnsi"/>
              </w:rPr>
              <w:t xml:space="preserve">Zvyšování daní </w:t>
            </w:r>
            <w:r w:rsidR="00FB7B9C">
              <w:rPr>
                <w:rFonts w:asciiTheme="minorHAnsi" w:hAnsiTheme="minorHAnsi"/>
              </w:rPr>
              <w:t xml:space="preserve">by mohlo vést k </w:t>
            </w:r>
          </w:p>
          <w:p w14:paraId="0EC8170C" w14:textId="77777777" w:rsidR="00FB7B9C" w:rsidRDefault="00FB7B9C" w:rsidP="00325491">
            <w:pPr>
              <w:pStyle w:val="Dalodstavce"/>
              <w:numPr>
                <w:ilvl w:val="0"/>
                <w:numId w:val="21"/>
              </w:numPr>
              <w:spacing w:before="0" w:after="0"/>
              <w:ind w:left="530"/>
              <w:jc w:val="left"/>
              <w:rPr>
                <w:rFonts w:asciiTheme="minorHAnsi" w:hAnsiTheme="minorHAnsi"/>
              </w:rPr>
            </w:pPr>
            <w:r>
              <w:rPr>
                <w:rFonts w:asciiTheme="minorHAnsi" w:hAnsiTheme="minorHAnsi"/>
              </w:rPr>
              <w:t>Krize v ekonomice by mohla vést ke snížení poptávky</w:t>
            </w:r>
          </w:p>
          <w:p w14:paraId="26C5377B" w14:textId="58C44DF6" w:rsidR="00FB7B9C" w:rsidRPr="0077144C" w:rsidRDefault="00FB7B9C" w:rsidP="00325491">
            <w:pPr>
              <w:pStyle w:val="Dalodstavce"/>
              <w:numPr>
                <w:ilvl w:val="0"/>
                <w:numId w:val="21"/>
              </w:numPr>
              <w:spacing w:before="0" w:after="0"/>
              <w:ind w:left="530"/>
              <w:jc w:val="left"/>
              <w:rPr>
                <w:rFonts w:asciiTheme="minorHAnsi" w:hAnsiTheme="minorHAnsi"/>
              </w:rPr>
            </w:pPr>
            <w:r>
              <w:rPr>
                <w:rFonts w:asciiTheme="minorHAnsi" w:hAnsiTheme="minorHAnsi"/>
              </w:rPr>
              <w:t>Vysoká inflace vedoucí k vyšším úrokovým mírám</w:t>
            </w:r>
            <w:r w:rsidR="00F64CD1">
              <w:rPr>
                <w:rFonts w:asciiTheme="minorHAnsi" w:hAnsiTheme="minorHAnsi"/>
              </w:rPr>
              <w:t xml:space="preserve"> a zvyšujícím se cenám vstupů výroby </w:t>
            </w:r>
          </w:p>
        </w:tc>
      </w:tr>
    </w:tbl>
    <w:p w14:paraId="3E848DBA" w14:textId="77777777" w:rsidR="00325491" w:rsidRPr="00325491" w:rsidRDefault="00325491" w:rsidP="006E78B5">
      <w:pPr>
        <w:pStyle w:val="Dalodstavce"/>
        <w:ind w:firstLine="0"/>
      </w:pPr>
    </w:p>
    <w:p w14:paraId="1AE7904F" w14:textId="4BE3EC0F" w:rsidR="006E78B5" w:rsidRDefault="006E78B5" w:rsidP="006E78B5">
      <w:pPr>
        <w:pStyle w:val="Nadpis2"/>
        <w:numPr>
          <w:ilvl w:val="1"/>
          <w:numId w:val="16"/>
        </w:numPr>
      </w:pPr>
      <w:bookmarkStart w:id="41" w:name="_Toc134175289"/>
      <w:r>
        <w:t>Závěr</w:t>
      </w:r>
      <w:bookmarkEnd w:id="41"/>
    </w:p>
    <w:p w14:paraId="44F25469" w14:textId="29D714D1" w:rsidR="006E78B5" w:rsidRPr="006E78B5" w:rsidRDefault="004410EA" w:rsidP="006C384C">
      <w:pPr>
        <w:pStyle w:val="Odstavec1"/>
        <w:outlineLvl w:val="0"/>
      </w:pPr>
      <w:r>
        <w:t>V této kapitole práce byl</w:t>
      </w:r>
      <w:r w:rsidR="00F51FF1">
        <w:t xml:space="preserve">y úspěšně aplikovány bonitní a bankrotní modely, </w:t>
      </w:r>
      <w:r w:rsidR="005D775E">
        <w:t xml:space="preserve">s jejichž pomocí došlo k další přínosné interpretaci hospodaření a činnosti podniku na základě jeho účetních záznamů. </w:t>
      </w:r>
      <w:r w:rsidR="000560A6">
        <w:t xml:space="preserve">Z bonitních i bankrotních modelů je patrné, že podnik si před rozšířením své výroby a rozšířením výrobních prostor vedl velmi dobře, ale </w:t>
      </w:r>
      <w:r w:rsidR="008F42A1">
        <w:t>spojení expanze společně s</w:t>
      </w:r>
      <w:r w:rsidR="00F04047">
        <w:t> covidovou krizí podnik znatelně zasáhlo. I přesto je v</w:t>
      </w:r>
      <w:r w:rsidR="00EE5F09">
        <w:t> bankrotních i bonitních modelech viditelný trend růstu do dalších let, zároveň je podnik daleko od potenciálního bankrotu</w:t>
      </w:r>
      <w:r w:rsidR="00C3606C">
        <w:t xml:space="preserve">, což je velmi dobrý ukazatel pro potenciální investory či pro získání </w:t>
      </w:r>
      <w:r w:rsidR="006C384C">
        <w:t>úvěrů</w:t>
      </w:r>
      <w:r w:rsidR="00C3606C">
        <w:t xml:space="preserve"> v bance.</w:t>
      </w:r>
    </w:p>
    <w:p w14:paraId="7BAD55F5" w14:textId="6454800B" w:rsidR="00630F94" w:rsidRDefault="00142FD5" w:rsidP="00544B9D">
      <w:pPr>
        <w:pStyle w:val="Nadpis1"/>
        <w:numPr>
          <w:ilvl w:val="0"/>
          <w:numId w:val="30"/>
        </w:numPr>
      </w:pPr>
      <w:bookmarkStart w:id="42" w:name="_Toc134175290"/>
      <w:r>
        <w:lastRenderedPageBreak/>
        <w:t>Z</w:t>
      </w:r>
      <w:r w:rsidR="00325491">
        <w:t>ávěr</w:t>
      </w:r>
      <w:bookmarkEnd w:id="42"/>
      <w:r>
        <w:t xml:space="preserve"> </w:t>
      </w:r>
      <w:r w:rsidR="00630F94">
        <w:t xml:space="preserve"> </w:t>
      </w:r>
    </w:p>
    <w:p w14:paraId="2804EC5C" w14:textId="43F844EC" w:rsidR="00325491" w:rsidRDefault="001411FE" w:rsidP="00325491">
      <w:pPr>
        <w:pStyle w:val="Odstavec1"/>
      </w:pPr>
      <w:r>
        <w:t>Tato seminární práce se zabývala finanční analýzou společnosti Disting s.r.o.</w:t>
      </w:r>
      <w:r w:rsidR="006A2890">
        <w:t xml:space="preserve">, která se věnuje montáži automobilových dílů a výrobě pracovních oděvů. </w:t>
      </w:r>
      <w:r w:rsidR="002E7589">
        <w:t xml:space="preserve">V úvodu </w:t>
      </w:r>
      <w:r w:rsidR="00CD3DB5">
        <w:t xml:space="preserve">byla uvedena společnost, která byla v práci posuzovaná a důvody pro výběr právě této společnosti. </w:t>
      </w:r>
      <w:r w:rsidR="00BD0DA2">
        <w:t>Dále byl</w:t>
      </w:r>
      <w:r w:rsidR="00CE4B4E">
        <w:t xml:space="preserve"> stanoven cíl práce a výzkumné otázky. </w:t>
      </w:r>
      <w:r w:rsidR="0025618F">
        <w:t xml:space="preserve">Druhá kapitola se věnovala analýze podnikového prostředí. Byla stanovena typologie podniku, čemu se podnik věnuje a rozebrána konkurence a vlivy z prostředí. </w:t>
      </w:r>
      <w:r w:rsidR="00CE4B4E">
        <w:t xml:space="preserve"> </w:t>
      </w:r>
      <w:r w:rsidR="0025618F">
        <w:t xml:space="preserve">Pro analýzu podnikového prostředí byl využit </w:t>
      </w:r>
      <w:r w:rsidR="00EA67E0">
        <w:t>Porterův model 5 sil a PESTLE analýza</w:t>
      </w:r>
      <w:r w:rsidR="00877EFC">
        <w:t xml:space="preserve">. Ve </w:t>
      </w:r>
      <w:r w:rsidR="00C2071D">
        <w:t>třetí kapitole byla analyzována rozvaha a výkaz zisku a ztrát</w:t>
      </w:r>
      <w:r w:rsidR="009338AD">
        <w:t xml:space="preserve">. Nejprve byla provedena horizontální a vertikální analýza aktiv a pasiv a poté analýza výnosů, nákladů a výsledků hospodaření. </w:t>
      </w:r>
    </w:p>
    <w:p w14:paraId="04F80C4B" w14:textId="7F32DEE7" w:rsidR="008145E1" w:rsidRDefault="009338AD" w:rsidP="008145E1">
      <w:pPr>
        <w:pStyle w:val="Dalodstavce"/>
      </w:pPr>
      <w:r>
        <w:t xml:space="preserve">Čtvrtá kapitola se věnuje poměrovým ukazatelům a je rozdělena na podkapitoly rentabilita, aktivita, </w:t>
      </w:r>
      <w:r w:rsidR="008145E1">
        <w:t xml:space="preserve">poměrové ukazatele související se zaměstnanci, zadluženost a likvidita. V páté kapitole je analyzována finanční a provozní páka podniku Disting a vytvořen pyramidový rozklad. Šestá kapitola se věnuje </w:t>
      </w:r>
      <w:r w:rsidR="00515E34">
        <w:t xml:space="preserve">průměrným váženým nákladům kapitálu (WACC) a ekonomické přidané hodnotě (EVA). </w:t>
      </w:r>
      <w:r w:rsidR="00A31C12">
        <w:t xml:space="preserve">V sedmé kapitole jsou aplikovány bonitní a bankrotní modely na podnik. Každá kapitola obsahuje SWOT matici a závěrečné zhodnocení. </w:t>
      </w:r>
    </w:p>
    <w:p w14:paraId="4DD9B5DB" w14:textId="680CF1B2" w:rsidR="00A31C12" w:rsidRDefault="00A31C12" w:rsidP="008145E1">
      <w:pPr>
        <w:pStyle w:val="Dalodstavce"/>
      </w:pPr>
      <w:r>
        <w:t xml:space="preserve">Cílem práce bylo </w:t>
      </w:r>
      <w:r w:rsidR="00575626">
        <w:t>provést finanční analýzu podniku Disting s.r.o, a zhodnotit vývoj společnosti a současnou finanční situaci. Jelikož jsme v průběhu práce odpověděli, na všechny výzkumné otázky</w:t>
      </w:r>
      <w:r w:rsidR="000140C2">
        <w:t xml:space="preserve">, tak věříme, že cíl seminární práce byl naplněn. </w:t>
      </w:r>
    </w:p>
    <w:p w14:paraId="600C7905" w14:textId="6A14631D" w:rsidR="000140C2" w:rsidRPr="00A13557" w:rsidRDefault="00EB36FB" w:rsidP="008145E1">
      <w:pPr>
        <w:pStyle w:val="Dalodstavce"/>
      </w:pPr>
      <w:r w:rsidRPr="00A13557">
        <w:t>V následujícím textu</w:t>
      </w:r>
      <w:r w:rsidR="000140C2" w:rsidRPr="00A13557">
        <w:t xml:space="preserve"> jsou představeny základní poznatky </w:t>
      </w:r>
      <w:r w:rsidR="000A77EC" w:rsidRPr="00A13557">
        <w:t>z finanční analýzy</w:t>
      </w:r>
      <w:r w:rsidR="0006349B" w:rsidRPr="00A13557">
        <w:t>, jejichž členění bude zároveň odpovídat položeným výzkumným otázkám</w:t>
      </w:r>
      <w:r w:rsidR="000A77EC" w:rsidRPr="00A13557">
        <w:t xml:space="preserve">. Podnik Disting byl sledován v letech 2017-2021. </w:t>
      </w:r>
    </w:p>
    <w:p w14:paraId="0F490322" w14:textId="674A7AC1" w:rsidR="00767A7C" w:rsidRPr="00A13557" w:rsidRDefault="00E93775" w:rsidP="00767A7C">
      <w:pPr>
        <w:pStyle w:val="Dalodstavce"/>
      </w:pPr>
      <w:r w:rsidRPr="00A13557">
        <w:t>Odpovědi na výzkumné otázky</w:t>
      </w:r>
    </w:p>
    <w:p w14:paraId="537B7BB5" w14:textId="4A7388EC" w:rsidR="00767A7C" w:rsidRPr="000A77EC" w:rsidRDefault="00767A7C" w:rsidP="00767A7C">
      <w:pPr>
        <w:pStyle w:val="Dalodstavce"/>
        <w:numPr>
          <w:ilvl w:val="6"/>
          <w:numId w:val="16"/>
        </w:numPr>
        <w:spacing w:before="80" w:after="0"/>
        <w:rPr>
          <w:color w:val="FF0000"/>
        </w:rPr>
      </w:pPr>
      <w:r w:rsidRPr="00A13557">
        <w:rPr>
          <w:b/>
          <w:bCs/>
        </w:rPr>
        <w:t>Jaké bylo finanční zdraví podniku ve sledovaném období? Ve kterých ukazatelích vykazuje podnik nedostatečné hodnoty v porovnání s doporučenými hodnotami?</w:t>
      </w:r>
      <w:r w:rsidRPr="00A13557">
        <w:t xml:space="preserve"> </w:t>
      </w:r>
      <w:r w:rsidR="00A37119">
        <w:t xml:space="preserve">Prvotní indikaci finančního zdraví podniku nám poskytla již horizontální a vertikální analýza rozvahy a výkazu zisku a </w:t>
      </w:r>
      <w:r w:rsidR="00435B73">
        <w:t>ztrát</w:t>
      </w:r>
      <w:r w:rsidR="00AA0B0E">
        <w:t xml:space="preserve">. Z této analýzy je patrné, že společnost dlouhodobě drží poměrně vysoké peněžní prostředky, které slouží jako polštář pro zmírnění neočekávaných </w:t>
      </w:r>
      <w:r w:rsidR="00845BF9">
        <w:t>situací</w:t>
      </w:r>
      <w:r w:rsidR="00EA4208">
        <w:t xml:space="preserve"> </w:t>
      </w:r>
      <w:r w:rsidR="00EA4208">
        <w:lastRenderedPageBreak/>
        <w:t>(koronavirová krize)</w:t>
      </w:r>
      <w:r w:rsidR="00845BF9">
        <w:t xml:space="preserve"> </w:t>
      </w:r>
      <w:r w:rsidR="00843507">
        <w:t xml:space="preserve">nebo zdroj v případě </w:t>
      </w:r>
      <w:r w:rsidR="00EA4208">
        <w:t xml:space="preserve">nutného </w:t>
      </w:r>
      <w:r w:rsidR="00706F3F">
        <w:t>dofinancování vlastních investic (stavba nové budovy).</w:t>
      </w:r>
      <w:r w:rsidR="0019350D">
        <w:t xml:space="preserve"> Podnik</w:t>
      </w:r>
      <w:r w:rsidR="007F2FE1">
        <w:t xml:space="preserve"> také dlouhodobě tvořil zisk, kdy výsledky hospodaření do roku 2018 pomohli podniku k následnému rozšíření své výroby v roce 2019. </w:t>
      </w:r>
      <w:r w:rsidR="00302838">
        <w:t>Ani v letech 2020 a 2021 však podnik není ztrátový</w:t>
      </w:r>
      <w:r w:rsidR="006153E1">
        <w:t xml:space="preserve">. </w:t>
      </w:r>
      <w:r w:rsidR="005F445D">
        <w:t xml:space="preserve">Rentabilita podniku </w:t>
      </w:r>
      <w:r w:rsidR="00FF7C79">
        <w:t xml:space="preserve">byla </w:t>
      </w:r>
      <w:r w:rsidR="00C662FC">
        <w:t>až do roku 2018 vynikající, v roce 2019 došlo ke znatelnému propadu</w:t>
      </w:r>
      <w:r w:rsidR="00E96BE9">
        <w:t xml:space="preserve">. Společným jmenovatelem propadu všech druhů rentabilit byl v tomto případě obrovský pokles zisku, zároveň však ale i </w:t>
      </w:r>
      <w:r w:rsidR="00CA536A">
        <w:t>např. rentabilit</w:t>
      </w:r>
      <w:r w:rsidR="00A82AE8">
        <w:t xml:space="preserve">u aktiv ROA ovlivnilo podstatné navýšení aktiv spojené s investicí do dlouhodobého hmotného majetku. </w:t>
      </w:r>
      <w:r w:rsidR="00A84960">
        <w:t xml:space="preserve">Firma drží </w:t>
      </w:r>
      <w:r w:rsidR="00E43E7E">
        <w:t xml:space="preserve">zadluženost na velmi nízké úrovni, nejvyšší </w:t>
      </w:r>
      <w:r w:rsidR="009B39F3">
        <w:t>zadluženosti dosáhla</w:t>
      </w:r>
      <w:r w:rsidR="00E43E7E">
        <w:t xml:space="preserve"> v roce 2020, kdy byl zisk firmy pouze 1,5x vyšší než její </w:t>
      </w:r>
      <w:r w:rsidR="009B39F3">
        <w:t>nákladové úroky. I zde je však znatelný klesající trend zadluženosti do budoucnosti</w:t>
      </w:r>
      <w:r w:rsidR="00E175A7">
        <w:t>. Disting s.r.o. má velmi nízkou likviditu</w:t>
      </w:r>
      <w:r w:rsidR="003705FB">
        <w:t>. Její likvidita je mnohonásobně vyšší než doporučené hodnoty</w:t>
      </w:r>
      <w:r w:rsidR="00C8570A">
        <w:t xml:space="preserve">, </w:t>
      </w:r>
      <w:r w:rsidR="00665A33">
        <w:t xml:space="preserve">což se projevuje ve vysokých hodnotách finanční páky, </w:t>
      </w:r>
      <w:r w:rsidR="009F02EC">
        <w:t>která jasně dává najevo, že je podnik velmi konzervativní a averzní k</w:t>
      </w:r>
      <w:r w:rsidR="00B239F1">
        <w:t> </w:t>
      </w:r>
      <w:r w:rsidR="009F02EC">
        <w:t>riziku</w:t>
      </w:r>
      <w:r w:rsidR="00B239F1">
        <w:t xml:space="preserve">, což vede k nižším hodnotám rentability, než kterých by byl podnik potenciálně schopen. </w:t>
      </w:r>
      <w:r w:rsidR="0063252B">
        <w:t>Zároveň však averze podniku riziku vede k</w:t>
      </w:r>
      <w:r w:rsidR="00D31C13">
        <w:t> </w:t>
      </w:r>
      <w:r w:rsidR="0063252B">
        <w:t>ve</w:t>
      </w:r>
      <w:r w:rsidR="00D31C13">
        <w:t>lmi nízkým průměrným nákladům na celkový kapitál WACC</w:t>
      </w:r>
      <w:r w:rsidR="00774524">
        <w:t xml:space="preserve">, jejichž nízké hodnoty </w:t>
      </w:r>
      <w:r w:rsidR="0050797B">
        <w:t xml:space="preserve">dále </w:t>
      </w:r>
      <w:r w:rsidR="00774524">
        <w:t xml:space="preserve">nezatěžují ukazatel ekonomické přidané hodnoty EVA, </w:t>
      </w:r>
      <w:r w:rsidR="00CD6BE4">
        <w:t xml:space="preserve">který </w:t>
      </w:r>
      <w:r w:rsidR="0050797B">
        <w:t xml:space="preserve">byl značně ovlivněn poklesem výsledku hospodaření v letech </w:t>
      </w:r>
      <w:r w:rsidR="00CD7E61">
        <w:t>20</w:t>
      </w:r>
      <w:r w:rsidR="00126F13">
        <w:t>19-2021.</w:t>
      </w:r>
      <w:r w:rsidR="00605552">
        <w:t xml:space="preserve"> Konečný pohled na finanční zdraví podniku poskytují bonitní a bankrotní modely, které ukazují, že podnik je jednoznačně ve velmi dobrém </w:t>
      </w:r>
      <w:r w:rsidR="00050649">
        <w:t>stavu,</w:t>
      </w:r>
      <w:r w:rsidR="00180733">
        <w:t xml:space="preserve"> a i přes pokles v roce 2019 a 2020 je zde viditelný rostoucí trend do dalších let, kdy by společnost měla opět vytvářet hodnotu</w:t>
      </w:r>
      <w:r w:rsidR="00726BAB">
        <w:t xml:space="preserve"> a zároveň se dostat ze </w:t>
      </w:r>
      <w:r w:rsidR="00050649">
        <w:t>„</w:t>
      </w:r>
      <w:r w:rsidR="00726BAB">
        <w:t xml:space="preserve">šedé zóny“ bankrotních modelů. </w:t>
      </w:r>
    </w:p>
    <w:p w14:paraId="4345B315" w14:textId="33353E00" w:rsidR="00767A7C" w:rsidRPr="000A77EC" w:rsidRDefault="00767A7C" w:rsidP="00767A7C">
      <w:pPr>
        <w:pStyle w:val="Dalodstavce"/>
        <w:numPr>
          <w:ilvl w:val="6"/>
          <w:numId w:val="16"/>
        </w:numPr>
        <w:spacing w:before="0" w:after="0"/>
        <w:rPr>
          <w:color w:val="FF0000"/>
        </w:rPr>
      </w:pPr>
      <w:r w:rsidRPr="00A13557">
        <w:rPr>
          <w:b/>
          <w:bCs/>
        </w:rPr>
        <w:t>Jaké faktory hrály roli ve změnách finančních ukazatelů ve sledovaném období?</w:t>
      </w:r>
      <w:r w:rsidR="00F44107" w:rsidRPr="00A13557">
        <w:t xml:space="preserve"> </w:t>
      </w:r>
      <w:r w:rsidR="00F44107">
        <w:t>Zmíněné popsané finanční skutečnosti byly především způsobené stavbou nové budovy a potenciálním navýšením výrobních kapacit v roce 2019</w:t>
      </w:r>
      <w:r w:rsidR="00222391">
        <w:t>, kdy zároveň podnik také podstatně navyšoval množství zaměstnanců</w:t>
      </w:r>
      <w:r w:rsidR="00D46452">
        <w:t xml:space="preserve"> a tím i osobní náklady</w:t>
      </w:r>
      <w:r w:rsidR="00222391">
        <w:t xml:space="preserve">. </w:t>
      </w:r>
      <w:r w:rsidR="004D24DC">
        <w:t xml:space="preserve">V roce 2020 však dopadla koronavirová krize, která </w:t>
      </w:r>
      <w:r w:rsidR="003A2C8B">
        <w:t xml:space="preserve">měla vliv na množství </w:t>
      </w:r>
      <w:r w:rsidR="00B716B5">
        <w:t xml:space="preserve">pohledávek. </w:t>
      </w:r>
      <w:r w:rsidR="00A534E8">
        <w:t xml:space="preserve">Tento nárůst výrobních kapacit a zaměstnanců však </w:t>
      </w:r>
      <w:r w:rsidR="00B507A2">
        <w:t xml:space="preserve">nebyl kompenzován dostatečným růstem tržeb podniku, </w:t>
      </w:r>
      <w:r w:rsidR="00EA385F">
        <w:t xml:space="preserve">a i přes viditelný rostoucí trend </w:t>
      </w:r>
      <w:r w:rsidR="00A13557">
        <w:t>tržeb se</w:t>
      </w:r>
      <w:r w:rsidR="00EA385F">
        <w:t xml:space="preserve"> ani v roce 2021 nedostaly </w:t>
      </w:r>
      <w:r w:rsidR="00A13557">
        <w:t>na adekvátní hodnotu.</w:t>
      </w:r>
    </w:p>
    <w:p w14:paraId="63F40EC8" w14:textId="3DC75AFA" w:rsidR="00767A7C" w:rsidRPr="00A13557" w:rsidRDefault="00767A7C" w:rsidP="00767A7C">
      <w:pPr>
        <w:pStyle w:val="Dalodstavce"/>
        <w:numPr>
          <w:ilvl w:val="6"/>
          <w:numId w:val="16"/>
        </w:numPr>
        <w:spacing w:before="0" w:after="0"/>
        <w:rPr>
          <w:b/>
        </w:rPr>
      </w:pPr>
      <w:r w:rsidRPr="00A13557">
        <w:rPr>
          <w:b/>
          <w:bCs/>
        </w:rPr>
        <w:t>Jaká opatření by měla firma přijmout, aby zlepšila své finanční postavení/ zdraví?</w:t>
      </w:r>
      <w:r w:rsidR="00A13557" w:rsidRPr="00A13557">
        <w:rPr>
          <w:b/>
          <w:bCs/>
        </w:rPr>
        <w:t xml:space="preserve"> </w:t>
      </w:r>
      <w:r w:rsidR="004F5316">
        <w:t xml:space="preserve">Finanční postavení firmy hodnotíme jako </w:t>
      </w:r>
      <w:r w:rsidR="004F5316">
        <w:lastRenderedPageBreak/>
        <w:t xml:space="preserve">uspokojivé a do dalších let činnosti se dá predikovat jeho rostoucí potenciál. Firma je v současném stavu atraktivní pro investory a důvěryhodná pro potenciální žádosti o úvěr. </w:t>
      </w:r>
      <w:r w:rsidR="0082785C">
        <w:t xml:space="preserve">Doporučením zpracovatelů této finanční analýzy by bylo větší využívání </w:t>
      </w:r>
      <w:r w:rsidR="008325D9">
        <w:t>peněžních prostředků a vyšší využívání cizích zdrojů Firma by měla zainvestovat do</w:t>
      </w:r>
      <w:r w:rsidR="00DA74A2">
        <w:t xml:space="preserve"> větší automatizace </w:t>
      </w:r>
      <w:r w:rsidR="00001EE3">
        <w:t xml:space="preserve">výroby a využívání strojů, jelikož je v současné době velmi závislá na </w:t>
      </w:r>
      <w:r w:rsidR="008C1751">
        <w:t xml:space="preserve">lidské pracovní síle a její výroba je výrobou s nízkou přidanou hodnotou. Tato investice by potenciálně mohla vést k podstatnému navýšení rentability, </w:t>
      </w:r>
      <w:r w:rsidR="00821876">
        <w:t>podstatnému propouštění současných zaměstnanců a s tím spojeným poklesem osobních nákladů</w:t>
      </w:r>
      <w:r w:rsidR="00C052B5">
        <w:t xml:space="preserve">. Investice by také vedla k nižší likviditě, vyššímu využívání cizích zdrojů a </w:t>
      </w:r>
      <w:r w:rsidR="00152D96">
        <w:t xml:space="preserve">potenciálně vyššímu ukazateli ekonomické </w:t>
      </w:r>
      <w:r w:rsidR="00DD22B6">
        <w:t xml:space="preserve">přidané hodnoty EVA. </w:t>
      </w:r>
    </w:p>
    <w:p w14:paraId="70E1BF80" w14:textId="77777777" w:rsidR="00767A7C" w:rsidRPr="00767A7C" w:rsidRDefault="00767A7C" w:rsidP="00767A7C">
      <w:pPr>
        <w:pStyle w:val="Dalodstavce"/>
      </w:pPr>
    </w:p>
    <w:p w14:paraId="255307F9" w14:textId="77777777" w:rsidR="00325491" w:rsidRDefault="00325491" w:rsidP="00325491">
      <w:pPr>
        <w:pStyle w:val="Dalodstavce"/>
      </w:pPr>
    </w:p>
    <w:p w14:paraId="3EE0FB32" w14:textId="77777777" w:rsidR="00325491" w:rsidRDefault="00325491" w:rsidP="00325491">
      <w:pPr>
        <w:pStyle w:val="Dalodstavce"/>
      </w:pPr>
    </w:p>
    <w:tbl>
      <w:tblPr>
        <w:tblStyle w:val="Mkatabulky"/>
        <w:tblW w:w="9613" w:type="dxa"/>
        <w:jc w:val="left"/>
        <w:tblInd w:w="-1140" w:type="dxa"/>
        <w:tblLook w:val="04A0" w:firstRow="1" w:lastRow="0" w:firstColumn="1" w:lastColumn="0" w:noHBand="0" w:noVBand="1"/>
      </w:tblPr>
      <w:tblGrid>
        <w:gridCol w:w="600"/>
        <w:gridCol w:w="4506"/>
        <w:gridCol w:w="4507"/>
      </w:tblGrid>
      <w:tr w:rsidR="00325491" w:rsidRPr="0077144C" w14:paraId="25514119" w14:textId="77777777">
        <w:trPr>
          <w:cnfStyle w:val="100000000000" w:firstRow="1" w:lastRow="0" w:firstColumn="0" w:lastColumn="0" w:oddVBand="0" w:evenVBand="0" w:oddHBand="0" w:evenHBand="0" w:firstRowFirstColumn="0" w:firstRowLastColumn="0" w:lastRowFirstColumn="0" w:lastRowLastColumn="0"/>
          <w:trHeight w:val="534"/>
          <w:jc w:val="left"/>
        </w:trPr>
        <w:tc>
          <w:tcPr>
            <w:tcW w:w="600" w:type="dxa"/>
            <w:shd w:val="clear" w:color="auto" w:fill="D9E2F3" w:themeFill="accent5" w:themeFillTint="33"/>
          </w:tcPr>
          <w:p w14:paraId="65FED8D8" w14:textId="77777777" w:rsidR="00325491" w:rsidRPr="0077144C" w:rsidRDefault="00325491">
            <w:pPr>
              <w:pStyle w:val="Dalodstavce"/>
              <w:spacing w:before="0" w:after="0"/>
              <w:rPr>
                <w:rFonts w:asciiTheme="minorHAnsi" w:hAnsiTheme="minorHAnsi"/>
              </w:rPr>
            </w:pPr>
          </w:p>
        </w:tc>
        <w:tc>
          <w:tcPr>
            <w:tcW w:w="4506" w:type="dxa"/>
            <w:shd w:val="clear" w:color="auto" w:fill="D9E2F3" w:themeFill="accent5" w:themeFillTint="33"/>
          </w:tcPr>
          <w:p w14:paraId="7CD1C835" w14:textId="77777777" w:rsidR="00325491" w:rsidRPr="0077144C" w:rsidRDefault="00325491">
            <w:pPr>
              <w:pStyle w:val="Dalodstavce"/>
              <w:spacing w:before="0" w:after="0"/>
              <w:ind w:firstLine="0"/>
              <w:jc w:val="center"/>
              <w:rPr>
                <w:rFonts w:asciiTheme="minorHAnsi" w:hAnsiTheme="minorHAnsi"/>
              </w:rPr>
            </w:pPr>
            <w:r w:rsidRPr="0077144C">
              <w:rPr>
                <w:rFonts w:asciiTheme="minorHAnsi" w:hAnsiTheme="minorHAnsi"/>
              </w:rPr>
              <w:t>POMOCNÉ</w:t>
            </w:r>
          </w:p>
        </w:tc>
        <w:tc>
          <w:tcPr>
            <w:tcW w:w="4507" w:type="dxa"/>
            <w:shd w:val="clear" w:color="auto" w:fill="D9E2F3" w:themeFill="accent5" w:themeFillTint="33"/>
          </w:tcPr>
          <w:p w14:paraId="16FA8F1E" w14:textId="77777777" w:rsidR="00325491" w:rsidRPr="0077144C" w:rsidRDefault="00325491">
            <w:pPr>
              <w:pStyle w:val="Dalodstavce"/>
              <w:spacing w:before="0" w:after="0"/>
              <w:ind w:firstLine="0"/>
              <w:jc w:val="center"/>
              <w:rPr>
                <w:rFonts w:asciiTheme="minorHAnsi" w:hAnsiTheme="minorHAnsi"/>
              </w:rPr>
            </w:pPr>
            <w:r w:rsidRPr="0077144C">
              <w:rPr>
                <w:rFonts w:asciiTheme="minorHAnsi" w:hAnsiTheme="minorHAnsi"/>
              </w:rPr>
              <w:t>ŠKODLIVÉ</w:t>
            </w:r>
          </w:p>
        </w:tc>
      </w:tr>
      <w:tr w:rsidR="00325491" w:rsidRPr="0077144C" w14:paraId="00C8CBE8" w14:textId="77777777">
        <w:trPr>
          <w:cantSplit/>
          <w:trHeight w:val="2955"/>
          <w:jc w:val="left"/>
        </w:trPr>
        <w:tc>
          <w:tcPr>
            <w:tcW w:w="600" w:type="dxa"/>
            <w:shd w:val="clear" w:color="auto" w:fill="D9E2F3" w:themeFill="accent5" w:themeFillTint="33"/>
            <w:textDirection w:val="btLr"/>
          </w:tcPr>
          <w:p w14:paraId="393B35B2" w14:textId="77777777" w:rsidR="00325491" w:rsidRPr="0077144C" w:rsidRDefault="00325491">
            <w:pPr>
              <w:pStyle w:val="Dalodstavce"/>
              <w:spacing w:before="0" w:after="0"/>
              <w:ind w:left="113" w:right="113" w:firstLine="0"/>
              <w:jc w:val="center"/>
              <w:rPr>
                <w:rFonts w:asciiTheme="minorHAnsi" w:hAnsiTheme="minorHAnsi"/>
              </w:rPr>
            </w:pPr>
            <w:r w:rsidRPr="0077144C">
              <w:rPr>
                <w:rFonts w:asciiTheme="minorHAnsi" w:hAnsiTheme="minorHAnsi"/>
              </w:rPr>
              <w:t>VNITŘNÍ PROSTŘEDÍ</w:t>
            </w:r>
          </w:p>
        </w:tc>
        <w:tc>
          <w:tcPr>
            <w:tcW w:w="4506" w:type="dxa"/>
            <w:vAlign w:val="top"/>
          </w:tcPr>
          <w:p w14:paraId="2F87D0CC"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SILNÉ STRÁNKY (S)</w:t>
            </w:r>
          </w:p>
          <w:p w14:paraId="05BE7DAF" w14:textId="77777777" w:rsidR="004463EE" w:rsidRDefault="004463EE" w:rsidP="004463EE">
            <w:pPr>
              <w:pStyle w:val="Dalodstavce"/>
              <w:keepNext w:val="0"/>
              <w:keepLines w:val="0"/>
              <w:numPr>
                <w:ilvl w:val="0"/>
                <w:numId w:val="21"/>
              </w:numPr>
              <w:suppressAutoHyphens w:val="0"/>
              <w:spacing w:before="0" w:after="0"/>
              <w:ind w:left="643"/>
              <w:jc w:val="left"/>
              <w:rPr>
                <w:rFonts w:asciiTheme="minorHAnsi" w:hAnsiTheme="minorHAnsi"/>
              </w:rPr>
            </w:pPr>
            <w:r>
              <w:rPr>
                <w:rFonts w:asciiTheme="minorHAnsi" w:hAnsiTheme="minorHAnsi"/>
              </w:rPr>
              <w:t>Konkurenční výhoda v oblasti ochranných oděvů pro jaderné elektrárny</w:t>
            </w:r>
          </w:p>
          <w:p w14:paraId="77E863E9" w14:textId="77777777" w:rsidR="004463EE" w:rsidRDefault="004463EE" w:rsidP="004463EE">
            <w:pPr>
              <w:pStyle w:val="Dalodstavce"/>
              <w:keepNext w:val="0"/>
              <w:keepLines w:val="0"/>
              <w:numPr>
                <w:ilvl w:val="0"/>
                <w:numId w:val="21"/>
              </w:numPr>
              <w:suppressAutoHyphens w:val="0"/>
              <w:spacing w:before="0" w:after="0"/>
              <w:ind w:left="643"/>
              <w:jc w:val="left"/>
              <w:rPr>
                <w:rFonts w:asciiTheme="minorHAnsi" w:hAnsiTheme="minorHAnsi"/>
              </w:rPr>
            </w:pPr>
            <w:r>
              <w:rPr>
                <w:rFonts w:asciiTheme="minorHAnsi" w:hAnsiTheme="minorHAnsi"/>
              </w:rPr>
              <w:t>Diverzifikace podnikatelských aktivit</w:t>
            </w:r>
          </w:p>
          <w:p w14:paraId="294DCA79" w14:textId="77777777" w:rsidR="004463EE" w:rsidRDefault="004463EE" w:rsidP="004463EE">
            <w:pPr>
              <w:pStyle w:val="Dalodstavce"/>
              <w:keepNext w:val="0"/>
              <w:keepLines w:val="0"/>
              <w:numPr>
                <w:ilvl w:val="0"/>
                <w:numId w:val="21"/>
              </w:numPr>
              <w:suppressAutoHyphens w:val="0"/>
              <w:spacing w:before="0" w:after="0"/>
              <w:ind w:left="643"/>
              <w:jc w:val="left"/>
              <w:rPr>
                <w:rFonts w:asciiTheme="minorHAnsi" w:hAnsiTheme="minorHAnsi"/>
              </w:rPr>
            </w:pPr>
            <w:r>
              <w:rPr>
                <w:rFonts w:asciiTheme="minorHAnsi" w:hAnsiTheme="minorHAnsi"/>
              </w:rPr>
              <w:t>Patenty na výrobky a technologie</w:t>
            </w:r>
            <w:r>
              <w:rPr>
                <w:rStyle w:val="Znakapoznpodarou"/>
                <w:rFonts w:asciiTheme="minorHAnsi" w:hAnsiTheme="minorHAnsi"/>
              </w:rPr>
              <w:footnoteReference w:id="22"/>
            </w:r>
            <w:r>
              <w:rPr>
                <w:rFonts w:asciiTheme="minorHAnsi" w:hAnsiTheme="minorHAnsi"/>
              </w:rPr>
              <w:t xml:space="preserve"> </w:t>
            </w:r>
          </w:p>
          <w:p w14:paraId="285D3BEE" w14:textId="77777777" w:rsidR="004463EE" w:rsidRPr="00B27401" w:rsidRDefault="004463EE" w:rsidP="004463EE">
            <w:pPr>
              <w:pStyle w:val="Dalodstavce"/>
              <w:keepNext w:val="0"/>
              <w:keepLines w:val="0"/>
              <w:numPr>
                <w:ilvl w:val="0"/>
                <w:numId w:val="21"/>
              </w:numPr>
              <w:suppressAutoHyphens w:val="0"/>
              <w:spacing w:before="0" w:after="0"/>
              <w:ind w:left="643"/>
              <w:jc w:val="left"/>
              <w:rPr>
                <w:rFonts w:asciiTheme="minorHAnsi" w:hAnsiTheme="minorHAnsi"/>
              </w:rPr>
            </w:pPr>
            <w:r w:rsidRPr="00B27401">
              <w:rPr>
                <w:rFonts w:asciiTheme="minorHAnsi" w:hAnsiTheme="minorHAnsi"/>
              </w:rPr>
              <w:t>Skvělé vztahy s dodavateli a zákazníky</w:t>
            </w:r>
          </w:p>
          <w:p w14:paraId="57920D25" w14:textId="77777777" w:rsidR="0086304B" w:rsidRDefault="0086304B" w:rsidP="0086304B">
            <w:pPr>
              <w:pStyle w:val="Dalodstavce"/>
              <w:keepNext w:val="0"/>
              <w:keepLines w:val="0"/>
              <w:numPr>
                <w:ilvl w:val="0"/>
                <w:numId w:val="21"/>
              </w:numPr>
              <w:suppressAutoHyphens w:val="0"/>
              <w:spacing w:before="0" w:after="0"/>
              <w:ind w:left="643"/>
              <w:jc w:val="left"/>
              <w:rPr>
                <w:rFonts w:asciiTheme="minorHAnsi" w:hAnsiTheme="minorHAnsi"/>
              </w:rPr>
            </w:pPr>
            <w:r>
              <w:rPr>
                <w:rFonts w:asciiTheme="minorHAnsi" w:hAnsiTheme="minorHAnsi"/>
              </w:rPr>
              <w:t xml:space="preserve">Stabilní odběratelé a dodavatelé (poměrně velká stálost vyrobeného množství, což zajišťuje relativní stabilitu podniku) </w:t>
            </w:r>
          </w:p>
          <w:p w14:paraId="190F3C41" w14:textId="77777777" w:rsidR="0086304B" w:rsidRPr="006B368B" w:rsidRDefault="0086304B" w:rsidP="0086304B">
            <w:pPr>
              <w:pStyle w:val="Dalodstavce"/>
              <w:keepNext w:val="0"/>
              <w:keepLines w:val="0"/>
              <w:numPr>
                <w:ilvl w:val="0"/>
                <w:numId w:val="21"/>
              </w:numPr>
              <w:suppressAutoHyphens w:val="0"/>
              <w:spacing w:before="0" w:after="0"/>
              <w:ind w:left="643"/>
              <w:jc w:val="left"/>
              <w:rPr>
                <w:rFonts w:asciiTheme="minorHAnsi" w:hAnsiTheme="minorHAnsi"/>
                <w:color w:val="000000" w:themeColor="text1"/>
              </w:rPr>
            </w:pPr>
            <w:r>
              <w:rPr>
                <w:rFonts w:asciiTheme="minorHAnsi" w:hAnsiTheme="minorHAnsi"/>
              </w:rPr>
              <w:t xml:space="preserve">Rozšiřování výrobních kapacit a výroby </w:t>
            </w:r>
            <w:r w:rsidRPr="006B368B">
              <w:rPr>
                <w:rFonts w:asciiTheme="minorHAnsi" w:hAnsiTheme="minorHAnsi"/>
                <w:color w:val="000000" w:themeColor="text1"/>
              </w:rPr>
              <w:t>(dlouhodobý růst DM)</w:t>
            </w:r>
          </w:p>
          <w:p w14:paraId="78874E18" w14:textId="77777777" w:rsidR="0086304B" w:rsidRPr="006B368B" w:rsidRDefault="0086304B" w:rsidP="0086304B">
            <w:pPr>
              <w:pStyle w:val="Dalodstavce"/>
              <w:keepNext w:val="0"/>
              <w:keepLines w:val="0"/>
              <w:numPr>
                <w:ilvl w:val="0"/>
                <w:numId w:val="21"/>
              </w:numPr>
              <w:suppressAutoHyphens w:val="0"/>
              <w:spacing w:before="0" w:after="0"/>
              <w:ind w:left="643"/>
              <w:jc w:val="left"/>
              <w:rPr>
                <w:rFonts w:asciiTheme="minorHAnsi" w:hAnsiTheme="minorHAnsi"/>
                <w:color w:val="000000" w:themeColor="text1"/>
              </w:rPr>
            </w:pPr>
            <w:r w:rsidRPr="00687D32">
              <w:rPr>
                <w:rFonts w:asciiTheme="minorHAnsi" w:hAnsiTheme="minorHAnsi"/>
              </w:rPr>
              <w:t>Investice do výzkumu a vývoje</w:t>
            </w:r>
          </w:p>
          <w:p w14:paraId="0864ABAD" w14:textId="77777777" w:rsidR="00325491" w:rsidRPr="000B3212" w:rsidRDefault="0086304B" w:rsidP="0086304B">
            <w:pPr>
              <w:pStyle w:val="Dalodstavce"/>
              <w:numPr>
                <w:ilvl w:val="0"/>
                <w:numId w:val="21"/>
              </w:numPr>
              <w:spacing w:before="0" w:after="0"/>
              <w:ind w:left="643"/>
              <w:jc w:val="left"/>
              <w:rPr>
                <w:rFonts w:asciiTheme="minorHAnsi" w:hAnsiTheme="minorHAnsi"/>
              </w:rPr>
            </w:pPr>
            <w:r w:rsidRPr="006B368B">
              <w:rPr>
                <w:rFonts w:asciiTheme="minorHAnsi" w:hAnsiTheme="minorHAnsi"/>
                <w:color w:val="000000" w:themeColor="text1"/>
              </w:rPr>
              <w:t>Kumulovaný zisk z minulých let</w:t>
            </w:r>
            <w:r>
              <w:rPr>
                <w:rFonts w:asciiTheme="minorHAnsi" w:hAnsiTheme="minorHAnsi"/>
                <w:color w:val="000000" w:themeColor="text1"/>
              </w:rPr>
              <w:t xml:space="preserve"> a dlouhodobě kladný zisk</w:t>
            </w:r>
          </w:p>
          <w:p w14:paraId="16F60AAE" w14:textId="77777777" w:rsidR="000B3212" w:rsidRDefault="000B3212" w:rsidP="000B3212">
            <w:pPr>
              <w:pStyle w:val="Dalodstavce"/>
              <w:keepNext w:val="0"/>
              <w:keepLines w:val="0"/>
              <w:numPr>
                <w:ilvl w:val="0"/>
                <w:numId w:val="21"/>
              </w:numPr>
              <w:suppressAutoHyphens w:val="0"/>
              <w:spacing w:before="0" w:after="0"/>
              <w:ind w:left="643"/>
              <w:jc w:val="left"/>
              <w:rPr>
                <w:rFonts w:asciiTheme="minorHAnsi" w:hAnsiTheme="minorHAnsi"/>
              </w:rPr>
            </w:pPr>
            <w:r>
              <w:rPr>
                <w:rFonts w:asciiTheme="minorHAnsi" w:hAnsiTheme="minorHAnsi"/>
              </w:rPr>
              <w:t>Vysoké hodnoty rentabilit v letech 2017 a 2018</w:t>
            </w:r>
          </w:p>
          <w:p w14:paraId="78046CBB" w14:textId="77777777" w:rsidR="000B3212" w:rsidRDefault="000B3212" w:rsidP="000B3212">
            <w:pPr>
              <w:pStyle w:val="Dalodstavce"/>
              <w:keepNext w:val="0"/>
              <w:keepLines w:val="0"/>
              <w:numPr>
                <w:ilvl w:val="0"/>
                <w:numId w:val="21"/>
              </w:numPr>
              <w:suppressAutoHyphens w:val="0"/>
              <w:spacing w:before="0" w:after="0"/>
              <w:ind w:left="643"/>
              <w:jc w:val="left"/>
              <w:rPr>
                <w:rFonts w:asciiTheme="minorHAnsi" w:hAnsiTheme="minorHAnsi"/>
              </w:rPr>
            </w:pPr>
            <w:r>
              <w:rPr>
                <w:rFonts w:asciiTheme="minorHAnsi" w:hAnsiTheme="minorHAnsi"/>
              </w:rPr>
              <w:t xml:space="preserve">Doba obratu závazků je dlouhodobě vyšší než doba obratu závazků </w:t>
            </w:r>
          </w:p>
          <w:p w14:paraId="1DBF6E9E" w14:textId="77777777" w:rsidR="000B3212" w:rsidRDefault="000B3212" w:rsidP="000B3212">
            <w:pPr>
              <w:pStyle w:val="Dalodstavce"/>
              <w:numPr>
                <w:ilvl w:val="0"/>
                <w:numId w:val="21"/>
              </w:numPr>
              <w:spacing w:before="0" w:after="0"/>
              <w:ind w:left="643"/>
              <w:jc w:val="left"/>
              <w:rPr>
                <w:rFonts w:asciiTheme="minorHAnsi" w:hAnsiTheme="minorHAnsi"/>
              </w:rPr>
            </w:pPr>
            <w:r>
              <w:rPr>
                <w:rFonts w:asciiTheme="minorHAnsi" w:hAnsiTheme="minorHAnsi"/>
              </w:rPr>
              <w:t>Atraktivita firmy pro věřitele</w:t>
            </w:r>
          </w:p>
          <w:p w14:paraId="7493764D" w14:textId="77777777" w:rsidR="00A25502" w:rsidRDefault="00A25502" w:rsidP="000B3212">
            <w:pPr>
              <w:pStyle w:val="Dalodstavce"/>
              <w:numPr>
                <w:ilvl w:val="0"/>
                <w:numId w:val="21"/>
              </w:numPr>
              <w:spacing w:before="0" w:after="0"/>
              <w:ind w:left="643"/>
              <w:jc w:val="left"/>
              <w:rPr>
                <w:rFonts w:asciiTheme="minorHAnsi" w:hAnsiTheme="minorHAnsi"/>
              </w:rPr>
            </w:pPr>
            <w:r w:rsidRPr="00A25502">
              <w:rPr>
                <w:rFonts w:asciiTheme="minorHAnsi" w:hAnsiTheme="minorHAnsi"/>
              </w:rPr>
              <w:t>Nízké zadlužení, snížení podnikatelského rizika</w:t>
            </w:r>
          </w:p>
          <w:p w14:paraId="03567297" w14:textId="77777777" w:rsidR="0056736D" w:rsidRDefault="0056736D" w:rsidP="000B3212">
            <w:pPr>
              <w:pStyle w:val="Dalodstavce"/>
              <w:numPr>
                <w:ilvl w:val="0"/>
                <w:numId w:val="21"/>
              </w:numPr>
              <w:spacing w:before="0" w:after="0"/>
              <w:ind w:left="643"/>
              <w:jc w:val="left"/>
              <w:rPr>
                <w:rFonts w:asciiTheme="minorHAnsi" w:hAnsiTheme="minorHAnsi"/>
              </w:rPr>
            </w:pPr>
            <w:r>
              <w:rPr>
                <w:rFonts w:asciiTheme="minorHAnsi" w:hAnsiTheme="minorHAnsi"/>
              </w:rPr>
              <w:t>D</w:t>
            </w:r>
            <w:r w:rsidRPr="0056736D">
              <w:rPr>
                <w:rFonts w:asciiTheme="minorHAnsi" w:hAnsiTheme="minorHAnsi"/>
              </w:rPr>
              <w:t>obré výsledky ukazatele WACC v nejistém období na trhu, díky velmi nízkému zadlužení</w:t>
            </w:r>
          </w:p>
          <w:p w14:paraId="0861E181" w14:textId="2E1CD7A2" w:rsidR="00B743B3" w:rsidRPr="0077144C" w:rsidRDefault="00B743B3" w:rsidP="000B3212">
            <w:pPr>
              <w:pStyle w:val="Dalodstavce"/>
              <w:numPr>
                <w:ilvl w:val="0"/>
                <w:numId w:val="21"/>
              </w:numPr>
              <w:spacing w:before="0" w:after="0"/>
              <w:ind w:left="643"/>
              <w:jc w:val="left"/>
              <w:rPr>
                <w:rFonts w:asciiTheme="minorHAnsi" w:hAnsiTheme="minorHAnsi"/>
              </w:rPr>
            </w:pPr>
            <w:r>
              <w:rPr>
                <w:rFonts w:asciiTheme="minorHAnsi" w:hAnsiTheme="minorHAnsi"/>
              </w:rPr>
              <w:t>Pozitivní vývoj bonity v roce 2021 a predikce pozitivního vývoje do dalších let</w:t>
            </w:r>
          </w:p>
        </w:tc>
        <w:tc>
          <w:tcPr>
            <w:tcW w:w="4507" w:type="dxa"/>
            <w:vAlign w:val="top"/>
          </w:tcPr>
          <w:p w14:paraId="2E14B89A"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SLABÉ STRÁNKY (W)</w:t>
            </w:r>
          </w:p>
          <w:p w14:paraId="1F2958FE" w14:textId="77777777" w:rsidR="007D54E9" w:rsidRDefault="007D54E9" w:rsidP="007D54E9">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Neznámá vize firmy a obchodní strategie</w:t>
            </w:r>
          </w:p>
          <w:p w14:paraId="1047D215" w14:textId="77777777" w:rsidR="007D54E9" w:rsidRDefault="007D54E9" w:rsidP="007D54E9">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Nedostatečná marketingová podpora a nedostatečně známá značka</w:t>
            </w:r>
          </w:p>
          <w:p w14:paraId="2E5336E3" w14:textId="77777777" w:rsidR="007D54E9" w:rsidRDefault="007D54E9" w:rsidP="007D54E9">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Nedostatek zaměstnanců</w:t>
            </w:r>
          </w:p>
          <w:p w14:paraId="496D7257" w14:textId="77777777" w:rsidR="007D54E9" w:rsidRDefault="007D54E9" w:rsidP="007D54E9">
            <w:pPr>
              <w:pStyle w:val="Dalodstavce"/>
              <w:keepNext w:val="0"/>
              <w:keepLines w:val="0"/>
              <w:numPr>
                <w:ilvl w:val="0"/>
                <w:numId w:val="21"/>
              </w:numPr>
              <w:suppressAutoHyphens w:val="0"/>
              <w:spacing w:before="0" w:after="0"/>
              <w:ind w:left="530"/>
              <w:jc w:val="left"/>
              <w:rPr>
                <w:rFonts w:asciiTheme="minorHAnsi" w:hAnsiTheme="minorHAnsi"/>
              </w:rPr>
            </w:pPr>
            <w:r w:rsidRPr="00B27401">
              <w:rPr>
                <w:rFonts w:asciiTheme="minorHAnsi" w:hAnsiTheme="minorHAnsi"/>
              </w:rPr>
              <w:t>Nedostatečně formalizované procesní řízení</w:t>
            </w:r>
          </w:p>
          <w:p w14:paraId="6BFAC243" w14:textId="06C83F36" w:rsidR="00325491" w:rsidRPr="0077144C" w:rsidRDefault="007D54E9" w:rsidP="007D54E9">
            <w:pPr>
              <w:pStyle w:val="Dalodstavce"/>
              <w:numPr>
                <w:ilvl w:val="0"/>
                <w:numId w:val="21"/>
              </w:numPr>
              <w:spacing w:before="0" w:after="0"/>
              <w:ind w:left="530"/>
              <w:jc w:val="left"/>
              <w:rPr>
                <w:rFonts w:asciiTheme="minorHAnsi" w:hAnsiTheme="minorHAnsi"/>
              </w:rPr>
            </w:pPr>
            <w:r>
              <w:rPr>
                <w:rFonts w:asciiTheme="minorHAnsi" w:hAnsiTheme="minorHAnsi"/>
              </w:rPr>
              <w:t>Nedostatek financí a strategie pro expanzi do zahraničí</w:t>
            </w:r>
          </w:p>
          <w:p w14:paraId="6F84441A" w14:textId="77777777" w:rsidR="009D4C09" w:rsidRPr="0077144C" w:rsidRDefault="009D4C09" w:rsidP="009D4C09">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Pokles zisku v posledních 3 letech</w:t>
            </w:r>
          </w:p>
          <w:p w14:paraId="4035996C" w14:textId="77777777" w:rsidR="009D4C09" w:rsidRDefault="009D4C09" w:rsidP="009D4C09">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Závislost na cizích zdrojích a vysoké náklady na úroky</w:t>
            </w:r>
          </w:p>
          <w:p w14:paraId="634BA75D" w14:textId="77777777" w:rsidR="009D4C09" w:rsidRDefault="009D4C09" w:rsidP="009D4C09">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 xml:space="preserve">Obrovská náročnost na lidské zdroje a náklady s nimi spojené </w:t>
            </w:r>
          </w:p>
          <w:p w14:paraId="55EF4C9A" w14:textId="77777777" w:rsidR="00325491" w:rsidRDefault="009D4C09" w:rsidP="009D4C09">
            <w:pPr>
              <w:pStyle w:val="Dalodstavce"/>
              <w:numPr>
                <w:ilvl w:val="0"/>
                <w:numId w:val="21"/>
              </w:numPr>
              <w:spacing w:before="0" w:after="0"/>
              <w:ind w:left="530"/>
              <w:jc w:val="left"/>
              <w:rPr>
                <w:rFonts w:asciiTheme="minorHAnsi" w:hAnsiTheme="minorHAnsi"/>
              </w:rPr>
            </w:pPr>
            <w:r>
              <w:rPr>
                <w:rFonts w:asciiTheme="minorHAnsi" w:hAnsiTheme="minorHAnsi"/>
              </w:rPr>
              <w:t>Značné navýšení výrobních kapacit v době snížení odbytu</w:t>
            </w:r>
          </w:p>
          <w:p w14:paraId="590A29DF" w14:textId="77777777" w:rsidR="00F5640E" w:rsidRPr="00B043D4" w:rsidRDefault="00F5640E" w:rsidP="00F5640E">
            <w:pPr>
              <w:pStyle w:val="Dalodstavce"/>
              <w:numPr>
                <w:ilvl w:val="0"/>
                <w:numId w:val="21"/>
              </w:numPr>
              <w:spacing w:before="0" w:after="0"/>
              <w:ind w:left="530"/>
              <w:jc w:val="left"/>
              <w:rPr>
                <w:rFonts w:asciiTheme="minorHAnsi" w:hAnsiTheme="minorHAnsi"/>
              </w:rPr>
            </w:pPr>
            <w:r w:rsidRPr="00B043D4">
              <w:rPr>
                <w:rFonts w:asciiTheme="minorHAnsi" w:hAnsiTheme="minorHAnsi"/>
              </w:rPr>
              <w:t>Propad hodnot rentabilit v roce 2019</w:t>
            </w:r>
            <w:r>
              <w:rPr>
                <w:rFonts w:asciiTheme="minorHAnsi" w:hAnsiTheme="minorHAnsi"/>
              </w:rPr>
              <w:t xml:space="preserve"> a 2020</w:t>
            </w:r>
          </w:p>
          <w:p w14:paraId="75F54439" w14:textId="77777777" w:rsidR="00F5640E" w:rsidRDefault="00F5640E" w:rsidP="00F5640E">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Velmi vysoký obrat zásob</w:t>
            </w:r>
          </w:p>
          <w:p w14:paraId="5D473458" w14:textId="77777777" w:rsidR="00F5640E" w:rsidRDefault="00F5640E" w:rsidP="00F5640E">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 xml:space="preserve">Pokles produktivity práce při růstu počtu zaměstnanců </w:t>
            </w:r>
          </w:p>
          <w:p w14:paraId="0FAFF4B4" w14:textId="77777777" w:rsidR="00F5640E" w:rsidRDefault="00F5640E" w:rsidP="00F5640E">
            <w:pPr>
              <w:pStyle w:val="Dalodstavce"/>
              <w:keepNext w:val="0"/>
              <w:keepLines w:val="0"/>
              <w:numPr>
                <w:ilvl w:val="0"/>
                <w:numId w:val="21"/>
              </w:numPr>
              <w:suppressAutoHyphens w:val="0"/>
              <w:spacing w:before="0" w:after="0"/>
              <w:ind w:left="530"/>
              <w:jc w:val="left"/>
              <w:rPr>
                <w:rFonts w:asciiTheme="minorHAnsi" w:hAnsiTheme="minorHAnsi"/>
              </w:rPr>
            </w:pPr>
            <w:r w:rsidRPr="007038D6">
              <w:rPr>
                <w:rFonts w:asciiTheme="minorHAnsi" w:hAnsiTheme="minorHAnsi"/>
              </w:rPr>
              <w:t xml:space="preserve">Personální náročnost výroby </w:t>
            </w:r>
          </w:p>
          <w:p w14:paraId="6C4B63F8" w14:textId="77777777" w:rsidR="00F5640E" w:rsidRDefault="00F5640E" w:rsidP="00F5640E">
            <w:pPr>
              <w:pStyle w:val="Dalodstavce"/>
              <w:keepNext w:val="0"/>
              <w:keepLines w:val="0"/>
              <w:numPr>
                <w:ilvl w:val="0"/>
                <w:numId w:val="21"/>
              </w:numPr>
              <w:suppressAutoHyphens w:val="0"/>
              <w:spacing w:before="0" w:after="0"/>
              <w:ind w:left="530"/>
              <w:jc w:val="left"/>
              <w:rPr>
                <w:rFonts w:asciiTheme="minorHAnsi" w:hAnsiTheme="minorHAnsi"/>
              </w:rPr>
            </w:pPr>
            <w:r w:rsidRPr="007038D6">
              <w:rPr>
                <w:rFonts w:asciiTheme="minorHAnsi" w:hAnsiTheme="minorHAnsi"/>
              </w:rPr>
              <w:t>Vysoké personální náklady</w:t>
            </w:r>
          </w:p>
          <w:p w14:paraId="23472558" w14:textId="77777777" w:rsidR="00F5640E" w:rsidRDefault="00F5640E" w:rsidP="00F5640E">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 xml:space="preserve">Nepřiměřeně vysoká likvidita </w:t>
            </w:r>
          </w:p>
          <w:p w14:paraId="2392868B" w14:textId="77777777" w:rsidR="00F5640E" w:rsidRDefault="00F5640E" w:rsidP="00F5640E">
            <w:pPr>
              <w:pStyle w:val="Dalodstavce"/>
              <w:numPr>
                <w:ilvl w:val="0"/>
                <w:numId w:val="21"/>
              </w:numPr>
              <w:spacing w:before="0" w:after="0"/>
              <w:ind w:left="530"/>
              <w:jc w:val="left"/>
              <w:rPr>
                <w:rFonts w:asciiTheme="minorHAnsi" w:hAnsiTheme="minorHAnsi"/>
              </w:rPr>
            </w:pPr>
            <w:r>
              <w:rPr>
                <w:rFonts w:asciiTheme="minorHAnsi" w:hAnsiTheme="minorHAnsi"/>
              </w:rPr>
              <w:t>Velká úroková zátěž v porovnání s nízkými současnými zisky</w:t>
            </w:r>
          </w:p>
          <w:p w14:paraId="26C437B7" w14:textId="77777777" w:rsidR="00790DCD" w:rsidRPr="00790DCD" w:rsidRDefault="00790DCD" w:rsidP="00790DCD">
            <w:pPr>
              <w:pStyle w:val="Dalodstavce"/>
              <w:keepNext w:val="0"/>
              <w:keepLines w:val="0"/>
              <w:numPr>
                <w:ilvl w:val="0"/>
                <w:numId w:val="21"/>
              </w:numPr>
              <w:suppressAutoHyphens w:val="0"/>
              <w:spacing w:before="0" w:after="0"/>
              <w:ind w:left="530"/>
              <w:jc w:val="left"/>
              <w:rPr>
                <w:rFonts w:asciiTheme="minorHAnsi" w:hAnsiTheme="minorHAnsi"/>
              </w:rPr>
            </w:pPr>
            <w:r w:rsidRPr="00790DCD">
              <w:rPr>
                <w:rFonts w:asciiTheme="minorHAnsi" w:hAnsiTheme="minorHAnsi"/>
              </w:rPr>
              <w:t xml:space="preserve">Velká konzervativnost – nízké využití finanční páky a averze k riziku </w:t>
            </w:r>
          </w:p>
          <w:p w14:paraId="2A3E771E" w14:textId="77777777" w:rsidR="00790DCD" w:rsidRDefault="00790DCD" w:rsidP="00790DCD">
            <w:pPr>
              <w:pStyle w:val="Dalodstavce"/>
              <w:numPr>
                <w:ilvl w:val="0"/>
                <w:numId w:val="21"/>
              </w:numPr>
              <w:spacing w:before="0" w:after="0"/>
              <w:ind w:left="530"/>
              <w:jc w:val="left"/>
              <w:rPr>
                <w:rFonts w:asciiTheme="minorHAnsi" w:hAnsiTheme="minorHAnsi"/>
              </w:rPr>
            </w:pPr>
            <w:r w:rsidRPr="00790DCD">
              <w:rPr>
                <w:rFonts w:asciiTheme="minorHAnsi" w:hAnsiTheme="minorHAnsi"/>
              </w:rPr>
              <w:t>Velké zvýšení výkonové spotřeby a osobních nákladů v době poklesu poptávky</w:t>
            </w:r>
          </w:p>
          <w:p w14:paraId="0DFB67C6" w14:textId="716909B9" w:rsidR="006F08C2" w:rsidRPr="0077144C" w:rsidRDefault="006F08C2" w:rsidP="00790DCD">
            <w:pPr>
              <w:pStyle w:val="Dalodstavce"/>
              <w:numPr>
                <w:ilvl w:val="0"/>
                <w:numId w:val="21"/>
              </w:numPr>
              <w:spacing w:before="0" w:after="0"/>
              <w:ind w:left="530"/>
              <w:jc w:val="left"/>
              <w:rPr>
                <w:rFonts w:asciiTheme="minorHAnsi" w:hAnsiTheme="minorHAnsi"/>
              </w:rPr>
            </w:pPr>
            <w:r>
              <w:rPr>
                <w:rFonts w:asciiTheme="minorHAnsi" w:hAnsiTheme="minorHAnsi"/>
              </w:rPr>
              <w:t>Propad poměrových ukazatelů a bonitních ukazatelů v letech 2019 a 2020</w:t>
            </w:r>
          </w:p>
        </w:tc>
      </w:tr>
      <w:tr w:rsidR="00325491" w:rsidRPr="0077144C" w14:paraId="0CA931AC" w14:textId="77777777">
        <w:trPr>
          <w:cantSplit/>
          <w:trHeight w:val="2955"/>
          <w:jc w:val="left"/>
        </w:trPr>
        <w:tc>
          <w:tcPr>
            <w:tcW w:w="600" w:type="dxa"/>
            <w:shd w:val="clear" w:color="auto" w:fill="D9E2F3" w:themeFill="accent5" w:themeFillTint="33"/>
            <w:textDirection w:val="btLr"/>
          </w:tcPr>
          <w:p w14:paraId="324346DE" w14:textId="77777777" w:rsidR="00325491" w:rsidRPr="0077144C" w:rsidRDefault="00325491">
            <w:pPr>
              <w:pStyle w:val="Dalodstavce"/>
              <w:spacing w:before="0" w:after="0"/>
              <w:ind w:left="113" w:right="113" w:firstLine="0"/>
              <w:jc w:val="center"/>
              <w:rPr>
                <w:rFonts w:asciiTheme="minorHAnsi" w:hAnsiTheme="minorHAnsi"/>
              </w:rPr>
            </w:pPr>
            <w:r w:rsidRPr="0077144C">
              <w:rPr>
                <w:rFonts w:asciiTheme="minorHAnsi" w:hAnsiTheme="minorHAnsi"/>
              </w:rPr>
              <w:lastRenderedPageBreak/>
              <w:t>VNĚJŠÍ PROSTŘEDÍ</w:t>
            </w:r>
          </w:p>
        </w:tc>
        <w:tc>
          <w:tcPr>
            <w:tcW w:w="4506" w:type="dxa"/>
            <w:vAlign w:val="top"/>
          </w:tcPr>
          <w:p w14:paraId="5A028658"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PŘÍLEŽITOSTI (O)</w:t>
            </w:r>
          </w:p>
          <w:p w14:paraId="688FE786" w14:textId="77777777" w:rsidR="00FE52AB" w:rsidRDefault="00FE52AB" w:rsidP="00FE52AB">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Přechod na zelenou energii v automobilovém průmyslu a s tím spojené dotační příležitosti</w:t>
            </w:r>
          </w:p>
          <w:p w14:paraId="73B1E13C" w14:textId="77777777" w:rsidR="00FE52AB" w:rsidRDefault="00FE52AB" w:rsidP="00FE52AB">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Rychle rostoucí trh, nové technologie a objevy</w:t>
            </w:r>
          </w:p>
          <w:p w14:paraId="0A1AA7AC" w14:textId="77777777" w:rsidR="00FE52AB" w:rsidRPr="00D66CB8" w:rsidRDefault="00FE52AB" w:rsidP="00FE52AB">
            <w:pPr>
              <w:pStyle w:val="Dalodstavce"/>
              <w:keepNext w:val="0"/>
              <w:keepLines w:val="0"/>
              <w:numPr>
                <w:ilvl w:val="0"/>
                <w:numId w:val="21"/>
              </w:numPr>
              <w:suppressAutoHyphens w:val="0"/>
              <w:spacing w:before="0" w:after="0"/>
              <w:ind w:left="530"/>
              <w:jc w:val="left"/>
              <w:rPr>
                <w:rFonts w:asciiTheme="minorHAnsi" w:hAnsiTheme="minorHAnsi"/>
              </w:rPr>
            </w:pPr>
            <w:r w:rsidRPr="00D66CB8">
              <w:rPr>
                <w:rFonts w:asciiTheme="minorHAnsi" w:hAnsiTheme="minorHAnsi"/>
              </w:rPr>
              <w:t>Vhodná vládní nařízení a nařízení EU podporující oblasti regionálního rozvoje a rozvoje v oblasti technologických inovací</w:t>
            </w:r>
          </w:p>
          <w:p w14:paraId="13035625" w14:textId="77777777" w:rsidR="00493AE3" w:rsidRDefault="00493AE3" w:rsidP="00493AE3">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 xml:space="preserve">Rostoucí trh a nové příležitosti v oblasti elektromobility </w:t>
            </w:r>
          </w:p>
          <w:p w14:paraId="020C913A" w14:textId="77777777" w:rsidR="00493AE3" w:rsidRDefault="00493AE3" w:rsidP="00493AE3">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 xml:space="preserve">Příchod nových potenciálních partnerů na trh </w:t>
            </w:r>
          </w:p>
          <w:p w14:paraId="7C745629" w14:textId="77777777" w:rsidR="00325491" w:rsidRDefault="00493AE3" w:rsidP="00493AE3">
            <w:pPr>
              <w:pStyle w:val="Dalodstavce"/>
              <w:numPr>
                <w:ilvl w:val="0"/>
                <w:numId w:val="21"/>
              </w:numPr>
              <w:spacing w:before="0" w:after="0"/>
              <w:ind w:left="530"/>
              <w:jc w:val="left"/>
              <w:rPr>
                <w:rFonts w:asciiTheme="minorHAnsi" w:hAnsiTheme="minorHAnsi"/>
              </w:rPr>
            </w:pPr>
            <w:r>
              <w:rPr>
                <w:rFonts w:asciiTheme="minorHAnsi" w:hAnsiTheme="minorHAnsi"/>
              </w:rPr>
              <w:t>Příchod pracovní síly ze zahraničí</w:t>
            </w:r>
          </w:p>
          <w:p w14:paraId="0948AFC8" w14:textId="77777777" w:rsidR="00CF6772" w:rsidRDefault="00CF6772" w:rsidP="00CF6772">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 xml:space="preserve">Volné peněžní prostředky, které společnost může investovat do automatizace a strojů – případné snížení množství zaměstnanců </w:t>
            </w:r>
          </w:p>
          <w:p w14:paraId="2E90479B" w14:textId="77777777" w:rsidR="00CF6772" w:rsidRDefault="00AE5323" w:rsidP="00493AE3">
            <w:pPr>
              <w:pStyle w:val="Dalodstavce"/>
              <w:numPr>
                <w:ilvl w:val="0"/>
                <w:numId w:val="21"/>
              </w:numPr>
              <w:spacing w:before="0" w:after="0"/>
              <w:ind w:left="530"/>
              <w:jc w:val="left"/>
              <w:rPr>
                <w:rFonts w:asciiTheme="minorHAnsi" w:hAnsiTheme="minorHAnsi"/>
              </w:rPr>
            </w:pPr>
            <w:r w:rsidRPr="00AE5323">
              <w:rPr>
                <w:rFonts w:asciiTheme="minorHAnsi" w:hAnsiTheme="minorHAnsi"/>
              </w:rPr>
              <w:t>Potenciální růst tržeb v budoucnosti díky vyšším kapacitám, novým strojům a více zaměstnancům</w:t>
            </w:r>
          </w:p>
          <w:p w14:paraId="2DE8BF31" w14:textId="2AFA6223" w:rsidR="007F5759" w:rsidRPr="0077144C" w:rsidRDefault="007F5759" w:rsidP="00493AE3">
            <w:pPr>
              <w:pStyle w:val="Dalodstavce"/>
              <w:numPr>
                <w:ilvl w:val="0"/>
                <w:numId w:val="21"/>
              </w:numPr>
              <w:spacing w:before="0" w:after="0"/>
              <w:ind w:left="530"/>
              <w:jc w:val="left"/>
              <w:rPr>
                <w:rFonts w:asciiTheme="minorHAnsi" w:hAnsiTheme="minorHAnsi"/>
              </w:rPr>
            </w:pPr>
            <w:r>
              <w:rPr>
                <w:rFonts w:asciiTheme="minorHAnsi" w:hAnsiTheme="minorHAnsi"/>
              </w:rPr>
              <w:t>Velký význam podnikatelských odvětví v české ekonomice – velký potenciál růstu</w:t>
            </w:r>
          </w:p>
        </w:tc>
        <w:tc>
          <w:tcPr>
            <w:tcW w:w="4507" w:type="dxa"/>
            <w:vAlign w:val="top"/>
          </w:tcPr>
          <w:p w14:paraId="54FB7518" w14:textId="77777777" w:rsidR="00325491" w:rsidRPr="0077144C" w:rsidRDefault="00325491">
            <w:pPr>
              <w:pStyle w:val="Dalodstavce"/>
              <w:spacing w:before="0" w:after="0"/>
              <w:ind w:firstLine="0"/>
              <w:jc w:val="left"/>
              <w:rPr>
                <w:rFonts w:asciiTheme="minorHAnsi" w:hAnsiTheme="minorHAnsi"/>
                <w:b/>
                <w:bCs/>
              </w:rPr>
            </w:pPr>
            <w:r w:rsidRPr="0077144C">
              <w:rPr>
                <w:rFonts w:asciiTheme="minorHAnsi" w:hAnsiTheme="minorHAnsi"/>
                <w:b/>
                <w:bCs/>
              </w:rPr>
              <w:t>HROZBY (T)</w:t>
            </w:r>
          </w:p>
          <w:p w14:paraId="2BA58B25" w14:textId="77777777" w:rsidR="00AE1F89" w:rsidRDefault="00AE1F89" w:rsidP="00AE1F89">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Závislost automobilového průmyslu na ekonomickém cyklu</w:t>
            </w:r>
          </w:p>
          <w:p w14:paraId="08D7C4E4" w14:textId="77777777" w:rsidR="00AE1F89" w:rsidRDefault="00AE1F89" w:rsidP="00AE1F89">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Silná konkurence v oblasti výroby pracovních oděvů</w:t>
            </w:r>
          </w:p>
          <w:p w14:paraId="58A90604" w14:textId="77777777" w:rsidR="00AE1F89" w:rsidRDefault="00AE1F89" w:rsidP="00AE1F89">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Potenciální konkurence způsobená robotizací a automatizací výroby</w:t>
            </w:r>
          </w:p>
          <w:p w14:paraId="6758A137" w14:textId="77777777" w:rsidR="00AE1F89" w:rsidRDefault="00AE1F89" w:rsidP="00AE1F89">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Demografie – stárnutí populace a stěhování do měst</w:t>
            </w:r>
          </w:p>
          <w:p w14:paraId="4E2DAC0C" w14:textId="77777777" w:rsidR="00AE1F89" w:rsidRDefault="00AE1F89" w:rsidP="00AE1F89">
            <w:pPr>
              <w:pStyle w:val="Dalodstavce"/>
              <w:keepNext w:val="0"/>
              <w:keepLines w:val="0"/>
              <w:numPr>
                <w:ilvl w:val="0"/>
                <w:numId w:val="21"/>
              </w:numPr>
              <w:suppressAutoHyphens w:val="0"/>
              <w:spacing w:before="0" w:after="0"/>
              <w:ind w:left="530"/>
              <w:jc w:val="left"/>
              <w:rPr>
                <w:rFonts w:asciiTheme="minorHAnsi" w:hAnsiTheme="minorHAnsi"/>
              </w:rPr>
            </w:pPr>
            <w:r w:rsidRPr="00D66CB8">
              <w:rPr>
                <w:rFonts w:asciiTheme="minorHAnsi" w:hAnsiTheme="minorHAnsi"/>
              </w:rPr>
              <w:t>Snižování využívání automobilů</w:t>
            </w:r>
          </w:p>
          <w:p w14:paraId="414DC03D" w14:textId="77777777" w:rsidR="00ED12BE" w:rsidRDefault="00ED12BE" w:rsidP="00ED12BE">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Vysoká inflace a úrokové sazby</w:t>
            </w:r>
          </w:p>
          <w:p w14:paraId="5ED4B77B" w14:textId="77777777" w:rsidR="00ED12BE" w:rsidRDefault="00ED12BE" w:rsidP="00ED12BE">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Závislost na ekonomickém cyklu (viz pokles zisku v období pandemie a v letech 2009 a 2010)</w:t>
            </w:r>
          </w:p>
          <w:p w14:paraId="218FC2ED" w14:textId="77777777" w:rsidR="00ED12BE" w:rsidRDefault="00ED12BE" w:rsidP="00ED12BE">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Růst mezd v automobilovém odvětví</w:t>
            </w:r>
          </w:p>
          <w:p w14:paraId="3909C0A9" w14:textId="77777777" w:rsidR="00325491" w:rsidRDefault="00ED12BE" w:rsidP="00ED12BE">
            <w:pPr>
              <w:pStyle w:val="Dalodstavce"/>
              <w:numPr>
                <w:ilvl w:val="0"/>
                <w:numId w:val="21"/>
              </w:numPr>
              <w:spacing w:before="0" w:after="0"/>
              <w:ind w:left="530"/>
              <w:jc w:val="left"/>
              <w:rPr>
                <w:rFonts w:asciiTheme="minorHAnsi" w:hAnsiTheme="minorHAnsi"/>
              </w:rPr>
            </w:pPr>
            <w:r>
              <w:rPr>
                <w:rFonts w:asciiTheme="minorHAnsi" w:hAnsiTheme="minorHAnsi"/>
              </w:rPr>
              <w:t>Nízká nezaměstnanost</w:t>
            </w:r>
          </w:p>
          <w:p w14:paraId="76775539" w14:textId="77777777" w:rsidR="00E70685" w:rsidRDefault="00E70685" w:rsidP="00E70685">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 xml:space="preserve">Ekonomická nestabilita způsobující nízké zisky společnosti </w:t>
            </w:r>
          </w:p>
          <w:p w14:paraId="1E6114A8" w14:textId="77777777" w:rsidR="00E70685" w:rsidRDefault="00E70685" w:rsidP="00E70685">
            <w:pPr>
              <w:pStyle w:val="Dalodstavce"/>
              <w:numPr>
                <w:ilvl w:val="0"/>
                <w:numId w:val="21"/>
              </w:numPr>
              <w:spacing w:before="0" w:after="0"/>
              <w:ind w:left="530"/>
              <w:jc w:val="left"/>
              <w:rPr>
                <w:rFonts w:asciiTheme="minorHAnsi" w:hAnsiTheme="minorHAnsi"/>
              </w:rPr>
            </w:pPr>
            <w:r>
              <w:rPr>
                <w:rFonts w:asciiTheme="minorHAnsi" w:hAnsiTheme="minorHAnsi"/>
              </w:rPr>
              <w:t>Nedostatečné množství zakázek pro vysoký počet zaměstnanců</w:t>
            </w:r>
          </w:p>
          <w:p w14:paraId="1712F9CB" w14:textId="77777777" w:rsidR="00C64DCF" w:rsidRDefault="00C64DCF" w:rsidP="00C64DCF">
            <w:pPr>
              <w:pStyle w:val="Dalodstavce"/>
              <w:keepNext w:val="0"/>
              <w:keepLines w:val="0"/>
              <w:numPr>
                <w:ilvl w:val="0"/>
                <w:numId w:val="21"/>
              </w:numPr>
              <w:suppressAutoHyphens w:val="0"/>
              <w:spacing w:before="0" w:after="0"/>
              <w:ind w:left="530"/>
              <w:jc w:val="left"/>
              <w:rPr>
                <w:rFonts w:asciiTheme="minorHAnsi" w:hAnsiTheme="minorHAnsi"/>
              </w:rPr>
            </w:pPr>
            <w:r>
              <w:rPr>
                <w:rFonts w:asciiTheme="minorHAnsi" w:hAnsiTheme="minorHAnsi"/>
              </w:rPr>
              <w:t>Krize v ekonomice by mohla vést ke snížení poptávky</w:t>
            </w:r>
          </w:p>
          <w:p w14:paraId="4DC7FFB2" w14:textId="4E059BCA" w:rsidR="00C64DCF" w:rsidRPr="0077144C" w:rsidRDefault="00C64DCF" w:rsidP="00C64DCF">
            <w:pPr>
              <w:pStyle w:val="Dalodstavce"/>
              <w:numPr>
                <w:ilvl w:val="0"/>
                <w:numId w:val="21"/>
              </w:numPr>
              <w:spacing w:before="0" w:after="0"/>
              <w:ind w:left="530"/>
              <w:jc w:val="left"/>
              <w:rPr>
                <w:rFonts w:asciiTheme="minorHAnsi" w:hAnsiTheme="minorHAnsi"/>
              </w:rPr>
            </w:pPr>
            <w:r>
              <w:rPr>
                <w:rFonts w:asciiTheme="minorHAnsi" w:hAnsiTheme="minorHAnsi"/>
              </w:rPr>
              <w:t>Vysoká inflace vedoucí k vyšším úrokovým mírám a zvyšujícím se cenám vstupů výroby</w:t>
            </w:r>
          </w:p>
        </w:tc>
      </w:tr>
    </w:tbl>
    <w:p w14:paraId="56AA6C6C" w14:textId="77777777" w:rsidR="009D3C27" w:rsidRPr="00603FE4" w:rsidRDefault="009D3C27" w:rsidP="00603FE4">
      <w:pPr>
        <w:pStyle w:val="Odstavec1"/>
      </w:pPr>
    </w:p>
    <w:p w14:paraId="03CD1A5E" w14:textId="77777777" w:rsidR="00B90C89" w:rsidRDefault="00B90C89" w:rsidP="00747FF7">
      <w:pPr>
        <w:pStyle w:val="Dalodstavce"/>
      </w:pPr>
    </w:p>
    <w:p w14:paraId="786A2711" w14:textId="77777777" w:rsidR="00DD22B6" w:rsidRDefault="00DD22B6" w:rsidP="00747FF7">
      <w:pPr>
        <w:pStyle w:val="Dalodstavce"/>
      </w:pPr>
    </w:p>
    <w:p w14:paraId="7ECF4720" w14:textId="77777777" w:rsidR="00DD22B6" w:rsidRDefault="00DD22B6" w:rsidP="00747FF7">
      <w:pPr>
        <w:pStyle w:val="Dalodstavce"/>
      </w:pPr>
    </w:p>
    <w:p w14:paraId="06500C38" w14:textId="77777777" w:rsidR="00DD22B6" w:rsidRDefault="00DD22B6" w:rsidP="00747FF7">
      <w:pPr>
        <w:pStyle w:val="Dalodstavce"/>
      </w:pPr>
    </w:p>
    <w:p w14:paraId="254CFDCA" w14:textId="77777777" w:rsidR="00DD22B6" w:rsidRDefault="00DD22B6" w:rsidP="00747FF7">
      <w:pPr>
        <w:pStyle w:val="Dalodstavce"/>
      </w:pPr>
    </w:p>
    <w:p w14:paraId="5E979747" w14:textId="77777777" w:rsidR="00DD22B6" w:rsidRDefault="00DD22B6" w:rsidP="00747FF7">
      <w:pPr>
        <w:pStyle w:val="Dalodstavce"/>
      </w:pPr>
    </w:p>
    <w:p w14:paraId="02EF6BB9" w14:textId="77777777" w:rsidR="00DD22B6" w:rsidRDefault="00DD22B6" w:rsidP="00747FF7">
      <w:pPr>
        <w:pStyle w:val="Dalodstavce"/>
      </w:pPr>
    </w:p>
    <w:p w14:paraId="5EA8FE7C" w14:textId="77777777" w:rsidR="00DD22B6" w:rsidRDefault="00DD22B6" w:rsidP="00747FF7">
      <w:pPr>
        <w:pStyle w:val="Dalodstavce"/>
      </w:pPr>
    </w:p>
    <w:p w14:paraId="5A190146" w14:textId="77777777" w:rsidR="00DD22B6" w:rsidRDefault="00DD22B6" w:rsidP="00747FF7">
      <w:pPr>
        <w:pStyle w:val="Dalodstavce"/>
      </w:pPr>
    </w:p>
    <w:p w14:paraId="6467C9B4" w14:textId="77777777" w:rsidR="00DD22B6" w:rsidRDefault="00DD22B6" w:rsidP="00747FF7">
      <w:pPr>
        <w:pStyle w:val="Dalodstavce"/>
      </w:pPr>
    </w:p>
    <w:p w14:paraId="10944455" w14:textId="03B9CE93" w:rsidR="00DD22B6" w:rsidRDefault="00DD22B6" w:rsidP="00517718">
      <w:pPr>
        <w:pStyle w:val="Nadpis1"/>
        <w:numPr>
          <w:ilvl w:val="0"/>
          <w:numId w:val="0"/>
        </w:numPr>
      </w:pPr>
      <w:r>
        <w:lastRenderedPageBreak/>
        <w:t>Použité zdroje</w:t>
      </w:r>
    </w:p>
    <w:p w14:paraId="78BC5DB6" w14:textId="77777777" w:rsidR="00A05BD0" w:rsidRDefault="00517718" w:rsidP="00517718">
      <w:pPr>
        <w:pStyle w:val="Dalodstavce"/>
        <w:ind w:firstLine="0"/>
      </w:pPr>
      <w:r>
        <w:t>Primárním zdrojem a inspirací pro výpočet jednotlivých ukazatelů byly studijní materiály předmětu</w:t>
      </w:r>
      <w:r w:rsidR="00E35E4E">
        <w:t xml:space="preserve"> Finanční management</w:t>
      </w:r>
      <w:r>
        <w:t xml:space="preserve"> a prezentace z</w:t>
      </w:r>
      <w:r w:rsidR="00E35E4E">
        <w:t> </w:t>
      </w:r>
      <w:r>
        <w:t>přednáše</w:t>
      </w:r>
      <w:r w:rsidR="00E35E4E">
        <w:t xml:space="preserve">k. Pro popis současné ekonomické situace, pomocné vzorce či dovysvětlení některých kapitol byly využity zároveň i následující zdroje, které jsou postupně uváděny pod čarou </w:t>
      </w:r>
      <w:r w:rsidR="004F2118">
        <w:t>v celé této práci.  Zdroje jsou následující</w:t>
      </w:r>
      <w:r w:rsidR="00A05BD0">
        <w:t>:</w:t>
      </w:r>
    </w:p>
    <w:p w14:paraId="46CBCACA" w14:textId="77777777" w:rsidR="00A05BD0" w:rsidRPr="00A05BD0" w:rsidRDefault="00A05BD0" w:rsidP="00A05BD0">
      <w:pPr>
        <w:pStyle w:val="Textpoznpodarou"/>
        <w:numPr>
          <w:ilvl w:val="0"/>
          <w:numId w:val="33"/>
        </w:numPr>
        <w:rPr>
          <w:sz w:val="22"/>
          <w:szCs w:val="22"/>
        </w:rPr>
      </w:pPr>
      <w:r w:rsidRPr="00A05BD0">
        <w:rPr>
          <w:sz w:val="22"/>
          <w:szCs w:val="22"/>
        </w:rPr>
        <w:t>Knápková, A., Pavelková, D., Remeš, D. &amp; Šteker, K. (2017). Finanční analýza. </w:t>
      </w:r>
      <w:r w:rsidRPr="00A05BD0">
        <w:rPr>
          <w:i/>
          <w:iCs/>
          <w:sz w:val="22"/>
          <w:szCs w:val="22"/>
        </w:rPr>
        <w:t>Komplexní průvodce s příklady. 3. Vyd. Praha: Grada Publishing, a.s.</w:t>
      </w:r>
      <w:r w:rsidRPr="00A05BD0">
        <w:rPr>
          <w:sz w:val="22"/>
          <w:szCs w:val="22"/>
        </w:rPr>
        <w:t xml:space="preserve"> ISBN 978-80-271-0910-4</w:t>
      </w:r>
    </w:p>
    <w:p w14:paraId="132F7D8E" w14:textId="77777777" w:rsidR="00A05BD0" w:rsidRPr="00A05BD0" w:rsidRDefault="00020ABA" w:rsidP="00A05BD0">
      <w:pPr>
        <w:pStyle w:val="Textpoznpodarou"/>
        <w:numPr>
          <w:ilvl w:val="0"/>
          <w:numId w:val="33"/>
        </w:numPr>
        <w:rPr>
          <w:sz w:val="22"/>
          <w:szCs w:val="22"/>
        </w:rPr>
      </w:pPr>
      <w:hyperlink r:id="rId76" w:history="1">
        <w:r w:rsidR="00A05BD0" w:rsidRPr="00A05BD0">
          <w:rPr>
            <w:rStyle w:val="Hypertextovodkaz"/>
            <w:sz w:val="22"/>
            <w:szCs w:val="22"/>
          </w:rPr>
          <w:t>https://www.grand.cz/vyroba-odevu.php</w:t>
        </w:r>
      </w:hyperlink>
      <w:r w:rsidR="00A05BD0" w:rsidRPr="00A05BD0">
        <w:rPr>
          <w:sz w:val="22"/>
          <w:szCs w:val="22"/>
        </w:rPr>
        <w:t xml:space="preserve"> </w:t>
      </w:r>
    </w:p>
    <w:p w14:paraId="1FF06E1B" w14:textId="77777777" w:rsidR="00A05BD0" w:rsidRPr="00A05BD0" w:rsidRDefault="00020ABA" w:rsidP="00A05BD0">
      <w:pPr>
        <w:pStyle w:val="Textpoznpodarou"/>
        <w:numPr>
          <w:ilvl w:val="0"/>
          <w:numId w:val="33"/>
        </w:numPr>
        <w:rPr>
          <w:sz w:val="22"/>
          <w:szCs w:val="22"/>
        </w:rPr>
      </w:pPr>
      <w:hyperlink r:id="rId77" w:history="1">
        <w:r w:rsidR="00A05BD0" w:rsidRPr="00A05BD0">
          <w:rPr>
            <w:rStyle w:val="Hypertextovodkaz"/>
            <w:sz w:val="22"/>
            <w:szCs w:val="22"/>
          </w:rPr>
          <w:t>https://www.profimex.cz/</w:t>
        </w:r>
      </w:hyperlink>
      <w:r w:rsidR="00A05BD0" w:rsidRPr="00A05BD0">
        <w:rPr>
          <w:sz w:val="22"/>
          <w:szCs w:val="22"/>
        </w:rPr>
        <w:t xml:space="preserve"> </w:t>
      </w:r>
    </w:p>
    <w:p w14:paraId="65BCBA27" w14:textId="77777777" w:rsidR="00A05BD0" w:rsidRPr="00A05BD0" w:rsidRDefault="00020ABA" w:rsidP="00A05BD0">
      <w:pPr>
        <w:pStyle w:val="Textpoznpodarou"/>
        <w:numPr>
          <w:ilvl w:val="0"/>
          <w:numId w:val="33"/>
        </w:numPr>
        <w:rPr>
          <w:sz w:val="22"/>
          <w:szCs w:val="22"/>
        </w:rPr>
      </w:pPr>
      <w:hyperlink r:id="rId78" w:history="1">
        <w:r w:rsidR="00A05BD0" w:rsidRPr="00A05BD0">
          <w:rPr>
            <w:rStyle w:val="Hypertextovodkaz"/>
            <w:sz w:val="22"/>
            <w:szCs w:val="22"/>
          </w:rPr>
          <w:t>https://www.tomiscz.cz/</w:t>
        </w:r>
      </w:hyperlink>
      <w:r w:rsidR="00A05BD0" w:rsidRPr="00A05BD0">
        <w:rPr>
          <w:sz w:val="22"/>
          <w:szCs w:val="22"/>
        </w:rPr>
        <w:t xml:space="preserve"> </w:t>
      </w:r>
    </w:p>
    <w:p w14:paraId="143E5ACA" w14:textId="77777777" w:rsidR="00A05BD0" w:rsidRPr="00A05BD0" w:rsidRDefault="00020ABA" w:rsidP="00A05BD0">
      <w:pPr>
        <w:pStyle w:val="Textpoznpodarou"/>
        <w:numPr>
          <w:ilvl w:val="0"/>
          <w:numId w:val="33"/>
        </w:numPr>
        <w:rPr>
          <w:sz w:val="22"/>
          <w:szCs w:val="22"/>
        </w:rPr>
      </w:pPr>
      <w:hyperlink r:id="rId79" w:history="1">
        <w:r w:rsidR="00A05BD0" w:rsidRPr="00A05BD0">
          <w:rPr>
            <w:rStyle w:val="Hypertextovodkaz"/>
            <w:sz w:val="22"/>
            <w:szCs w:val="22"/>
          </w:rPr>
          <w:t>https://www.engelbert-strauss.cz/</w:t>
        </w:r>
      </w:hyperlink>
      <w:r w:rsidR="00A05BD0" w:rsidRPr="00A05BD0">
        <w:rPr>
          <w:sz w:val="22"/>
          <w:szCs w:val="22"/>
        </w:rPr>
        <w:t xml:space="preserve"> </w:t>
      </w:r>
    </w:p>
    <w:p w14:paraId="372DAB16" w14:textId="77777777" w:rsidR="00A05BD0" w:rsidRPr="00A05BD0" w:rsidRDefault="00020ABA" w:rsidP="00A05BD0">
      <w:pPr>
        <w:pStyle w:val="Textpoznpodarou"/>
        <w:numPr>
          <w:ilvl w:val="0"/>
          <w:numId w:val="33"/>
        </w:numPr>
        <w:rPr>
          <w:sz w:val="22"/>
          <w:szCs w:val="22"/>
        </w:rPr>
      </w:pPr>
      <w:hyperlink r:id="rId80" w:history="1">
        <w:r w:rsidR="00A05BD0" w:rsidRPr="00A05BD0">
          <w:rPr>
            <w:rStyle w:val="Hypertextovodkaz"/>
            <w:sz w:val="22"/>
            <w:szCs w:val="22"/>
          </w:rPr>
          <w:t>https://www.smartmen.cz/fr/profesni-odevy/vyroba-a-prumysl</w:t>
        </w:r>
      </w:hyperlink>
      <w:r w:rsidR="00A05BD0" w:rsidRPr="00A05BD0">
        <w:rPr>
          <w:sz w:val="22"/>
          <w:szCs w:val="22"/>
        </w:rPr>
        <w:t xml:space="preserve"> </w:t>
      </w:r>
    </w:p>
    <w:p w14:paraId="6E092B34" w14:textId="77777777" w:rsidR="00A05BD0" w:rsidRPr="00A05BD0" w:rsidRDefault="00020ABA" w:rsidP="00A05BD0">
      <w:pPr>
        <w:pStyle w:val="Textpoznpodarou"/>
        <w:numPr>
          <w:ilvl w:val="0"/>
          <w:numId w:val="33"/>
        </w:numPr>
        <w:rPr>
          <w:sz w:val="22"/>
          <w:szCs w:val="22"/>
        </w:rPr>
      </w:pPr>
      <w:hyperlink r:id="rId81" w:history="1">
        <w:r w:rsidR="00A05BD0" w:rsidRPr="00A05BD0">
          <w:rPr>
            <w:rStyle w:val="Hypertextovodkaz"/>
            <w:sz w:val="22"/>
            <w:szCs w:val="22"/>
          </w:rPr>
          <w:t>https://www.tmt.cz/novinky/automaticka-linka-pro-montaz-autodilu/</w:t>
        </w:r>
      </w:hyperlink>
      <w:r w:rsidR="00A05BD0" w:rsidRPr="00A05BD0">
        <w:rPr>
          <w:sz w:val="22"/>
          <w:szCs w:val="22"/>
        </w:rPr>
        <w:t xml:space="preserve"> </w:t>
      </w:r>
    </w:p>
    <w:p w14:paraId="70CB5D47" w14:textId="77777777" w:rsidR="00A05BD0" w:rsidRPr="00A05BD0" w:rsidRDefault="00020ABA" w:rsidP="00A05BD0">
      <w:pPr>
        <w:pStyle w:val="Textpoznpodarou"/>
        <w:numPr>
          <w:ilvl w:val="0"/>
          <w:numId w:val="33"/>
        </w:numPr>
        <w:rPr>
          <w:sz w:val="22"/>
          <w:szCs w:val="22"/>
        </w:rPr>
      </w:pPr>
      <w:hyperlink r:id="rId82" w:history="1">
        <w:r w:rsidR="00A05BD0" w:rsidRPr="00A05BD0">
          <w:rPr>
            <w:rStyle w:val="Hypertextovodkaz"/>
            <w:sz w:val="22"/>
            <w:szCs w:val="22"/>
          </w:rPr>
          <w:t>https://autosap.cz/zakladni-prehledy-automotive/obecne-zakladni-prehledy/</w:t>
        </w:r>
      </w:hyperlink>
      <w:r w:rsidR="00A05BD0" w:rsidRPr="00A05BD0">
        <w:rPr>
          <w:sz w:val="22"/>
          <w:szCs w:val="22"/>
        </w:rPr>
        <w:t xml:space="preserve"> </w:t>
      </w:r>
    </w:p>
    <w:p w14:paraId="44C66281" w14:textId="77BACB11" w:rsidR="00A05BD0" w:rsidRPr="00A05BD0" w:rsidRDefault="00020ABA" w:rsidP="00A05BD0">
      <w:pPr>
        <w:pStyle w:val="Textpoznpodarou"/>
        <w:numPr>
          <w:ilvl w:val="0"/>
          <w:numId w:val="33"/>
        </w:numPr>
        <w:rPr>
          <w:sz w:val="22"/>
          <w:szCs w:val="22"/>
        </w:rPr>
      </w:pPr>
      <w:hyperlink r:id="rId83" w:history="1">
        <w:r w:rsidR="00A05BD0" w:rsidRPr="00A05BD0">
          <w:rPr>
            <w:rStyle w:val="Hypertextovodkaz"/>
            <w:sz w:val="22"/>
            <w:szCs w:val="22"/>
          </w:rPr>
          <w:t>https://www.irozhlas.cz/ekonomika/krize-automobilovy-prumysl-produkce-trh-elektroauta-ferdinand-dudenhoffer_2006121228_aur</w:t>
        </w:r>
      </w:hyperlink>
      <w:r w:rsidR="00A05BD0" w:rsidRPr="00A05BD0">
        <w:rPr>
          <w:sz w:val="22"/>
          <w:szCs w:val="22"/>
        </w:rPr>
        <w:t xml:space="preserve"> </w:t>
      </w:r>
    </w:p>
    <w:p w14:paraId="09BDD67E" w14:textId="4F09C17B" w:rsidR="00A05BD0" w:rsidRPr="00A05BD0" w:rsidRDefault="00020ABA" w:rsidP="00A05BD0">
      <w:pPr>
        <w:pStyle w:val="Textpoznpodarou"/>
        <w:numPr>
          <w:ilvl w:val="0"/>
          <w:numId w:val="33"/>
        </w:numPr>
        <w:rPr>
          <w:sz w:val="22"/>
          <w:szCs w:val="22"/>
        </w:rPr>
      </w:pPr>
      <w:hyperlink r:id="rId84" w:history="1">
        <w:r w:rsidR="00A05BD0" w:rsidRPr="00A05BD0">
          <w:rPr>
            <w:rStyle w:val="Hypertextovodkaz"/>
            <w:sz w:val="22"/>
            <w:szCs w:val="22"/>
          </w:rPr>
          <w:t>https://www.elogistika.info/krize-ceskeho-a-slovenskeho-automobiloveho-prumyslu/</w:t>
        </w:r>
      </w:hyperlink>
      <w:r w:rsidR="00A05BD0" w:rsidRPr="00A05BD0">
        <w:rPr>
          <w:sz w:val="22"/>
          <w:szCs w:val="22"/>
        </w:rPr>
        <w:t xml:space="preserve"> </w:t>
      </w:r>
    </w:p>
    <w:p w14:paraId="52DA5B44" w14:textId="77777777" w:rsidR="00A05BD0" w:rsidRPr="00A05BD0" w:rsidRDefault="00020ABA" w:rsidP="00A05BD0">
      <w:pPr>
        <w:pStyle w:val="Textpoznpodarou"/>
        <w:numPr>
          <w:ilvl w:val="0"/>
          <w:numId w:val="33"/>
        </w:numPr>
        <w:rPr>
          <w:rStyle w:val="Hypertextovodkaz"/>
          <w:color w:val="auto"/>
          <w:sz w:val="22"/>
          <w:szCs w:val="22"/>
          <w:u w:val="none"/>
        </w:rPr>
      </w:pPr>
      <w:hyperlink r:id="rId85" w:history="1">
        <w:r w:rsidR="00A05BD0" w:rsidRPr="00A05BD0">
          <w:rPr>
            <w:rStyle w:val="Hypertextovodkaz"/>
            <w:sz w:val="22"/>
            <w:szCs w:val="22"/>
          </w:rPr>
          <w:t>https://www.e15.cz/byznys/prumysl-a-energetika/rizikem-pro-ekonomiku-je-vyvoj-automobiloveho-prumyslu-1354335</w:t>
        </w:r>
      </w:hyperlink>
    </w:p>
    <w:p w14:paraId="1DEC2216" w14:textId="77777777" w:rsidR="00A05BD0" w:rsidRPr="00A05BD0" w:rsidRDefault="00020ABA" w:rsidP="00A05BD0">
      <w:pPr>
        <w:pStyle w:val="Textpoznpodarou"/>
        <w:numPr>
          <w:ilvl w:val="0"/>
          <w:numId w:val="33"/>
        </w:numPr>
        <w:rPr>
          <w:sz w:val="22"/>
          <w:szCs w:val="22"/>
        </w:rPr>
      </w:pPr>
      <w:hyperlink r:id="rId86" w:history="1">
        <w:r w:rsidR="00A05BD0" w:rsidRPr="00A05BD0">
          <w:rPr>
            <w:rStyle w:val="Hypertextovodkaz"/>
            <w:sz w:val="22"/>
            <w:szCs w:val="22"/>
          </w:rPr>
          <w:t>https://invenio.nusl.cz/record/407088/files/vestnik_UPV_201802.pdf</w:t>
        </w:r>
      </w:hyperlink>
      <w:r w:rsidR="00A05BD0" w:rsidRPr="00A05BD0">
        <w:rPr>
          <w:sz w:val="22"/>
          <w:szCs w:val="22"/>
        </w:rPr>
        <w:t xml:space="preserve"> </w:t>
      </w:r>
    </w:p>
    <w:p w14:paraId="06E46C6E" w14:textId="77777777" w:rsidR="00A05BD0" w:rsidRPr="00A05BD0" w:rsidRDefault="00A05BD0" w:rsidP="00A05BD0">
      <w:pPr>
        <w:pStyle w:val="Textpoznpodarou"/>
        <w:numPr>
          <w:ilvl w:val="0"/>
          <w:numId w:val="33"/>
        </w:numPr>
        <w:rPr>
          <w:sz w:val="22"/>
          <w:szCs w:val="22"/>
        </w:rPr>
      </w:pPr>
      <w:r w:rsidRPr="00A05BD0">
        <w:rPr>
          <w:sz w:val="22"/>
          <w:szCs w:val="22"/>
        </w:rPr>
        <w:t>https://www.moneta.cz/slovnik-pojmu/detail/co-je-likvidita</w:t>
      </w:r>
    </w:p>
    <w:p w14:paraId="0420618D" w14:textId="77777777" w:rsidR="00A05BD0" w:rsidRPr="00A05BD0" w:rsidRDefault="00A05BD0" w:rsidP="00A05BD0">
      <w:pPr>
        <w:pStyle w:val="Textpoznpodarou"/>
        <w:numPr>
          <w:ilvl w:val="0"/>
          <w:numId w:val="33"/>
        </w:numPr>
        <w:rPr>
          <w:sz w:val="22"/>
          <w:szCs w:val="22"/>
        </w:rPr>
      </w:pPr>
      <w:r w:rsidRPr="00A05BD0">
        <w:rPr>
          <w:sz w:val="22"/>
          <w:szCs w:val="22"/>
        </w:rPr>
        <w:t>https://is.muni.cz/el/1456/podzim2007/PFFAAP/um/T-7_Pyramidova_analyza.pdf</w:t>
      </w:r>
    </w:p>
    <w:p w14:paraId="694B0A6E" w14:textId="77777777" w:rsidR="00A05BD0" w:rsidRPr="00A05BD0" w:rsidRDefault="00A05BD0" w:rsidP="00A05BD0">
      <w:pPr>
        <w:pStyle w:val="Textpoznpodarou"/>
        <w:numPr>
          <w:ilvl w:val="0"/>
          <w:numId w:val="33"/>
        </w:numPr>
        <w:rPr>
          <w:sz w:val="22"/>
          <w:szCs w:val="22"/>
        </w:rPr>
      </w:pPr>
      <w:r w:rsidRPr="00A05BD0">
        <w:rPr>
          <w:sz w:val="22"/>
          <w:szCs w:val="22"/>
        </w:rPr>
        <w:t>https://www.google.com/url?sa=t&amp;rct=j&amp;q=&amp;esrc=s&amp;source=web&amp;cd=&amp;cad=rja&amp;uact=8&amp;ved=2ahUKEwjwwfaW9q7-AhUVcvEDHRCzAyYQFnoECBMQAQ&amp;url=https%3A%2F%2Fis.muni.cz%2Fel%2Fecon%2Fjaro2020%2FMPH_FMAN%2Fum%2FFM_tema_7_def.pdf&amp;usg=AOvVaw0BcH1B3yT8bpg8kwHD2cWC</w:t>
      </w:r>
    </w:p>
    <w:p w14:paraId="7EDBFE3E" w14:textId="77777777" w:rsidR="00A05BD0" w:rsidRPr="00A05BD0" w:rsidRDefault="00A05BD0" w:rsidP="00A05BD0">
      <w:pPr>
        <w:pStyle w:val="Textpoznpodarou"/>
        <w:numPr>
          <w:ilvl w:val="0"/>
          <w:numId w:val="33"/>
        </w:numPr>
        <w:rPr>
          <w:sz w:val="22"/>
          <w:szCs w:val="22"/>
        </w:rPr>
      </w:pPr>
      <w:r w:rsidRPr="00A05BD0">
        <w:rPr>
          <w:sz w:val="22"/>
          <w:szCs w:val="22"/>
        </w:rPr>
        <w:t>https://www.cnb.cz/export/sites/cnb/cs/financni-stabilita/.galleries/zpravy_fs/fs_2022_podzim/zfs_podzim_2022.pdf</w:t>
      </w:r>
    </w:p>
    <w:p w14:paraId="58B57A05" w14:textId="77777777" w:rsidR="00A05BD0" w:rsidRPr="00A05BD0" w:rsidRDefault="00A05BD0" w:rsidP="00A05BD0">
      <w:pPr>
        <w:pStyle w:val="Odstavecseseznamem"/>
        <w:numPr>
          <w:ilvl w:val="0"/>
          <w:numId w:val="33"/>
        </w:numPr>
        <w:tabs>
          <w:tab w:val="num" w:pos="900"/>
        </w:tabs>
        <w:spacing w:line="264" w:lineRule="auto"/>
        <w:rPr>
          <w:sz w:val="22"/>
          <w:szCs w:val="22"/>
        </w:rPr>
      </w:pPr>
      <w:r w:rsidRPr="00A05BD0">
        <w:rPr>
          <w:sz w:val="22"/>
          <w:szCs w:val="22"/>
        </w:rPr>
        <w:lastRenderedPageBreak/>
        <w:t xml:space="preserve">ZEMAN, Roman. Proč je pro vaše peníze důležitý rating? </w:t>
      </w:r>
      <w:r w:rsidRPr="00A05BD0">
        <w:rPr>
          <w:i/>
          <w:iCs/>
          <w:sz w:val="22"/>
          <w:szCs w:val="22"/>
        </w:rPr>
        <w:t>IDnes.cz</w:t>
      </w:r>
      <w:r w:rsidRPr="00A05BD0">
        <w:rPr>
          <w:sz w:val="22"/>
          <w:szCs w:val="22"/>
        </w:rPr>
        <w:t xml:space="preserve"> [online]. 2006 [cit. 2007-11-26]. </w:t>
      </w:r>
    </w:p>
    <w:p w14:paraId="1FAB2C0B" w14:textId="41733510" w:rsidR="00A05BD0" w:rsidRPr="00A05BD0" w:rsidRDefault="00A05BD0" w:rsidP="00A05BD0">
      <w:pPr>
        <w:pStyle w:val="Odstavecseseznamem"/>
        <w:numPr>
          <w:ilvl w:val="0"/>
          <w:numId w:val="33"/>
        </w:numPr>
        <w:tabs>
          <w:tab w:val="num" w:pos="900"/>
        </w:tabs>
        <w:spacing w:line="264" w:lineRule="auto"/>
        <w:rPr>
          <w:sz w:val="22"/>
          <w:szCs w:val="22"/>
        </w:rPr>
      </w:pPr>
      <w:r w:rsidRPr="00A05BD0">
        <w:rPr>
          <w:sz w:val="22"/>
          <w:szCs w:val="22"/>
        </w:rPr>
        <w:t xml:space="preserve">Dostupný z WWW: </w:t>
      </w:r>
      <w:hyperlink r:id="rId87" w:history="1">
        <w:r w:rsidRPr="00A05BD0">
          <w:rPr>
            <w:rStyle w:val="Hypertextovodkaz"/>
            <w:sz w:val="22"/>
            <w:szCs w:val="22"/>
          </w:rPr>
          <w:t>http://fincentrum.idnes.cz/fi_osobni.asp?r=fi_osobni&amp;c=A060220_110634_fi_osobni_vra</w:t>
        </w:r>
      </w:hyperlink>
      <w:r w:rsidRPr="00A05BD0">
        <w:rPr>
          <w:sz w:val="22"/>
          <w:szCs w:val="22"/>
        </w:rPr>
        <w:t>.</w:t>
      </w:r>
    </w:p>
    <w:p w14:paraId="04C571CC" w14:textId="77777777" w:rsidR="00A05BD0" w:rsidRPr="00A05BD0" w:rsidRDefault="00A05BD0" w:rsidP="00E94D5E">
      <w:pPr>
        <w:pStyle w:val="Textpoznpodarou"/>
        <w:numPr>
          <w:ilvl w:val="0"/>
          <w:numId w:val="33"/>
        </w:numPr>
        <w:rPr>
          <w:sz w:val="22"/>
          <w:szCs w:val="22"/>
        </w:rPr>
      </w:pPr>
      <w:r w:rsidRPr="00A05BD0">
        <w:rPr>
          <w:sz w:val="22"/>
          <w:szCs w:val="22"/>
        </w:rPr>
        <w:t>KISLINGEROVÁ, Eva a Jiří HNILICA. Finanční analýza : krok za krokem. 2. vyd. Praha: C.H. Beck, 2008. xiii, 135. ISBN 9788071797135.</w:t>
      </w:r>
    </w:p>
    <w:p w14:paraId="66B2EDCB" w14:textId="63470AE7" w:rsidR="00E94D5E" w:rsidRPr="00E94D5E" w:rsidRDefault="00A05BD0" w:rsidP="00E94D5E">
      <w:pPr>
        <w:pStyle w:val="Textpoznpodarou"/>
        <w:numPr>
          <w:ilvl w:val="0"/>
          <w:numId w:val="33"/>
        </w:numPr>
        <w:rPr>
          <w:sz w:val="22"/>
          <w:szCs w:val="22"/>
        </w:rPr>
      </w:pPr>
      <w:r w:rsidRPr="00A05BD0">
        <w:rPr>
          <w:sz w:val="22"/>
          <w:szCs w:val="22"/>
        </w:rPr>
        <w:t>KISLINGEROVÁ, Eva. Manažerské finance. 2. přeprac. a dopl. vyd. Praha: C.H. Beck, 2007. xl, 745. ISBN 9788071799030.</w:t>
      </w:r>
    </w:p>
    <w:p w14:paraId="297E897F" w14:textId="77777777" w:rsidR="00E94D5E" w:rsidRDefault="00020ABA" w:rsidP="00E94D5E">
      <w:pPr>
        <w:pStyle w:val="Textpoznpodarou"/>
        <w:numPr>
          <w:ilvl w:val="0"/>
          <w:numId w:val="33"/>
        </w:numPr>
      </w:pPr>
      <w:hyperlink r:id="rId88" w:history="1">
        <w:r w:rsidR="00E94D5E" w:rsidRPr="00404BBB">
          <w:rPr>
            <w:rStyle w:val="Hypertextovodkaz"/>
          </w:rPr>
          <w:t>https://invenio.nusl.cz/record/407088/files/vestnik_UPV_201802.pdf</w:t>
        </w:r>
      </w:hyperlink>
      <w:r w:rsidR="00E94D5E">
        <w:t xml:space="preserve"> </w:t>
      </w:r>
    </w:p>
    <w:p w14:paraId="38F4F39D" w14:textId="233F5AE3" w:rsidR="00B90C89" w:rsidRDefault="00B90C89" w:rsidP="00517718">
      <w:pPr>
        <w:pStyle w:val="Dalodstavce"/>
        <w:ind w:firstLine="0"/>
        <w:sectPr w:rsidR="00B90C89" w:rsidSect="009D3C27">
          <w:headerReference w:type="even" r:id="rId89"/>
          <w:headerReference w:type="default" r:id="rId90"/>
          <w:type w:val="oddPage"/>
          <w:pgSz w:w="11906" w:h="16838" w:code="9"/>
          <w:pgMar w:top="2380" w:right="2020" w:bottom="2380" w:left="2020" w:header="1900" w:footer="1280" w:gutter="500"/>
          <w:cols w:space="708"/>
          <w:docGrid w:linePitch="360"/>
        </w:sectPr>
      </w:pPr>
    </w:p>
    <w:p w14:paraId="4E7825DB" w14:textId="3AAD6845" w:rsidR="007C0619" w:rsidRDefault="007C0619" w:rsidP="00DD22B6">
      <w:pPr>
        <w:pStyle w:val="Nadpis1"/>
        <w:numPr>
          <w:ilvl w:val="0"/>
          <w:numId w:val="0"/>
        </w:numPr>
      </w:pPr>
    </w:p>
    <w:sectPr w:rsidR="007C0619" w:rsidSect="009D3C27">
      <w:headerReference w:type="even" r:id="rId91"/>
      <w:headerReference w:type="default" r:id="rId92"/>
      <w:pgSz w:w="11906" w:h="16838" w:code="9"/>
      <w:pgMar w:top="2380" w:right="2020" w:bottom="2380" w:left="2020" w:header="1900" w:footer="1280" w:gutter="50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77CB3" w14:textId="77777777" w:rsidR="00D01C81" w:rsidRDefault="00D01C81">
      <w:r>
        <w:separator/>
      </w:r>
    </w:p>
    <w:p w14:paraId="6EE7E213" w14:textId="77777777" w:rsidR="00D01C81" w:rsidRDefault="00D01C81"/>
    <w:p w14:paraId="50D8E744" w14:textId="77777777" w:rsidR="00D01C81" w:rsidRDefault="00D01C81"/>
    <w:p w14:paraId="2C2CF8FE" w14:textId="77777777" w:rsidR="00D01C81" w:rsidRDefault="00D01C81"/>
    <w:p w14:paraId="5458E138" w14:textId="77777777" w:rsidR="00D01C81" w:rsidRDefault="00D01C81"/>
    <w:p w14:paraId="70C4FCFA" w14:textId="77777777" w:rsidR="00D01C81" w:rsidRDefault="00D01C81"/>
  </w:endnote>
  <w:endnote w:type="continuationSeparator" w:id="0">
    <w:p w14:paraId="779A654D" w14:textId="77777777" w:rsidR="00D01C81" w:rsidRDefault="00D01C81">
      <w:r>
        <w:continuationSeparator/>
      </w:r>
    </w:p>
    <w:p w14:paraId="792D201F" w14:textId="77777777" w:rsidR="00D01C81" w:rsidRDefault="00D01C81"/>
    <w:p w14:paraId="53364DDB" w14:textId="77777777" w:rsidR="00D01C81" w:rsidRDefault="00D01C81"/>
    <w:p w14:paraId="6555A97E" w14:textId="77777777" w:rsidR="00D01C81" w:rsidRDefault="00D01C81"/>
    <w:p w14:paraId="225425EF" w14:textId="77777777" w:rsidR="00D01C81" w:rsidRDefault="00D01C81"/>
    <w:p w14:paraId="11400F87" w14:textId="77777777" w:rsidR="00D01C81" w:rsidRDefault="00D01C81"/>
  </w:endnote>
  <w:endnote w:type="continuationNotice" w:id="1">
    <w:p w14:paraId="62DDC510" w14:textId="77777777" w:rsidR="00D01C81" w:rsidRDefault="00D01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FDE0" w14:textId="77777777" w:rsidR="00E41640" w:rsidRDefault="00E41640" w:rsidP="0095124B">
    <w:pPr>
      <w:pStyle w:val="ZPZaptsud"/>
    </w:pPr>
    <w:r>
      <w:fldChar w:fldCharType="begin"/>
    </w:r>
    <w:r>
      <w:instrText xml:space="preserve"> PAGE  \* Arabic  \* MERGEFORMAT </w:instrText>
    </w:r>
    <w:r>
      <w:fldChar w:fldCharType="separate"/>
    </w:r>
    <w:r w:rsidR="002155E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64CC" w14:textId="77777777" w:rsidR="00387B07" w:rsidRPr="00920AB6" w:rsidRDefault="00387B07" w:rsidP="00920AB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6E40" w14:textId="6CC14ACF" w:rsidR="00F02FCC" w:rsidRPr="0089154B" w:rsidRDefault="006A6C98" w:rsidP="00F02FCC">
    <w:pPr>
      <w:pStyle w:val="Zpat"/>
      <w:rPr>
        <w:color w:val="BFBFBF" w:themeColor="background1" w:themeShade="BF"/>
        <w:sz w:val="16"/>
        <w:szCs w:val="16"/>
      </w:rPr>
    </w:pPr>
    <w:r>
      <w:rPr>
        <w:color w:val="BFBFBF" w:themeColor="background1" w:themeShade="BF"/>
        <w:sz w:val="16"/>
        <w:szCs w:val="16"/>
      </w:rPr>
      <w:tab/>
    </w:r>
    <w:r>
      <w:rPr>
        <w:smallCaps/>
        <w:noProof/>
      </w:rPr>
      <w:fldChar w:fldCharType="begin"/>
    </w:r>
    <w:r>
      <w:rPr>
        <w:smallCaps/>
        <w:noProof/>
      </w:rPr>
      <w:instrText>PAGE   \* MERGEFORMAT</w:instrText>
    </w:r>
    <w:r>
      <w:rPr>
        <w:smallCaps/>
        <w:noProof/>
      </w:rPr>
      <w:fldChar w:fldCharType="separate"/>
    </w:r>
    <w:r w:rsidR="00A05FCE">
      <w:rPr>
        <w:smallCaps/>
        <w:noProof/>
      </w:rPr>
      <w:t>9</w:t>
    </w:r>
    <w:r>
      <w:rPr>
        <w:small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E0B0" w14:textId="77777777" w:rsidR="0089154B" w:rsidRPr="0089154B" w:rsidRDefault="008B5E98" w:rsidP="00920AB6">
    <w:pPr>
      <w:pStyle w:val="Zpat"/>
      <w:rPr>
        <w:color w:val="BFBFBF" w:themeColor="background1" w:themeShade="BF"/>
        <w:sz w:val="16"/>
        <w:szCs w:val="16"/>
      </w:rPr>
    </w:pPr>
    <w:r w:rsidRPr="0089154B">
      <w:rPr>
        <w:color w:val="BFBFBF" w:themeColor="background1" w:themeShade="BF"/>
        <w:sz w:val="16"/>
        <w:szCs w:val="16"/>
      </w:rPr>
      <w:t>Š</w:t>
    </w:r>
    <w:r>
      <w:rPr>
        <w:color w:val="BFBFBF" w:themeColor="background1" w:themeShade="BF"/>
        <w:sz w:val="16"/>
        <w:szCs w:val="16"/>
      </w:rPr>
      <w:t>ablona DP 2.0.1 (9</w:t>
    </w:r>
    <w:r w:rsidRPr="0089154B">
      <w:rPr>
        <w:color w:val="BFBFBF" w:themeColor="background1" w:themeShade="BF"/>
        <w:sz w:val="16"/>
        <w:szCs w:val="16"/>
      </w:rPr>
      <w:t xml:space="preserve">. </w:t>
    </w:r>
    <w:r>
      <w:rPr>
        <w:color w:val="BFBFBF" w:themeColor="background1" w:themeShade="BF"/>
        <w:sz w:val="16"/>
        <w:szCs w:val="16"/>
      </w:rPr>
      <w:t>ledna 2018</w:t>
    </w:r>
    <w:r w:rsidRPr="0089154B">
      <w:rPr>
        <w:color w:val="BFBFBF" w:themeColor="background1" w:themeShade="BF"/>
        <w:sz w:val="16"/>
        <w:szCs w:val="16"/>
      </w:rPr>
      <w:t>) © 2014, 2016</w:t>
    </w:r>
    <w:r>
      <w:rPr>
        <w:color w:val="BFBFBF" w:themeColor="background1" w:themeShade="BF"/>
        <w:sz w:val="16"/>
        <w:szCs w:val="16"/>
      </w:rPr>
      <w:t>, 2018</w:t>
    </w:r>
    <w:r w:rsidRPr="0089154B">
      <w:rPr>
        <w:color w:val="BFBFBF" w:themeColor="background1" w:themeShade="BF"/>
        <w:sz w:val="16"/>
        <w:szCs w:val="16"/>
      </w:rPr>
      <w:t xml:space="preserve"> Právnická fakulta Masarykovy univerzity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F5A3" w14:textId="77777777" w:rsidR="0089154B" w:rsidRDefault="00E41640" w:rsidP="0095124B">
    <w:pPr>
      <w:pStyle w:val="ZPZapatlich"/>
    </w:pPr>
    <w:r>
      <w:fldChar w:fldCharType="begin"/>
    </w:r>
    <w:r>
      <w:instrText xml:space="preserve"> PAGE  \* Arabic  \* MERGEFORMAT </w:instrText>
    </w:r>
    <w:r>
      <w:fldChar w:fldCharType="separate"/>
    </w:r>
    <w:r w:rsidR="00A05FCE">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5FD1E" w14:textId="77777777" w:rsidR="00D01C81" w:rsidRDefault="00D01C81">
      <w:r>
        <w:separator/>
      </w:r>
    </w:p>
  </w:footnote>
  <w:footnote w:type="continuationSeparator" w:id="0">
    <w:p w14:paraId="24EE110E" w14:textId="77777777" w:rsidR="00D01C81" w:rsidRDefault="00D01C81">
      <w:r>
        <w:continuationSeparator/>
      </w:r>
    </w:p>
  </w:footnote>
  <w:footnote w:type="continuationNotice" w:id="1">
    <w:p w14:paraId="15E07158" w14:textId="77777777" w:rsidR="00D01C81" w:rsidRDefault="00D01C81"/>
  </w:footnote>
  <w:footnote w:id="2">
    <w:p w14:paraId="26595740" w14:textId="102E9D9E" w:rsidR="009E11EF" w:rsidRPr="006B5811" w:rsidRDefault="009E11EF">
      <w:pPr>
        <w:pStyle w:val="Textpoznpodarou"/>
        <w:rPr>
          <w:sz w:val="19"/>
          <w:szCs w:val="19"/>
        </w:rPr>
      </w:pPr>
      <w:r w:rsidRPr="006B5811">
        <w:rPr>
          <w:rStyle w:val="Znakapoznpodarou"/>
          <w:sz w:val="19"/>
          <w:szCs w:val="19"/>
        </w:rPr>
        <w:footnoteRef/>
      </w:r>
      <w:r w:rsidRPr="006B5811">
        <w:rPr>
          <w:sz w:val="19"/>
          <w:szCs w:val="19"/>
        </w:rPr>
        <w:t xml:space="preserve"> Knápková, A., Pavelková, D., </w:t>
      </w:r>
      <w:r w:rsidR="0000435F" w:rsidRPr="006B5811">
        <w:rPr>
          <w:sz w:val="19"/>
          <w:szCs w:val="19"/>
        </w:rPr>
        <w:t xml:space="preserve">Remeš, D. </w:t>
      </w:r>
      <w:r w:rsidRPr="006B5811">
        <w:rPr>
          <w:sz w:val="19"/>
          <w:szCs w:val="19"/>
        </w:rPr>
        <w:t>&amp; Šteker, K. (201</w:t>
      </w:r>
      <w:r w:rsidR="001300CE" w:rsidRPr="006B5811">
        <w:rPr>
          <w:sz w:val="19"/>
          <w:szCs w:val="19"/>
        </w:rPr>
        <w:t>7</w:t>
      </w:r>
      <w:r w:rsidRPr="006B5811">
        <w:rPr>
          <w:sz w:val="19"/>
          <w:szCs w:val="19"/>
        </w:rPr>
        <w:t>). Finanční analýza. </w:t>
      </w:r>
      <w:r w:rsidRPr="006B5811">
        <w:rPr>
          <w:i/>
          <w:iCs/>
          <w:sz w:val="19"/>
          <w:szCs w:val="19"/>
        </w:rPr>
        <w:t xml:space="preserve">Komplexní průvodce s příklady. </w:t>
      </w:r>
      <w:r w:rsidR="001300CE" w:rsidRPr="006B5811">
        <w:rPr>
          <w:i/>
          <w:iCs/>
          <w:sz w:val="19"/>
          <w:szCs w:val="19"/>
        </w:rPr>
        <w:t>3</w:t>
      </w:r>
      <w:r w:rsidRPr="006B5811">
        <w:rPr>
          <w:i/>
          <w:iCs/>
          <w:sz w:val="19"/>
          <w:szCs w:val="19"/>
        </w:rPr>
        <w:t xml:space="preserve">. Vyd. </w:t>
      </w:r>
      <w:r w:rsidR="004F0E80" w:rsidRPr="006B5811">
        <w:rPr>
          <w:i/>
          <w:iCs/>
          <w:sz w:val="19"/>
          <w:szCs w:val="19"/>
        </w:rPr>
        <w:t>Praha: Grada Publishing, a.s.</w:t>
      </w:r>
      <w:r w:rsidR="001300CE" w:rsidRPr="006B5811">
        <w:rPr>
          <w:sz w:val="19"/>
          <w:szCs w:val="19"/>
        </w:rPr>
        <w:t xml:space="preserve"> ISBN 978-80-271-0910-4</w:t>
      </w:r>
    </w:p>
  </w:footnote>
  <w:footnote w:id="3">
    <w:p w14:paraId="3701ADA7" w14:textId="186235E3" w:rsidR="00551D43" w:rsidRDefault="00551D43">
      <w:pPr>
        <w:pStyle w:val="Textpoznpodarou"/>
      </w:pPr>
      <w:r>
        <w:rPr>
          <w:rStyle w:val="Znakapoznpodarou"/>
        </w:rPr>
        <w:footnoteRef/>
      </w:r>
      <w:r>
        <w:t xml:space="preserve"> </w:t>
      </w:r>
      <w:hyperlink r:id="rId1" w:history="1">
        <w:r w:rsidRPr="00404BBB">
          <w:rPr>
            <w:rStyle w:val="Hypertextovodkaz"/>
          </w:rPr>
          <w:t>https://www.grand.cz/vyroba-odevu.php</w:t>
        </w:r>
      </w:hyperlink>
      <w:r>
        <w:t xml:space="preserve"> </w:t>
      </w:r>
    </w:p>
  </w:footnote>
  <w:footnote w:id="4">
    <w:p w14:paraId="796E3C63" w14:textId="7425A7ED" w:rsidR="009921E6" w:rsidRDefault="009921E6">
      <w:pPr>
        <w:pStyle w:val="Textpoznpodarou"/>
      </w:pPr>
      <w:r>
        <w:rPr>
          <w:rStyle w:val="Znakapoznpodarou"/>
        </w:rPr>
        <w:footnoteRef/>
      </w:r>
      <w:r>
        <w:t xml:space="preserve"> </w:t>
      </w:r>
      <w:hyperlink r:id="rId2" w:history="1">
        <w:r w:rsidR="00A44CFF" w:rsidRPr="00404BBB">
          <w:rPr>
            <w:rStyle w:val="Hypertextovodkaz"/>
          </w:rPr>
          <w:t>https://www.profimex.cz/</w:t>
        </w:r>
      </w:hyperlink>
      <w:r w:rsidR="00A44CFF">
        <w:t xml:space="preserve"> </w:t>
      </w:r>
    </w:p>
  </w:footnote>
  <w:footnote w:id="5">
    <w:p w14:paraId="681CAC47" w14:textId="79936E29" w:rsidR="00A44CFF" w:rsidRDefault="00A44CFF">
      <w:pPr>
        <w:pStyle w:val="Textpoznpodarou"/>
      </w:pPr>
      <w:r>
        <w:rPr>
          <w:rStyle w:val="Znakapoznpodarou"/>
        </w:rPr>
        <w:footnoteRef/>
      </w:r>
      <w:r>
        <w:t xml:space="preserve"> </w:t>
      </w:r>
      <w:hyperlink r:id="rId3" w:history="1">
        <w:r w:rsidR="00F2080C" w:rsidRPr="00404BBB">
          <w:rPr>
            <w:rStyle w:val="Hypertextovodkaz"/>
          </w:rPr>
          <w:t>https://www.tomiscz.cz/</w:t>
        </w:r>
      </w:hyperlink>
      <w:r w:rsidR="00F2080C">
        <w:t xml:space="preserve"> </w:t>
      </w:r>
    </w:p>
  </w:footnote>
  <w:footnote w:id="6">
    <w:p w14:paraId="7930DB4D" w14:textId="1AA0EB1D" w:rsidR="00A86756" w:rsidRDefault="00A86756">
      <w:pPr>
        <w:pStyle w:val="Textpoznpodarou"/>
      </w:pPr>
      <w:r>
        <w:rPr>
          <w:rStyle w:val="Znakapoznpodarou"/>
        </w:rPr>
        <w:footnoteRef/>
      </w:r>
      <w:r>
        <w:t xml:space="preserve"> </w:t>
      </w:r>
      <w:hyperlink r:id="rId4" w:history="1">
        <w:r w:rsidR="00946954" w:rsidRPr="00404BBB">
          <w:rPr>
            <w:rStyle w:val="Hypertextovodkaz"/>
          </w:rPr>
          <w:t>https://www.engelbert-strauss.cz/</w:t>
        </w:r>
      </w:hyperlink>
      <w:r w:rsidR="00946954">
        <w:t xml:space="preserve"> </w:t>
      </w:r>
    </w:p>
  </w:footnote>
  <w:footnote w:id="7">
    <w:p w14:paraId="36738B7D" w14:textId="5DE75D15" w:rsidR="0085114E" w:rsidRDefault="0085114E">
      <w:pPr>
        <w:pStyle w:val="Textpoznpodarou"/>
      </w:pPr>
      <w:r>
        <w:rPr>
          <w:rStyle w:val="Znakapoznpodarou"/>
        </w:rPr>
        <w:footnoteRef/>
      </w:r>
      <w:r>
        <w:t xml:space="preserve"> </w:t>
      </w:r>
      <w:hyperlink r:id="rId5" w:history="1">
        <w:r w:rsidR="002700E0" w:rsidRPr="00404BBB">
          <w:rPr>
            <w:rStyle w:val="Hypertextovodkaz"/>
          </w:rPr>
          <w:t>https://www.smartmen.cz/fr/profesni-odevy/vyroba-a-prumysl</w:t>
        </w:r>
      </w:hyperlink>
      <w:r w:rsidR="002700E0">
        <w:t xml:space="preserve"> </w:t>
      </w:r>
    </w:p>
  </w:footnote>
  <w:footnote w:id="8">
    <w:p w14:paraId="6AE32409" w14:textId="35221554" w:rsidR="00425DAE" w:rsidRDefault="00425DAE">
      <w:pPr>
        <w:pStyle w:val="Textpoznpodarou"/>
      </w:pPr>
      <w:r>
        <w:rPr>
          <w:rStyle w:val="Znakapoznpodarou"/>
        </w:rPr>
        <w:footnoteRef/>
      </w:r>
      <w:r>
        <w:t xml:space="preserve"> </w:t>
      </w:r>
      <w:hyperlink r:id="rId6" w:history="1">
        <w:r w:rsidRPr="00404BBB">
          <w:rPr>
            <w:rStyle w:val="Hypertextovodkaz"/>
          </w:rPr>
          <w:t>https://www.tmt.cz/novinky/automaticka-linka-pro-montaz-autodilu/</w:t>
        </w:r>
      </w:hyperlink>
      <w:r>
        <w:t xml:space="preserve"> </w:t>
      </w:r>
    </w:p>
  </w:footnote>
  <w:footnote w:id="9">
    <w:p w14:paraId="7CEF3634" w14:textId="66349FC1" w:rsidR="00B6600B" w:rsidRDefault="00B6600B">
      <w:pPr>
        <w:pStyle w:val="Textpoznpodarou"/>
      </w:pPr>
      <w:r>
        <w:rPr>
          <w:rStyle w:val="Znakapoznpodarou"/>
        </w:rPr>
        <w:footnoteRef/>
      </w:r>
      <w:r>
        <w:t xml:space="preserve"> </w:t>
      </w:r>
      <w:hyperlink r:id="rId7" w:history="1">
        <w:r w:rsidRPr="00404BBB">
          <w:rPr>
            <w:rStyle w:val="Hypertextovodkaz"/>
          </w:rPr>
          <w:t>https://autosap.cz/zakladni-prehledy-automotive/obecne-zakladni-prehledy/</w:t>
        </w:r>
      </w:hyperlink>
      <w:r>
        <w:t xml:space="preserve"> </w:t>
      </w:r>
    </w:p>
  </w:footnote>
  <w:footnote w:id="10">
    <w:p w14:paraId="5B774658" w14:textId="23641FED" w:rsidR="00872BE0" w:rsidRDefault="00872BE0">
      <w:pPr>
        <w:pStyle w:val="Textpoznpodarou"/>
      </w:pPr>
      <w:r>
        <w:rPr>
          <w:rStyle w:val="Znakapoznpodarou"/>
        </w:rPr>
        <w:footnoteRef/>
      </w:r>
      <w:r>
        <w:t xml:space="preserve"> </w:t>
      </w:r>
      <w:hyperlink r:id="rId8" w:history="1">
        <w:r w:rsidR="00877C54" w:rsidRPr="00404BBB">
          <w:rPr>
            <w:rStyle w:val="Hypertextovodkaz"/>
          </w:rPr>
          <w:t>https://www.irozhlas.cz/ekonomika/krize-automobilovy-prumysl-produkce-trh-elektroauta-ferdinand-dudenhoffer_2006121228_aur</w:t>
        </w:r>
      </w:hyperlink>
      <w:r w:rsidR="00877C54">
        <w:t xml:space="preserve"> </w:t>
      </w:r>
    </w:p>
  </w:footnote>
  <w:footnote w:id="11">
    <w:p w14:paraId="604B11E5" w14:textId="5D302005" w:rsidR="00877C54" w:rsidRDefault="00877C54">
      <w:pPr>
        <w:pStyle w:val="Textpoznpodarou"/>
      </w:pPr>
      <w:r>
        <w:rPr>
          <w:rStyle w:val="Znakapoznpodarou"/>
        </w:rPr>
        <w:footnoteRef/>
      </w:r>
      <w:r>
        <w:t xml:space="preserve"> </w:t>
      </w:r>
      <w:hyperlink r:id="rId9" w:history="1">
        <w:r w:rsidRPr="00404BBB">
          <w:rPr>
            <w:rStyle w:val="Hypertextovodkaz"/>
          </w:rPr>
          <w:t>https://www.elogistika.info/krize-ceskeho-a-slovenskeho-automobiloveho-prumyslu/</w:t>
        </w:r>
      </w:hyperlink>
      <w:r>
        <w:t xml:space="preserve"> </w:t>
      </w:r>
    </w:p>
  </w:footnote>
  <w:footnote w:id="12">
    <w:p w14:paraId="1135EAA8" w14:textId="4A21480B" w:rsidR="006D0672" w:rsidRDefault="006D0672">
      <w:pPr>
        <w:pStyle w:val="Textpoznpodarou"/>
      </w:pPr>
      <w:r>
        <w:rPr>
          <w:rStyle w:val="Znakapoznpodarou"/>
        </w:rPr>
        <w:footnoteRef/>
      </w:r>
      <w:r>
        <w:t xml:space="preserve"> </w:t>
      </w:r>
      <w:hyperlink r:id="rId10" w:history="1">
        <w:r w:rsidRPr="00404BBB">
          <w:rPr>
            <w:rStyle w:val="Hypertextovodkaz"/>
          </w:rPr>
          <w:t>https://www.e15.cz/byznys/prumysl-a-energetika/rizikem-pro-ekonomiku-je-vyvoj-automobiloveho-prumyslu-1354335</w:t>
        </w:r>
      </w:hyperlink>
      <w:r>
        <w:t xml:space="preserve"> </w:t>
      </w:r>
    </w:p>
  </w:footnote>
  <w:footnote w:id="13">
    <w:p w14:paraId="4F31CC45" w14:textId="77777777" w:rsidR="00F85989" w:rsidRDefault="00F85989">
      <w:pPr>
        <w:pStyle w:val="Textpoznpodarou"/>
      </w:pPr>
      <w:r>
        <w:rPr>
          <w:rStyle w:val="Znakapoznpodarou"/>
        </w:rPr>
        <w:footnoteRef/>
      </w:r>
      <w:r>
        <w:t xml:space="preserve"> </w:t>
      </w:r>
      <w:hyperlink r:id="rId11" w:history="1">
        <w:r w:rsidRPr="00404BBB">
          <w:rPr>
            <w:rStyle w:val="Hypertextovodkaz"/>
          </w:rPr>
          <w:t>https://invenio.nusl.cz/record/407088/files/vestnik_UPV_201802.pdf</w:t>
        </w:r>
      </w:hyperlink>
      <w:r>
        <w:t xml:space="preserve"> </w:t>
      </w:r>
    </w:p>
  </w:footnote>
  <w:footnote w:id="14">
    <w:p w14:paraId="13A4A767" w14:textId="7054CE8A" w:rsidR="008937D8" w:rsidRDefault="008937D8">
      <w:pPr>
        <w:pStyle w:val="Textpoznpodarou"/>
      </w:pPr>
      <w:r>
        <w:rPr>
          <w:rStyle w:val="Znakapoznpodarou"/>
        </w:rPr>
        <w:footnoteRef/>
      </w:r>
      <w:r>
        <w:t xml:space="preserve"> </w:t>
      </w:r>
      <w:r w:rsidRPr="008937D8">
        <w:t>https://www.moneta.cz/slovnik-pojmu/detail/co-je-likvidita</w:t>
      </w:r>
    </w:p>
  </w:footnote>
  <w:footnote w:id="15">
    <w:p w14:paraId="3163309A" w14:textId="51C12DD6" w:rsidR="009F4C8B" w:rsidRDefault="009F4C8B">
      <w:pPr>
        <w:pStyle w:val="Textpoznpodarou"/>
      </w:pPr>
      <w:r>
        <w:rPr>
          <w:rStyle w:val="Znakapoznpodarou"/>
        </w:rPr>
        <w:footnoteRef/>
      </w:r>
      <w:r>
        <w:t xml:space="preserve"> </w:t>
      </w:r>
      <w:r w:rsidRPr="009F4C8B">
        <w:t>https://is.muni.cz/el/1456/podzim2007/PFFAAP/um/T-7_Pyramidova_analyza.pdf</w:t>
      </w:r>
    </w:p>
  </w:footnote>
  <w:footnote w:id="16">
    <w:p w14:paraId="037CCA73" w14:textId="0E0D417C" w:rsidR="00235A6C" w:rsidRDefault="00235A6C">
      <w:pPr>
        <w:pStyle w:val="Textpoznpodarou"/>
      </w:pPr>
      <w:r>
        <w:rPr>
          <w:rStyle w:val="Znakapoznpodarou"/>
        </w:rPr>
        <w:footnoteRef/>
      </w:r>
      <w:r>
        <w:t xml:space="preserve"> </w:t>
      </w:r>
      <w:r w:rsidRPr="00235A6C">
        <w:t>https://is.muni.cz/el/1456/podzim2007/PFFAAP/um/T-7_Pyramidova_analyza.pdf</w:t>
      </w:r>
    </w:p>
  </w:footnote>
  <w:footnote w:id="17">
    <w:p w14:paraId="7BC36BEE" w14:textId="399171E0" w:rsidR="005A65C5" w:rsidRDefault="005A65C5">
      <w:pPr>
        <w:pStyle w:val="Textpoznpodarou"/>
      </w:pPr>
      <w:r>
        <w:rPr>
          <w:rStyle w:val="Znakapoznpodarou"/>
        </w:rPr>
        <w:footnoteRef/>
      </w:r>
      <w:r>
        <w:t xml:space="preserve"> </w:t>
      </w:r>
      <w:r w:rsidR="00C5172A" w:rsidRPr="00C5172A">
        <w:t>https://www.google.com/url?sa=t&amp;rct=j&amp;q=&amp;esrc=s&amp;source=web&amp;cd=&amp;cad=rja&amp;uact=8&amp;ved=2ahUKEwjwwfaW9q7-AhUVcvEDHRCzAyYQFnoECBMQAQ&amp;url=https%3A%2F%2Fis.muni.cz%2Fel%2Fecon%2Fjaro2020%2FMPH_FMAN%2Fum%2FFM_tema_7_def.pdf&amp;usg=AOvVaw0BcH1B3yT8bpg8kwHD2cWC</w:t>
      </w:r>
    </w:p>
  </w:footnote>
  <w:footnote w:id="18">
    <w:p w14:paraId="24FA91D7" w14:textId="75538458" w:rsidR="006D2D11" w:rsidRDefault="006D2D11">
      <w:pPr>
        <w:pStyle w:val="Textpoznpodarou"/>
      </w:pPr>
      <w:r>
        <w:rPr>
          <w:rStyle w:val="Znakapoznpodarou"/>
        </w:rPr>
        <w:footnoteRef/>
      </w:r>
      <w:r>
        <w:t xml:space="preserve"> </w:t>
      </w:r>
      <w:r w:rsidR="00EF662A" w:rsidRPr="00EF662A">
        <w:t>https://www.cnb.cz/export/sites/cnb/cs/financni-stabilita/.galleries/zpravy_fs/fs_2022_podzim/zfs_podzim_2022.pdf</w:t>
      </w:r>
    </w:p>
  </w:footnote>
  <w:footnote w:id="19">
    <w:p w14:paraId="74B00C31" w14:textId="77777777" w:rsidR="003D414F" w:rsidRDefault="00E4789F" w:rsidP="003D414F">
      <w:pPr>
        <w:tabs>
          <w:tab w:val="num" w:pos="900"/>
        </w:tabs>
        <w:spacing w:line="264" w:lineRule="auto"/>
      </w:pPr>
      <w:r>
        <w:rPr>
          <w:rStyle w:val="Znakapoznpodarou"/>
        </w:rPr>
        <w:footnoteRef/>
      </w:r>
      <w:r>
        <w:t xml:space="preserve"> </w:t>
      </w:r>
      <w:r w:rsidR="003D414F">
        <w:t xml:space="preserve">ZEMAN, Roman. </w:t>
      </w:r>
      <w:r w:rsidR="003D414F" w:rsidRPr="00F53EA5">
        <w:t>Proč je pro vaše peníze důležitý rating?</w:t>
      </w:r>
      <w:r w:rsidR="003D414F" w:rsidRPr="006E7485">
        <w:t xml:space="preserve"> </w:t>
      </w:r>
      <w:r w:rsidR="003D414F">
        <w:rPr>
          <w:i/>
          <w:iCs/>
        </w:rPr>
        <w:t>IDnes.cz</w:t>
      </w:r>
      <w:r w:rsidR="003D414F">
        <w:t xml:space="preserve"> [online]. 2006 [cit. 2007-11-26]. </w:t>
      </w:r>
    </w:p>
    <w:p w14:paraId="20D0AE03" w14:textId="77777777" w:rsidR="003D414F" w:rsidRDefault="003D414F" w:rsidP="003D414F">
      <w:pPr>
        <w:tabs>
          <w:tab w:val="num" w:pos="900"/>
        </w:tabs>
        <w:spacing w:line="264" w:lineRule="auto"/>
      </w:pPr>
      <w:r>
        <w:t xml:space="preserve">Dostupný z WWW: </w:t>
      </w:r>
      <w:hyperlink r:id="rId12" w:history="1">
        <w:r w:rsidRPr="00F16E5E">
          <w:rPr>
            <w:rStyle w:val="Hypertextovodkaz"/>
          </w:rPr>
          <w:t>http://fincentrum.idnes.cz/fi_osobni.asp?r=fi_osobni&amp;c=A060220_110634_fi_osobni_vra</w:t>
        </w:r>
      </w:hyperlink>
      <w:r>
        <w:t xml:space="preserve">. </w:t>
      </w:r>
    </w:p>
    <w:p w14:paraId="15FB298B" w14:textId="00B06676" w:rsidR="00E4789F" w:rsidRDefault="00E4789F">
      <w:pPr>
        <w:pStyle w:val="Textpoznpodarou"/>
      </w:pPr>
    </w:p>
  </w:footnote>
  <w:footnote w:id="20">
    <w:p w14:paraId="12054A51" w14:textId="2BC2B0F3" w:rsidR="0031690F" w:rsidRDefault="0031690F" w:rsidP="0031690F">
      <w:pPr>
        <w:pStyle w:val="Textpoznpodarou"/>
      </w:pPr>
      <w:r>
        <w:rPr>
          <w:rStyle w:val="Znakapoznpodarou"/>
        </w:rPr>
        <w:footnoteRef/>
      </w:r>
      <w:r>
        <w:t xml:space="preserve"> KISLINGEROVÁ, Eva a Jiří HNILICA. Finanční analýza : krok za krokem. 2. vyd. Praha: C.H. Beck, 2008. xiii, 135. ISBN 9788071797135.</w:t>
      </w:r>
    </w:p>
  </w:footnote>
  <w:footnote w:id="21">
    <w:p w14:paraId="774500CA" w14:textId="72D4581C" w:rsidR="004A6A56" w:rsidRDefault="004A6A56" w:rsidP="004A6A56">
      <w:pPr>
        <w:pStyle w:val="Textpoznpodarou"/>
      </w:pPr>
      <w:r>
        <w:rPr>
          <w:rStyle w:val="Znakapoznpodarou"/>
        </w:rPr>
        <w:footnoteRef/>
      </w:r>
      <w:r>
        <w:t xml:space="preserve"> KISLINGEROVÁ, Eva. Manažerské finance. 2. přeprac. a dopl. vyd. Praha: C.H. Beck, 2007. xl, 745. ISBN 9788071799030.</w:t>
      </w:r>
    </w:p>
  </w:footnote>
  <w:footnote w:id="22">
    <w:p w14:paraId="1BD0E73D" w14:textId="77777777" w:rsidR="004463EE" w:rsidRDefault="004463EE" w:rsidP="004463EE">
      <w:pPr>
        <w:pStyle w:val="Textpoznpodarou"/>
      </w:pPr>
      <w:r>
        <w:rPr>
          <w:rStyle w:val="Znakapoznpodarou"/>
        </w:rPr>
        <w:footnoteRef/>
      </w:r>
      <w:r>
        <w:t xml:space="preserve"> </w:t>
      </w:r>
      <w:hyperlink r:id="rId13" w:history="1">
        <w:r w:rsidRPr="00404BBB">
          <w:rPr>
            <w:rStyle w:val="Hypertextovodkaz"/>
          </w:rPr>
          <w:t>https://invenio.nusl.cz/record/407088/files/vestnik_UPV_201802.pdf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8460" w14:textId="30965B08" w:rsidR="00013C69" w:rsidRDefault="00020ABA" w:rsidP="00013C69">
    <w:pPr>
      <w:pStyle w:val="ZPZhlavvlevo"/>
    </w:pPr>
    <w:sdt>
      <w:sdtPr>
        <w:alias w:val="Název"/>
        <w:tag w:val=""/>
        <w:id w:val="-1020700601"/>
        <w:placeholder>
          <w:docPart w:val="D08125AB5C9F684896B9CF7FDF4D066B"/>
        </w:placeholder>
        <w:dataBinding w:prefixMappings="xmlns:ns0='http://purl.org/dc/elements/1.1/' xmlns:ns1='http://schemas.openxmlformats.org/package/2006/metadata/core-properties' " w:xpath="/ns1:coreProperties[1]/ns0:title[1]" w:storeItemID="{6C3C8BC8-F283-45AE-878A-BAB7291924A1}"/>
        <w:text/>
      </w:sdtPr>
      <w:sdtEndPr/>
      <w:sdtContent>
        <w:r w:rsidR="009F675A">
          <w:t>Finanční analýza podniku Disting s.r.o.</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C8C5A" w14:textId="77777777" w:rsidR="00685DD9" w:rsidRPr="00CE1A04" w:rsidRDefault="00685DD9" w:rsidP="00CE1A0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501F1" w14:textId="77777777" w:rsidR="00387B07" w:rsidRPr="00825B26" w:rsidRDefault="00387B07" w:rsidP="00825B2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FA8EE" w14:textId="77777777" w:rsidR="00A639A6" w:rsidRPr="009951BF" w:rsidRDefault="00A639A6" w:rsidP="00C612F9">
    <w:pPr>
      <w:pStyle w:val="ZPZhlavvlevo"/>
    </w:pPr>
    <w:r>
      <w:t>Obsah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8DA1" w14:textId="77777777" w:rsidR="00A639A6" w:rsidRPr="009951BF" w:rsidRDefault="00A639A6" w:rsidP="00C612F9">
    <w:pPr>
      <w:pStyle w:val="ZPZhlavvpravo"/>
    </w:pPr>
    <w:r>
      <w:t>Obsah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34E0" w14:textId="2A9DF3F4" w:rsidR="00D063DA" w:rsidRPr="00B90C89" w:rsidRDefault="00181CDB" w:rsidP="00D063DA">
    <w:pPr>
      <w:pStyle w:val="ZPZhlavvlevo"/>
      <w:tabs>
        <w:tab w:val="left" w:pos="4740"/>
      </w:tabs>
    </w:pPr>
    <w:r w:rsidRPr="00B90C89">
      <w:rPr>
        <w:noProof/>
      </w:rPr>
      <w:fldChar w:fldCharType="begin"/>
    </w:r>
    <w:r w:rsidRPr="00B90C89">
      <w:rPr>
        <w:noProof/>
      </w:rPr>
      <w:instrText xml:space="preserve"> STYLEREF  </w:instrText>
    </w:r>
    <w:r w:rsidR="00B04FEC" w:rsidRPr="00B90C89">
      <w:rPr>
        <w:noProof/>
      </w:rPr>
      <w:instrText>1</w:instrText>
    </w:r>
    <w:r w:rsidRPr="00B90C89">
      <w:rPr>
        <w:noProof/>
      </w:rPr>
      <w:instrText xml:space="preserve">  \* MERGEFORMAT </w:instrText>
    </w:r>
    <w:r w:rsidRPr="00B90C89">
      <w:rPr>
        <w:noProof/>
      </w:rPr>
      <w:fldChar w:fldCharType="separate"/>
    </w:r>
    <w:r w:rsidR="00020ABA">
      <w:rPr>
        <w:noProof/>
      </w:rPr>
      <w:t>Analýza rozvahy a výkazu zisku a ztrát</w:t>
    </w:r>
    <w:r w:rsidRPr="00B90C89">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5F55A" w14:textId="5866BA90" w:rsidR="00387B07" w:rsidRPr="00B90C89" w:rsidRDefault="00181CDB" w:rsidP="00C612F9">
    <w:pPr>
      <w:pStyle w:val="ZPZhlavvpravo"/>
    </w:pPr>
    <w:r w:rsidRPr="00B90C89">
      <w:rPr>
        <w:noProof/>
      </w:rPr>
      <w:fldChar w:fldCharType="begin"/>
    </w:r>
    <w:r w:rsidRPr="00B90C89">
      <w:rPr>
        <w:noProof/>
      </w:rPr>
      <w:instrText xml:space="preserve"> STYLEREF  </w:instrText>
    </w:r>
    <w:r w:rsidR="00B04FEC" w:rsidRPr="00B90C89">
      <w:rPr>
        <w:noProof/>
      </w:rPr>
      <w:instrText>1</w:instrText>
    </w:r>
    <w:r w:rsidRPr="00B90C89">
      <w:rPr>
        <w:noProof/>
      </w:rPr>
      <w:instrText xml:space="preserve">  \* MERGEFORMAT </w:instrText>
    </w:r>
    <w:r w:rsidRPr="00B90C89">
      <w:rPr>
        <w:noProof/>
      </w:rPr>
      <w:fldChar w:fldCharType="separate"/>
    </w:r>
    <w:r w:rsidR="00020ABA">
      <w:rPr>
        <w:noProof/>
      </w:rPr>
      <w:t>Analýza podnikového prostředí</w:t>
    </w:r>
    <w:r w:rsidRPr="00B90C89">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69FE" w14:textId="01912B76" w:rsidR="00FE1A2F" w:rsidRPr="00083FB7" w:rsidRDefault="00FE1A2F" w:rsidP="00380E1B">
    <w:pPr>
      <w:pStyle w:val="ZPZhlavvlevo"/>
      <w:rPr>
        <w:noProof/>
      </w:rPr>
    </w:pPr>
    <w:r>
      <w:rPr>
        <w:noProof/>
      </w:rPr>
      <w:fldChar w:fldCharType="begin"/>
    </w:r>
    <w:r>
      <w:rPr>
        <w:noProof/>
      </w:rPr>
      <w:instrText xml:space="preserve"> STYLEREF  "Nadpis 1*"  \* MERGEFORMAT </w:instrText>
    </w:r>
    <w:r>
      <w:rPr>
        <w:noProof/>
      </w:rPr>
      <w:fldChar w:fldCharType="separate"/>
    </w:r>
    <w:r w:rsidR="00020ABA">
      <w:rPr>
        <w:b/>
        <w:bCs/>
        <w:noProof/>
      </w:rPr>
      <w:t>Chyba! V dokumentu není žádný text v zadaném stylu.</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674B" w14:textId="654496A0" w:rsidR="00362604" w:rsidRPr="00083DFF" w:rsidRDefault="00362604" w:rsidP="00083DF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207D4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slovanseznam2"/>
      <w:lvlText w:val="%1."/>
      <w:lvlJc w:val="left"/>
      <w:pPr>
        <w:tabs>
          <w:tab w:val="num" w:pos="643"/>
        </w:tabs>
        <w:ind w:left="643" w:hanging="360"/>
      </w:pPr>
    </w:lvl>
  </w:abstractNum>
  <w:abstractNum w:abstractNumId="4" w15:restartNumberingAfterBreak="0">
    <w:nsid w:val="FFFFFF82"/>
    <w:multiLevelType w:val="singleLevel"/>
    <w:tmpl w:val="408C8D5E"/>
    <w:styleLink w:val="Decimlnslovn"/>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AA822AA"/>
    <w:styleLink w:val="Ptirovovsmenseznam"/>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3392EF40"/>
    <w:lvl w:ilvl="0">
      <w:start w:val="1"/>
      <w:numFmt w:val="decimal"/>
      <w:pStyle w:val="slovanseznam"/>
      <w:lvlText w:val="%1."/>
      <w:lvlJc w:val="right"/>
      <w:pPr>
        <w:ind w:left="540" w:hanging="60"/>
      </w:pPr>
      <w:rPr>
        <w:rFonts w:hint="default"/>
      </w:rPr>
    </w:lvl>
  </w:abstractNum>
  <w:abstractNum w:abstractNumId="7" w15:restartNumberingAfterBreak="0">
    <w:nsid w:val="FFFFFF89"/>
    <w:multiLevelType w:val="singleLevel"/>
    <w:tmpl w:val="2F4CF4A0"/>
    <w:lvl w:ilvl="0">
      <w:start w:val="1"/>
      <w:numFmt w:val="bullet"/>
      <w:pStyle w:val="Seznamsodrkami"/>
      <w:lvlText w:val=""/>
      <w:lvlJc w:val="left"/>
      <w:pPr>
        <w:tabs>
          <w:tab w:val="num" w:pos="539"/>
        </w:tabs>
        <w:ind w:left="540" w:hanging="60"/>
      </w:pPr>
      <w:rPr>
        <w:rFonts w:ascii="Symbol" w:hAnsi="Symbol" w:hint="default"/>
      </w:rPr>
    </w:lvl>
  </w:abstractNum>
  <w:abstractNum w:abstractNumId="8" w15:restartNumberingAfterBreak="0">
    <w:nsid w:val="06616E0E"/>
    <w:multiLevelType w:val="multilevel"/>
    <w:tmpl w:val="AEBA885E"/>
    <w:styleLink w:val="slovnkapitol"/>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pStyle w:val="Nadpis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9391094"/>
    <w:multiLevelType w:val="hybridMultilevel"/>
    <w:tmpl w:val="79DA084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0A977BC8"/>
    <w:multiLevelType w:val="multilevel"/>
    <w:tmpl w:val="F498FD58"/>
    <w:lvl w:ilvl="0">
      <w:start w:val="5"/>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0FF1095"/>
    <w:multiLevelType w:val="hybridMultilevel"/>
    <w:tmpl w:val="608C5942"/>
    <w:lvl w:ilvl="0" w:tplc="6698637E">
      <w:start w:val="5"/>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FD53038"/>
    <w:multiLevelType w:val="hybridMultilevel"/>
    <w:tmpl w:val="24289318"/>
    <w:lvl w:ilvl="0" w:tplc="04050001">
      <w:start w:val="1"/>
      <w:numFmt w:val="bullet"/>
      <w:lvlText w:val=""/>
      <w:lvlJc w:val="left"/>
      <w:pPr>
        <w:ind w:left="1202" w:hanging="360"/>
      </w:pPr>
      <w:rPr>
        <w:rFonts w:ascii="Symbol" w:hAnsi="Symbol" w:hint="default"/>
      </w:rPr>
    </w:lvl>
    <w:lvl w:ilvl="1" w:tplc="04050003">
      <w:start w:val="1"/>
      <w:numFmt w:val="bullet"/>
      <w:lvlText w:val="o"/>
      <w:lvlJc w:val="left"/>
      <w:pPr>
        <w:ind w:left="643" w:hanging="360"/>
      </w:pPr>
      <w:rPr>
        <w:rFonts w:ascii="Courier New" w:hAnsi="Courier New" w:cs="Courier New" w:hint="default"/>
      </w:rPr>
    </w:lvl>
    <w:lvl w:ilvl="2" w:tplc="04050005">
      <w:start w:val="1"/>
      <w:numFmt w:val="bullet"/>
      <w:lvlText w:val=""/>
      <w:lvlJc w:val="left"/>
      <w:pPr>
        <w:ind w:left="1069"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14" w15:restartNumberingAfterBreak="0">
    <w:nsid w:val="3D8E3D15"/>
    <w:multiLevelType w:val="multilevel"/>
    <w:tmpl w:val="C84A64D6"/>
    <w:styleLink w:val="ZPVetsodrkami"/>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A16F3B"/>
    <w:multiLevelType w:val="multilevel"/>
    <w:tmpl w:val="748A675E"/>
    <w:numStyleLink w:val="slovnploh"/>
  </w:abstractNum>
  <w:abstractNum w:abstractNumId="16" w15:restartNumberingAfterBreak="0">
    <w:nsid w:val="400A11CE"/>
    <w:multiLevelType w:val="multilevel"/>
    <w:tmpl w:val="748A675E"/>
    <w:styleLink w:val="slovnploh"/>
    <w:lvl w:ilvl="0">
      <w:start w:val="1"/>
      <w:numFmt w:val="upperLetter"/>
      <w:pStyle w:val="Ploha1"/>
      <w:lvlText w:val="Příloha %1"/>
      <w:lvlJc w:val="left"/>
      <w:pPr>
        <w:ind w:left="1701" w:hanging="1701"/>
      </w:pPr>
      <w:rPr>
        <w:rFonts w:hint="default"/>
      </w:rPr>
    </w:lvl>
    <w:lvl w:ilvl="1">
      <w:start w:val="1"/>
      <w:numFmt w:val="decimal"/>
      <w:pStyle w:val="Ploha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67829DB"/>
    <w:multiLevelType w:val="hybridMultilevel"/>
    <w:tmpl w:val="C4209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DAF057B"/>
    <w:multiLevelType w:val="hybridMultilevel"/>
    <w:tmpl w:val="FF48088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4EB24B54"/>
    <w:multiLevelType w:val="hybridMultilevel"/>
    <w:tmpl w:val="9AE022BE"/>
    <w:lvl w:ilvl="0" w:tplc="56F427F8">
      <w:start w:val="1"/>
      <w:numFmt w:val="decimal"/>
      <w:pStyle w:val="ZPLiteratura"/>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8E16BEE"/>
    <w:multiLevelType w:val="multilevel"/>
    <w:tmpl w:val="BA9C7C44"/>
    <w:lvl w:ilvl="0">
      <w:start w:val="1"/>
      <w:numFmt w:val="decimal"/>
      <w:pStyle w:val="7C5D38C841C7463A9DD7C17FE250AFA711"/>
      <w:lvlText w:val="%1."/>
      <w:lvlJc w:val="left"/>
      <w:pPr>
        <w:tabs>
          <w:tab w:val="num" w:pos="720"/>
        </w:tabs>
        <w:ind w:left="720" w:hanging="720"/>
      </w:pPr>
    </w:lvl>
    <w:lvl w:ilvl="1">
      <w:start w:val="1"/>
      <w:numFmt w:val="decimal"/>
      <w:pStyle w:val="8A8A910B8AA34CD7A42465204528F8A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BA2222F"/>
    <w:multiLevelType w:val="multilevel"/>
    <w:tmpl w:val="AEBA885E"/>
    <w:numStyleLink w:val="slovnkapitol"/>
  </w:abstractNum>
  <w:abstractNum w:abstractNumId="22" w15:restartNumberingAfterBreak="0">
    <w:nsid w:val="5E6474E5"/>
    <w:multiLevelType w:val="multilevel"/>
    <w:tmpl w:val="AC920F1E"/>
    <w:lvl w:ilvl="0">
      <w:start w:val="6"/>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FB747BC"/>
    <w:multiLevelType w:val="hybridMultilevel"/>
    <w:tmpl w:val="9DDC8A4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65A13024"/>
    <w:multiLevelType w:val="hybridMultilevel"/>
    <w:tmpl w:val="8EDAC450"/>
    <w:lvl w:ilvl="0" w:tplc="0405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9302C69"/>
    <w:multiLevelType w:val="multilevel"/>
    <w:tmpl w:val="FFF62484"/>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F013925"/>
    <w:multiLevelType w:val="hybridMultilevel"/>
    <w:tmpl w:val="F1F01A68"/>
    <w:lvl w:ilvl="0" w:tplc="917E3320">
      <w:start w:val="1"/>
      <w:numFmt w:val="bullet"/>
      <w:lvlText w:val=""/>
      <w:lvlJc w:val="left"/>
      <w:pPr>
        <w:tabs>
          <w:tab w:val="num" w:pos="720"/>
        </w:tabs>
        <w:ind w:left="720" w:hanging="360"/>
      </w:pPr>
      <w:rPr>
        <w:rFonts w:ascii="Wingdings" w:hAnsi="Wingdings" w:hint="default"/>
      </w:rPr>
    </w:lvl>
    <w:lvl w:ilvl="1" w:tplc="D7CC66A2" w:tentative="1">
      <w:start w:val="1"/>
      <w:numFmt w:val="bullet"/>
      <w:lvlText w:val=""/>
      <w:lvlJc w:val="left"/>
      <w:pPr>
        <w:tabs>
          <w:tab w:val="num" w:pos="1440"/>
        </w:tabs>
        <w:ind w:left="1440" w:hanging="360"/>
      </w:pPr>
      <w:rPr>
        <w:rFonts w:ascii="Wingdings" w:hAnsi="Wingdings" w:hint="default"/>
      </w:rPr>
    </w:lvl>
    <w:lvl w:ilvl="2" w:tplc="DFF07404" w:tentative="1">
      <w:start w:val="1"/>
      <w:numFmt w:val="bullet"/>
      <w:lvlText w:val=""/>
      <w:lvlJc w:val="left"/>
      <w:pPr>
        <w:tabs>
          <w:tab w:val="num" w:pos="2160"/>
        </w:tabs>
        <w:ind w:left="2160" w:hanging="360"/>
      </w:pPr>
      <w:rPr>
        <w:rFonts w:ascii="Wingdings" w:hAnsi="Wingdings" w:hint="default"/>
      </w:rPr>
    </w:lvl>
    <w:lvl w:ilvl="3" w:tplc="2A321190" w:tentative="1">
      <w:start w:val="1"/>
      <w:numFmt w:val="bullet"/>
      <w:lvlText w:val=""/>
      <w:lvlJc w:val="left"/>
      <w:pPr>
        <w:tabs>
          <w:tab w:val="num" w:pos="2880"/>
        </w:tabs>
        <w:ind w:left="2880" w:hanging="360"/>
      </w:pPr>
      <w:rPr>
        <w:rFonts w:ascii="Wingdings" w:hAnsi="Wingdings" w:hint="default"/>
      </w:rPr>
    </w:lvl>
    <w:lvl w:ilvl="4" w:tplc="3B80FFFA" w:tentative="1">
      <w:start w:val="1"/>
      <w:numFmt w:val="bullet"/>
      <w:lvlText w:val=""/>
      <w:lvlJc w:val="left"/>
      <w:pPr>
        <w:tabs>
          <w:tab w:val="num" w:pos="3600"/>
        </w:tabs>
        <w:ind w:left="3600" w:hanging="360"/>
      </w:pPr>
      <w:rPr>
        <w:rFonts w:ascii="Wingdings" w:hAnsi="Wingdings" w:hint="default"/>
      </w:rPr>
    </w:lvl>
    <w:lvl w:ilvl="5" w:tplc="DB2E2C5C" w:tentative="1">
      <w:start w:val="1"/>
      <w:numFmt w:val="bullet"/>
      <w:lvlText w:val=""/>
      <w:lvlJc w:val="left"/>
      <w:pPr>
        <w:tabs>
          <w:tab w:val="num" w:pos="4320"/>
        </w:tabs>
        <w:ind w:left="4320" w:hanging="360"/>
      </w:pPr>
      <w:rPr>
        <w:rFonts w:ascii="Wingdings" w:hAnsi="Wingdings" w:hint="default"/>
      </w:rPr>
    </w:lvl>
    <w:lvl w:ilvl="6" w:tplc="39A831BC" w:tentative="1">
      <w:start w:val="1"/>
      <w:numFmt w:val="bullet"/>
      <w:lvlText w:val=""/>
      <w:lvlJc w:val="left"/>
      <w:pPr>
        <w:tabs>
          <w:tab w:val="num" w:pos="5040"/>
        </w:tabs>
        <w:ind w:left="5040" w:hanging="360"/>
      </w:pPr>
      <w:rPr>
        <w:rFonts w:ascii="Wingdings" w:hAnsi="Wingdings" w:hint="default"/>
      </w:rPr>
    </w:lvl>
    <w:lvl w:ilvl="7" w:tplc="3E720FDC" w:tentative="1">
      <w:start w:val="1"/>
      <w:numFmt w:val="bullet"/>
      <w:lvlText w:val=""/>
      <w:lvlJc w:val="left"/>
      <w:pPr>
        <w:tabs>
          <w:tab w:val="num" w:pos="5760"/>
        </w:tabs>
        <w:ind w:left="5760" w:hanging="360"/>
      </w:pPr>
      <w:rPr>
        <w:rFonts w:ascii="Wingdings" w:hAnsi="Wingdings" w:hint="default"/>
      </w:rPr>
    </w:lvl>
    <w:lvl w:ilvl="8" w:tplc="D636732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abstractNum w:abstractNumId="28" w15:restartNumberingAfterBreak="0">
    <w:nsid w:val="74C87687"/>
    <w:multiLevelType w:val="multilevel"/>
    <w:tmpl w:val="C8225FC4"/>
    <w:lvl w:ilvl="0">
      <w:start w:val="3"/>
      <w:numFmt w:val="decimal"/>
      <w:lvlText w:val="%1"/>
      <w:lvlJc w:val="left"/>
      <w:pPr>
        <w:ind w:left="380" w:hanging="3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5AB6741"/>
    <w:multiLevelType w:val="multilevel"/>
    <w:tmpl w:val="AEBA885E"/>
    <w:styleLink w:val="Vcerovovseznam"/>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B483EC3"/>
    <w:multiLevelType w:val="hybridMultilevel"/>
    <w:tmpl w:val="D0C487FC"/>
    <w:lvl w:ilvl="0" w:tplc="1E1C58F0">
      <w:numFmt w:val="bullet"/>
      <w:lvlText w:val="-"/>
      <w:lvlJc w:val="left"/>
      <w:pPr>
        <w:ind w:left="1202" w:hanging="360"/>
      </w:pPr>
      <w:rPr>
        <w:rFonts w:ascii="Cambria" w:eastAsia="Times New Roman" w:hAnsi="Cambria" w:cs="Times New Roman"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num w:numId="1" w16cid:durableId="697004991">
    <w:abstractNumId w:val="11"/>
  </w:num>
  <w:num w:numId="2" w16cid:durableId="804351868">
    <w:abstractNumId w:val="27"/>
  </w:num>
  <w:num w:numId="3" w16cid:durableId="873420922">
    <w:abstractNumId w:val="19"/>
  </w:num>
  <w:num w:numId="4" w16cid:durableId="1555239939">
    <w:abstractNumId w:val="14"/>
  </w:num>
  <w:num w:numId="5" w16cid:durableId="10648445">
    <w:abstractNumId w:val="8"/>
  </w:num>
  <w:num w:numId="6" w16cid:durableId="820318399">
    <w:abstractNumId w:val="16"/>
  </w:num>
  <w:num w:numId="7" w16cid:durableId="1426732074">
    <w:abstractNumId w:val="6"/>
  </w:num>
  <w:num w:numId="8" w16cid:durableId="1824468587">
    <w:abstractNumId w:val="3"/>
  </w:num>
  <w:num w:numId="9" w16cid:durableId="498349428">
    <w:abstractNumId w:val="2"/>
  </w:num>
  <w:num w:numId="10" w16cid:durableId="1861312753">
    <w:abstractNumId w:val="1"/>
  </w:num>
  <w:num w:numId="11" w16cid:durableId="335353787">
    <w:abstractNumId w:val="0"/>
  </w:num>
  <w:num w:numId="12" w16cid:durableId="1599219410">
    <w:abstractNumId w:val="7"/>
  </w:num>
  <w:num w:numId="13" w16cid:durableId="194733780">
    <w:abstractNumId w:val="29"/>
  </w:num>
  <w:num w:numId="14" w16cid:durableId="2009474895">
    <w:abstractNumId w:val="5"/>
  </w:num>
  <w:num w:numId="15" w16cid:durableId="210699632">
    <w:abstractNumId w:val="4"/>
  </w:num>
  <w:num w:numId="16" w16cid:durableId="664821099">
    <w:abstractNumId w:val="2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36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929847112">
    <w:abstractNumId w:val="20"/>
  </w:num>
  <w:num w:numId="18" w16cid:durableId="835999855">
    <w:abstractNumId w:val="15"/>
  </w:num>
  <w:num w:numId="19" w16cid:durableId="557016439">
    <w:abstractNumId w:val="21"/>
  </w:num>
  <w:num w:numId="20" w16cid:durableId="114645653">
    <w:abstractNumId w:val="13"/>
  </w:num>
  <w:num w:numId="21" w16cid:durableId="134032423">
    <w:abstractNumId w:val="30"/>
  </w:num>
  <w:num w:numId="22" w16cid:durableId="441614015">
    <w:abstractNumId w:val="23"/>
  </w:num>
  <w:num w:numId="23" w16cid:durableId="1358846940">
    <w:abstractNumId w:val="18"/>
  </w:num>
  <w:num w:numId="24" w16cid:durableId="555891733">
    <w:abstractNumId w:val="12"/>
  </w:num>
  <w:num w:numId="25" w16cid:durableId="1452936868">
    <w:abstractNumId w:val="2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715857086">
    <w:abstractNumId w:val="28"/>
  </w:num>
  <w:num w:numId="27" w16cid:durableId="779495561">
    <w:abstractNumId w:val="25"/>
  </w:num>
  <w:num w:numId="28" w16cid:durableId="1413359187">
    <w:abstractNumId w:val="26"/>
  </w:num>
  <w:num w:numId="29" w16cid:durableId="1325400423">
    <w:abstractNumId w:val="10"/>
  </w:num>
  <w:num w:numId="30" w16cid:durableId="739332519">
    <w:abstractNumId w:val="22"/>
  </w:num>
  <w:num w:numId="31" w16cid:durableId="1426656416">
    <w:abstractNumId w:val="17"/>
  </w:num>
  <w:num w:numId="32" w16cid:durableId="1761488971">
    <w:abstractNumId w:val="9"/>
  </w:num>
  <w:num w:numId="33" w16cid:durableId="2040156527">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autoHyphenation/>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40C"/>
    <w:rsid w:val="00000509"/>
    <w:rsid w:val="00001EE3"/>
    <w:rsid w:val="00001F88"/>
    <w:rsid w:val="0000435F"/>
    <w:rsid w:val="000046C4"/>
    <w:rsid w:val="00005ADD"/>
    <w:rsid w:val="00006358"/>
    <w:rsid w:val="00006912"/>
    <w:rsid w:val="00006A66"/>
    <w:rsid w:val="00006E3F"/>
    <w:rsid w:val="000071ED"/>
    <w:rsid w:val="000112FE"/>
    <w:rsid w:val="0001265C"/>
    <w:rsid w:val="00013B5A"/>
    <w:rsid w:val="00013C69"/>
    <w:rsid w:val="00013D49"/>
    <w:rsid w:val="000140C2"/>
    <w:rsid w:val="00014D1E"/>
    <w:rsid w:val="00015306"/>
    <w:rsid w:val="000161DB"/>
    <w:rsid w:val="00016DE6"/>
    <w:rsid w:val="00017916"/>
    <w:rsid w:val="0002099A"/>
    <w:rsid w:val="00020ABA"/>
    <w:rsid w:val="000217A6"/>
    <w:rsid w:val="00021CA6"/>
    <w:rsid w:val="00021CED"/>
    <w:rsid w:val="0002247A"/>
    <w:rsid w:val="00022617"/>
    <w:rsid w:val="00022F2D"/>
    <w:rsid w:val="000253EB"/>
    <w:rsid w:val="00025650"/>
    <w:rsid w:val="00025951"/>
    <w:rsid w:val="0002657B"/>
    <w:rsid w:val="00027983"/>
    <w:rsid w:val="0003139D"/>
    <w:rsid w:val="000317C5"/>
    <w:rsid w:val="00031EAC"/>
    <w:rsid w:val="00031FF6"/>
    <w:rsid w:val="000320B3"/>
    <w:rsid w:val="0003264B"/>
    <w:rsid w:val="0003276D"/>
    <w:rsid w:val="00032EBD"/>
    <w:rsid w:val="00033887"/>
    <w:rsid w:val="00033D24"/>
    <w:rsid w:val="0003782D"/>
    <w:rsid w:val="00041230"/>
    <w:rsid w:val="000412DB"/>
    <w:rsid w:val="0004183D"/>
    <w:rsid w:val="000425FC"/>
    <w:rsid w:val="00042887"/>
    <w:rsid w:val="000428D4"/>
    <w:rsid w:val="00043481"/>
    <w:rsid w:val="000446A5"/>
    <w:rsid w:val="00045288"/>
    <w:rsid w:val="00047200"/>
    <w:rsid w:val="00050649"/>
    <w:rsid w:val="00052FFB"/>
    <w:rsid w:val="0005345C"/>
    <w:rsid w:val="000534A1"/>
    <w:rsid w:val="0005354C"/>
    <w:rsid w:val="000541EB"/>
    <w:rsid w:val="0005583E"/>
    <w:rsid w:val="00055BC3"/>
    <w:rsid w:val="000560A6"/>
    <w:rsid w:val="00056287"/>
    <w:rsid w:val="000565B2"/>
    <w:rsid w:val="0005671A"/>
    <w:rsid w:val="00056FC6"/>
    <w:rsid w:val="0005762C"/>
    <w:rsid w:val="00057E3B"/>
    <w:rsid w:val="00060247"/>
    <w:rsid w:val="00061EC6"/>
    <w:rsid w:val="00062C3F"/>
    <w:rsid w:val="00062E26"/>
    <w:rsid w:val="0006349B"/>
    <w:rsid w:val="0006529E"/>
    <w:rsid w:val="0006632C"/>
    <w:rsid w:val="00067C23"/>
    <w:rsid w:val="0007384C"/>
    <w:rsid w:val="0007427B"/>
    <w:rsid w:val="000744B3"/>
    <w:rsid w:val="000744D1"/>
    <w:rsid w:val="000750A4"/>
    <w:rsid w:val="000759C0"/>
    <w:rsid w:val="00075B6E"/>
    <w:rsid w:val="000835ED"/>
    <w:rsid w:val="00083DFF"/>
    <w:rsid w:val="00083FB7"/>
    <w:rsid w:val="00085B95"/>
    <w:rsid w:val="00091290"/>
    <w:rsid w:val="000915D1"/>
    <w:rsid w:val="00091FDC"/>
    <w:rsid w:val="00092CEE"/>
    <w:rsid w:val="0009326E"/>
    <w:rsid w:val="000935CB"/>
    <w:rsid w:val="000947C3"/>
    <w:rsid w:val="00095544"/>
    <w:rsid w:val="00095EBD"/>
    <w:rsid w:val="0009688F"/>
    <w:rsid w:val="00097B78"/>
    <w:rsid w:val="000A0556"/>
    <w:rsid w:val="000A3426"/>
    <w:rsid w:val="000A409B"/>
    <w:rsid w:val="000A4F22"/>
    <w:rsid w:val="000A53B4"/>
    <w:rsid w:val="000A61FE"/>
    <w:rsid w:val="000A6FAC"/>
    <w:rsid w:val="000A7778"/>
    <w:rsid w:val="000A77EC"/>
    <w:rsid w:val="000A7E3D"/>
    <w:rsid w:val="000B06E2"/>
    <w:rsid w:val="000B073E"/>
    <w:rsid w:val="000B1384"/>
    <w:rsid w:val="000B205F"/>
    <w:rsid w:val="000B2255"/>
    <w:rsid w:val="000B2830"/>
    <w:rsid w:val="000B2873"/>
    <w:rsid w:val="000B2FE1"/>
    <w:rsid w:val="000B3212"/>
    <w:rsid w:val="000B35CE"/>
    <w:rsid w:val="000B393E"/>
    <w:rsid w:val="000B3CD4"/>
    <w:rsid w:val="000B3D2E"/>
    <w:rsid w:val="000B4BC5"/>
    <w:rsid w:val="000B5697"/>
    <w:rsid w:val="000B5A44"/>
    <w:rsid w:val="000B5C70"/>
    <w:rsid w:val="000B6679"/>
    <w:rsid w:val="000B7594"/>
    <w:rsid w:val="000C08A2"/>
    <w:rsid w:val="000C10A5"/>
    <w:rsid w:val="000C1EEA"/>
    <w:rsid w:val="000C241A"/>
    <w:rsid w:val="000C290D"/>
    <w:rsid w:val="000C2A54"/>
    <w:rsid w:val="000C34B8"/>
    <w:rsid w:val="000C35FC"/>
    <w:rsid w:val="000C5229"/>
    <w:rsid w:val="000C534B"/>
    <w:rsid w:val="000C6F81"/>
    <w:rsid w:val="000C7FC9"/>
    <w:rsid w:val="000D6BE1"/>
    <w:rsid w:val="000D7065"/>
    <w:rsid w:val="000D7A70"/>
    <w:rsid w:val="000D7EF4"/>
    <w:rsid w:val="000E09F0"/>
    <w:rsid w:val="000E0DD5"/>
    <w:rsid w:val="000E17C7"/>
    <w:rsid w:val="000E1807"/>
    <w:rsid w:val="000E1E9A"/>
    <w:rsid w:val="000E2574"/>
    <w:rsid w:val="000E30AF"/>
    <w:rsid w:val="000E313E"/>
    <w:rsid w:val="000E3253"/>
    <w:rsid w:val="000E41C6"/>
    <w:rsid w:val="000E680F"/>
    <w:rsid w:val="000E751F"/>
    <w:rsid w:val="000E7865"/>
    <w:rsid w:val="000F183A"/>
    <w:rsid w:val="000F1C94"/>
    <w:rsid w:val="000F2AD6"/>
    <w:rsid w:val="000F4076"/>
    <w:rsid w:val="000F4529"/>
    <w:rsid w:val="000F4C55"/>
    <w:rsid w:val="000F55C5"/>
    <w:rsid w:val="000F6A7D"/>
    <w:rsid w:val="000F6CF5"/>
    <w:rsid w:val="00100381"/>
    <w:rsid w:val="001035B3"/>
    <w:rsid w:val="00104C84"/>
    <w:rsid w:val="001061C1"/>
    <w:rsid w:val="001062EC"/>
    <w:rsid w:val="00106540"/>
    <w:rsid w:val="0010714E"/>
    <w:rsid w:val="001076D1"/>
    <w:rsid w:val="00107A6D"/>
    <w:rsid w:val="00107AE7"/>
    <w:rsid w:val="00107E23"/>
    <w:rsid w:val="00111DFA"/>
    <w:rsid w:val="001124E0"/>
    <w:rsid w:val="00112E55"/>
    <w:rsid w:val="0011305D"/>
    <w:rsid w:val="00113C71"/>
    <w:rsid w:val="001153F9"/>
    <w:rsid w:val="00115804"/>
    <w:rsid w:val="001165B2"/>
    <w:rsid w:val="00117512"/>
    <w:rsid w:val="00120040"/>
    <w:rsid w:val="00120459"/>
    <w:rsid w:val="00121296"/>
    <w:rsid w:val="00121855"/>
    <w:rsid w:val="00122F2B"/>
    <w:rsid w:val="00123134"/>
    <w:rsid w:val="001231B9"/>
    <w:rsid w:val="001247B2"/>
    <w:rsid w:val="00125214"/>
    <w:rsid w:val="001259DA"/>
    <w:rsid w:val="00125C78"/>
    <w:rsid w:val="00126F13"/>
    <w:rsid w:val="00127018"/>
    <w:rsid w:val="001300CE"/>
    <w:rsid w:val="00130C24"/>
    <w:rsid w:val="00130CDD"/>
    <w:rsid w:val="00130CFF"/>
    <w:rsid w:val="00130F92"/>
    <w:rsid w:val="00131E61"/>
    <w:rsid w:val="001334BD"/>
    <w:rsid w:val="00133EA9"/>
    <w:rsid w:val="001342B3"/>
    <w:rsid w:val="001348DE"/>
    <w:rsid w:val="00135DE7"/>
    <w:rsid w:val="001360E0"/>
    <w:rsid w:val="00137895"/>
    <w:rsid w:val="00137A7E"/>
    <w:rsid w:val="001411FE"/>
    <w:rsid w:val="00141984"/>
    <w:rsid w:val="00142CD9"/>
    <w:rsid w:val="00142FD5"/>
    <w:rsid w:val="00144D48"/>
    <w:rsid w:val="00145757"/>
    <w:rsid w:val="001458A2"/>
    <w:rsid w:val="0014794E"/>
    <w:rsid w:val="00147BC7"/>
    <w:rsid w:val="001502EF"/>
    <w:rsid w:val="001507E3"/>
    <w:rsid w:val="00150827"/>
    <w:rsid w:val="00152D96"/>
    <w:rsid w:val="00154884"/>
    <w:rsid w:val="00155D44"/>
    <w:rsid w:val="001575CC"/>
    <w:rsid w:val="00157B44"/>
    <w:rsid w:val="00157BBE"/>
    <w:rsid w:val="00160D1F"/>
    <w:rsid w:val="00161E5E"/>
    <w:rsid w:val="00162CE3"/>
    <w:rsid w:val="0016330D"/>
    <w:rsid w:val="001637A0"/>
    <w:rsid w:val="001640C9"/>
    <w:rsid w:val="001640FF"/>
    <w:rsid w:val="001647B6"/>
    <w:rsid w:val="00165351"/>
    <w:rsid w:val="00165AB0"/>
    <w:rsid w:val="00166437"/>
    <w:rsid w:val="00166709"/>
    <w:rsid w:val="0016712A"/>
    <w:rsid w:val="00167632"/>
    <w:rsid w:val="00170B79"/>
    <w:rsid w:val="00170E55"/>
    <w:rsid w:val="001754A7"/>
    <w:rsid w:val="0017653E"/>
    <w:rsid w:val="00176D79"/>
    <w:rsid w:val="00177036"/>
    <w:rsid w:val="00177293"/>
    <w:rsid w:val="001775ED"/>
    <w:rsid w:val="00180733"/>
    <w:rsid w:val="00181534"/>
    <w:rsid w:val="001815E4"/>
    <w:rsid w:val="00181A38"/>
    <w:rsid w:val="00181CDB"/>
    <w:rsid w:val="00183417"/>
    <w:rsid w:val="00184F20"/>
    <w:rsid w:val="00185DF0"/>
    <w:rsid w:val="00186DF6"/>
    <w:rsid w:val="001879D2"/>
    <w:rsid w:val="00187C57"/>
    <w:rsid w:val="00190BA6"/>
    <w:rsid w:val="0019156C"/>
    <w:rsid w:val="00191875"/>
    <w:rsid w:val="001918F3"/>
    <w:rsid w:val="00191A87"/>
    <w:rsid w:val="00191AE3"/>
    <w:rsid w:val="00191BB3"/>
    <w:rsid w:val="00192FBD"/>
    <w:rsid w:val="0019350D"/>
    <w:rsid w:val="00193CD0"/>
    <w:rsid w:val="00193D5F"/>
    <w:rsid w:val="00194596"/>
    <w:rsid w:val="001947AE"/>
    <w:rsid w:val="0019494B"/>
    <w:rsid w:val="00196CB2"/>
    <w:rsid w:val="00196CE0"/>
    <w:rsid w:val="001A0240"/>
    <w:rsid w:val="001A0669"/>
    <w:rsid w:val="001A0806"/>
    <w:rsid w:val="001A2755"/>
    <w:rsid w:val="001A2784"/>
    <w:rsid w:val="001A30FA"/>
    <w:rsid w:val="001A329F"/>
    <w:rsid w:val="001A3E2A"/>
    <w:rsid w:val="001A5AA3"/>
    <w:rsid w:val="001B0C5E"/>
    <w:rsid w:val="001B0FAF"/>
    <w:rsid w:val="001B43CD"/>
    <w:rsid w:val="001B66E7"/>
    <w:rsid w:val="001B6723"/>
    <w:rsid w:val="001B6E6F"/>
    <w:rsid w:val="001B7C33"/>
    <w:rsid w:val="001B7E20"/>
    <w:rsid w:val="001C07DC"/>
    <w:rsid w:val="001C149A"/>
    <w:rsid w:val="001C1559"/>
    <w:rsid w:val="001C1573"/>
    <w:rsid w:val="001C2BE3"/>
    <w:rsid w:val="001C3922"/>
    <w:rsid w:val="001C53D2"/>
    <w:rsid w:val="001C7095"/>
    <w:rsid w:val="001C7DF2"/>
    <w:rsid w:val="001D0065"/>
    <w:rsid w:val="001D0120"/>
    <w:rsid w:val="001D0A90"/>
    <w:rsid w:val="001D0B68"/>
    <w:rsid w:val="001D101D"/>
    <w:rsid w:val="001D1750"/>
    <w:rsid w:val="001D182B"/>
    <w:rsid w:val="001D2C3B"/>
    <w:rsid w:val="001D463D"/>
    <w:rsid w:val="001D5ECF"/>
    <w:rsid w:val="001D6310"/>
    <w:rsid w:val="001D7E60"/>
    <w:rsid w:val="001E07A1"/>
    <w:rsid w:val="001E1714"/>
    <w:rsid w:val="001E176F"/>
    <w:rsid w:val="001E25D9"/>
    <w:rsid w:val="001E44E4"/>
    <w:rsid w:val="001E46A1"/>
    <w:rsid w:val="001E533C"/>
    <w:rsid w:val="001E58D2"/>
    <w:rsid w:val="001E5D77"/>
    <w:rsid w:val="001E6186"/>
    <w:rsid w:val="001F099A"/>
    <w:rsid w:val="001F14BE"/>
    <w:rsid w:val="001F1501"/>
    <w:rsid w:val="001F216B"/>
    <w:rsid w:val="001F3FB3"/>
    <w:rsid w:val="001F4C13"/>
    <w:rsid w:val="001F5586"/>
    <w:rsid w:val="001F6DB2"/>
    <w:rsid w:val="001F7526"/>
    <w:rsid w:val="00200998"/>
    <w:rsid w:val="00200EFC"/>
    <w:rsid w:val="00200FAE"/>
    <w:rsid w:val="00201946"/>
    <w:rsid w:val="00202A1A"/>
    <w:rsid w:val="00202C21"/>
    <w:rsid w:val="00203419"/>
    <w:rsid w:val="002041D3"/>
    <w:rsid w:val="00206140"/>
    <w:rsid w:val="00206160"/>
    <w:rsid w:val="00206C38"/>
    <w:rsid w:val="002074EA"/>
    <w:rsid w:val="002108AF"/>
    <w:rsid w:val="00210BCE"/>
    <w:rsid w:val="00210C1C"/>
    <w:rsid w:val="002125CA"/>
    <w:rsid w:val="00212D6F"/>
    <w:rsid w:val="00212F01"/>
    <w:rsid w:val="002155EC"/>
    <w:rsid w:val="002166F3"/>
    <w:rsid w:val="00216FC4"/>
    <w:rsid w:val="0021779F"/>
    <w:rsid w:val="002179EE"/>
    <w:rsid w:val="002209AF"/>
    <w:rsid w:val="002211DC"/>
    <w:rsid w:val="002215A4"/>
    <w:rsid w:val="00221D18"/>
    <w:rsid w:val="00221E94"/>
    <w:rsid w:val="00221FDA"/>
    <w:rsid w:val="00222391"/>
    <w:rsid w:val="0022418D"/>
    <w:rsid w:val="00224A2B"/>
    <w:rsid w:val="00224A6A"/>
    <w:rsid w:val="00225224"/>
    <w:rsid w:val="00227477"/>
    <w:rsid w:val="0022788C"/>
    <w:rsid w:val="00227ADA"/>
    <w:rsid w:val="00230C70"/>
    <w:rsid w:val="00231698"/>
    <w:rsid w:val="0023175A"/>
    <w:rsid w:val="00231C3D"/>
    <w:rsid w:val="00231D9D"/>
    <w:rsid w:val="00232D22"/>
    <w:rsid w:val="00232E9E"/>
    <w:rsid w:val="0023579F"/>
    <w:rsid w:val="00235A6C"/>
    <w:rsid w:val="00235F32"/>
    <w:rsid w:val="00236A4F"/>
    <w:rsid w:val="002374DA"/>
    <w:rsid w:val="00241905"/>
    <w:rsid w:val="00242473"/>
    <w:rsid w:val="002435DD"/>
    <w:rsid w:val="00244547"/>
    <w:rsid w:val="00246080"/>
    <w:rsid w:val="0025030E"/>
    <w:rsid w:val="00250646"/>
    <w:rsid w:val="002533B1"/>
    <w:rsid w:val="002537C5"/>
    <w:rsid w:val="00254DE7"/>
    <w:rsid w:val="0025618F"/>
    <w:rsid w:val="002562E2"/>
    <w:rsid w:val="00256CE0"/>
    <w:rsid w:val="00256DDA"/>
    <w:rsid w:val="00260772"/>
    <w:rsid w:val="00260BE0"/>
    <w:rsid w:val="00260CCE"/>
    <w:rsid w:val="00261245"/>
    <w:rsid w:val="00262ED4"/>
    <w:rsid w:val="00262F7C"/>
    <w:rsid w:val="00265127"/>
    <w:rsid w:val="00265B8B"/>
    <w:rsid w:val="00267625"/>
    <w:rsid w:val="00267FCC"/>
    <w:rsid w:val="002700E0"/>
    <w:rsid w:val="002704FB"/>
    <w:rsid w:val="00272247"/>
    <w:rsid w:val="00272DAB"/>
    <w:rsid w:val="002733AE"/>
    <w:rsid w:val="00273605"/>
    <w:rsid w:val="00274587"/>
    <w:rsid w:val="00274B6F"/>
    <w:rsid w:val="00274F8F"/>
    <w:rsid w:val="002752AB"/>
    <w:rsid w:val="00276546"/>
    <w:rsid w:val="002767C1"/>
    <w:rsid w:val="00277777"/>
    <w:rsid w:val="00277E56"/>
    <w:rsid w:val="00280732"/>
    <w:rsid w:val="00280F8B"/>
    <w:rsid w:val="00281708"/>
    <w:rsid w:val="0028267F"/>
    <w:rsid w:val="00282A56"/>
    <w:rsid w:val="0028333C"/>
    <w:rsid w:val="002837D3"/>
    <w:rsid w:val="00283847"/>
    <w:rsid w:val="00284ABE"/>
    <w:rsid w:val="002851D9"/>
    <w:rsid w:val="0028594B"/>
    <w:rsid w:val="00285A57"/>
    <w:rsid w:val="0028623A"/>
    <w:rsid w:val="002870D0"/>
    <w:rsid w:val="00287C69"/>
    <w:rsid w:val="00287D5D"/>
    <w:rsid w:val="0029114E"/>
    <w:rsid w:val="00292027"/>
    <w:rsid w:val="00292856"/>
    <w:rsid w:val="00293146"/>
    <w:rsid w:val="002936FB"/>
    <w:rsid w:val="00294658"/>
    <w:rsid w:val="00297122"/>
    <w:rsid w:val="002977AE"/>
    <w:rsid w:val="00297DF9"/>
    <w:rsid w:val="002A08BD"/>
    <w:rsid w:val="002A1B59"/>
    <w:rsid w:val="002A200E"/>
    <w:rsid w:val="002A2330"/>
    <w:rsid w:val="002A3A71"/>
    <w:rsid w:val="002A4CDC"/>
    <w:rsid w:val="002A5A44"/>
    <w:rsid w:val="002A7E7E"/>
    <w:rsid w:val="002B31E7"/>
    <w:rsid w:val="002B4421"/>
    <w:rsid w:val="002B4E2A"/>
    <w:rsid w:val="002B74FD"/>
    <w:rsid w:val="002B7610"/>
    <w:rsid w:val="002B783B"/>
    <w:rsid w:val="002C0686"/>
    <w:rsid w:val="002C1422"/>
    <w:rsid w:val="002C168E"/>
    <w:rsid w:val="002C1AA6"/>
    <w:rsid w:val="002C2098"/>
    <w:rsid w:val="002C2851"/>
    <w:rsid w:val="002C295F"/>
    <w:rsid w:val="002C3346"/>
    <w:rsid w:val="002C3DF7"/>
    <w:rsid w:val="002C448D"/>
    <w:rsid w:val="002C45F0"/>
    <w:rsid w:val="002C66A7"/>
    <w:rsid w:val="002C6A3C"/>
    <w:rsid w:val="002C6AE0"/>
    <w:rsid w:val="002C7B95"/>
    <w:rsid w:val="002D1885"/>
    <w:rsid w:val="002D3E40"/>
    <w:rsid w:val="002D5F86"/>
    <w:rsid w:val="002D6E23"/>
    <w:rsid w:val="002D7200"/>
    <w:rsid w:val="002D78BA"/>
    <w:rsid w:val="002D7929"/>
    <w:rsid w:val="002E0572"/>
    <w:rsid w:val="002E0A6D"/>
    <w:rsid w:val="002E2753"/>
    <w:rsid w:val="002E3570"/>
    <w:rsid w:val="002E4095"/>
    <w:rsid w:val="002E4677"/>
    <w:rsid w:val="002E640F"/>
    <w:rsid w:val="002E64FA"/>
    <w:rsid w:val="002E6D5A"/>
    <w:rsid w:val="002E70B1"/>
    <w:rsid w:val="002E7589"/>
    <w:rsid w:val="002F109A"/>
    <w:rsid w:val="002F1CAB"/>
    <w:rsid w:val="002F24E6"/>
    <w:rsid w:val="002F30C1"/>
    <w:rsid w:val="002F37E1"/>
    <w:rsid w:val="002F3B1C"/>
    <w:rsid w:val="002F53B1"/>
    <w:rsid w:val="002F69B5"/>
    <w:rsid w:val="002F7F74"/>
    <w:rsid w:val="003003A3"/>
    <w:rsid w:val="00300432"/>
    <w:rsid w:val="0030088B"/>
    <w:rsid w:val="003009CB"/>
    <w:rsid w:val="00300D63"/>
    <w:rsid w:val="00301537"/>
    <w:rsid w:val="00301793"/>
    <w:rsid w:val="00301CB9"/>
    <w:rsid w:val="00301CCA"/>
    <w:rsid w:val="00302069"/>
    <w:rsid w:val="00302287"/>
    <w:rsid w:val="0030249F"/>
    <w:rsid w:val="003026FA"/>
    <w:rsid w:val="00302838"/>
    <w:rsid w:val="00302D98"/>
    <w:rsid w:val="003033E5"/>
    <w:rsid w:val="003037CE"/>
    <w:rsid w:val="0030413B"/>
    <w:rsid w:val="00304E54"/>
    <w:rsid w:val="003051A2"/>
    <w:rsid w:val="0030575A"/>
    <w:rsid w:val="00305BEA"/>
    <w:rsid w:val="00310428"/>
    <w:rsid w:val="00310990"/>
    <w:rsid w:val="003109F5"/>
    <w:rsid w:val="00310EB7"/>
    <w:rsid w:val="00311A12"/>
    <w:rsid w:val="00311E99"/>
    <w:rsid w:val="00312767"/>
    <w:rsid w:val="00312B94"/>
    <w:rsid w:val="003137A7"/>
    <w:rsid w:val="00314029"/>
    <w:rsid w:val="003146F2"/>
    <w:rsid w:val="0031550A"/>
    <w:rsid w:val="0031690F"/>
    <w:rsid w:val="0032019F"/>
    <w:rsid w:val="00321567"/>
    <w:rsid w:val="00321E0B"/>
    <w:rsid w:val="00321F48"/>
    <w:rsid w:val="003241F4"/>
    <w:rsid w:val="00324A13"/>
    <w:rsid w:val="00325491"/>
    <w:rsid w:val="00325AA1"/>
    <w:rsid w:val="00326F22"/>
    <w:rsid w:val="0032701E"/>
    <w:rsid w:val="00327B3D"/>
    <w:rsid w:val="00327C1E"/>
    <w:rsid w:val="00330F77"/>
    <w:rsid w:val="0033263E"/>
    <w:rsid w:val="00332D36"/>
    <w:rsid w:val="0033791E"/>
    <w:rsid w:val="00340921"/>
    <w:rsid w:val="00341933"/>
    <w:rsid w:val="00341FAA"/>
    <w:rsid w:val="00342068"/>
    <w:rsid w:val="003425F8"/>
    <w:rsid w:val="00344EFE"/>
    <w:rsid w:val="003451DC"/>
    <w:rsid w:val="00345341"/>
    <w:rsid w:val="0034553C"/>
    <w:rsid w:val="00345C9D"/>
    <w:rsid w:val="00345EDE"/>
    <w:rsid w:val="00346382"/>
    <w:rsid w:val="00350850"/>
    <w:rsid w:val="0035231C"/>
    <w:rsid w:val="003524EA"/>
    <w:rsid w:val="0035283B"/>
    <w:rsid w:val="003541A3"/>
    <w:rsid w:val="00354ECD"/>
    <w:rsid w:val="00356C09"/>
    <w:rsid w:val="00357473"/>
    <w:rsid w:val="003578FF"/>
    <w:rsid w:val="00357F74"/>
    <w:rsid w:val="003612FA"/>
    <w:rsid w:val="00362604"/>
    <w:rsid w:val="00362D52"/>
    <w:rsid w:val="00363D8E"/>
    <w:rsid w:val="0036423D"/>
    <w:rsid w:val="003643B1"/>
    <w:rsid w:val="00364ACB"/>
    <w:rsid w:val="00364EA5"/>
    <w:rsid w:val="00365C7F"/>
    <w:rsid w:val="0036613B"/>
    <w:rsid w:val="00366D2C"/>
    <w:rsid w:val="0036732B"/>
    <w:rsid w:val="003673E2"/>
    <w:rsid w:val="00367A1C"/>
    <w:rsid w:val="0037037F"/>
    <w:rsid w:val="003705FB"/>
    <w:rsid w:val="00370E7B"/>
    <w:rsid w:val="003733CC"/>
    <w:rsid w:val="003735CB"/>
    <w:rsid w:val="00373624"/>
    <w:rsid w:val="0037380B"/>
    <w:rsid w:val="00375119"/>
    <w:rsid w:val="00375F0B"/>
    <w:rsid w:val="00377338"/>
    <w:rsid w:val="003801A6"/>
    <w:rsid w:val="003806F6"/>
    <w:rsid w:val="00380E1B"/>
    <w:rsid w:val="00381A9F"/>
    <w:rsid w:val="00382410"/>
    <w:rsid w:val="00383521"/>
    <w:rsid w:val="00383EB3"/>
    <w:rsid w:val="00384F48"/>
    <w:rsid w:val="00385F54"/>
    <w:rsid w:val="00386FD6"/>
    <w:rsid w:val="0038701C"/>
    <w:rsid w:val="003879CB"/>
    <w:rsid w:val="00387B07"/>
    <w:rsid w:val="00387CB9"/>
    <w:rsid w:val="00390F24"/>
    <w:rsid w:val="0039149C"/>
    <w:rsid w:val="00392706"/>
    <w:rsid w:val="003934A8"/>
    <w:rsid w:val="00393AF8"/>
    <w:rsid w:val="00394561"/>
    <w:rsid w:val="00394B1E"/>
    <w:rsid w:val="003951A6"/>
    <w:rsid w:val="00396190"/>
    <w:rsid w:val="00396880"/>
    <w:rsid w:val="00396D5F"/>
    <w:rsid w:val="003A1217"/>
    <w:rsid w:val="003A1954"/>
    <w:rsid w:val="003A2C8B"/>
    <w:rsid w:val="003A2DE8"/>
    <w:rsid w:val="003A3227"/>
    <w:rsid w:val="003A4108"/>
    <w:rsid w:val="003A4539"/>
    <w:rsid w:val="003A54DD"/>
    <w:rsid w:val="003A5B77"/>
    <w:rsid w:val="003A66E1"/>
    <w:rsid w:val="003A7992"/>
    <w:rsid w:val="003A7CEA"/>
    <w:rsid w:val="003B0A9A"/>
    <w:rsid w:val="003B12CF"/>
    <w:rsid w:val="003B16CB"/>
    <w:rsid w:val="003B2655"/>
    <w:rsid w:val="003B2FD8"/>
    <w:rsid w:val="003B3105"/>
    <w:rsid w:val="003B3B2F"/>
    <w:rsid w:val="003B40D5"/>
    <w:rsid w:val="003B498F"/>
    <w:rsid w:val="003B4F50"/>
    <w:rsid w:val="003B5577"/>
    <w:rsid w:val="003B6227"/>
    <w:rsid w:val="003B676C"/>
    <w:rsid w:val="003B7C9B"/>
    <w:rsid w:val="003B7D13"/>
    <w:rsid w:val="003C1229"/>
    <w:rsid w:val="003C22A4"/>
    <w:rsid w:val="003C3B34"/>
    <w:rsid w:val="003C3FD7"/>
    <w:rsid w:val="003C4046"/>
    <w:rsid w:val="003C4F38"/>
    <w:rsid w:val="003C4FBC"/>
    <w:rsid w:val="003C52CA"/>
    <w:rsid w:val="003C55A2"/>
    <w:rsid w:val="003C6B01"/>
    <w:rsid w:val="003D0E21"/>
    <w:rsid w:val="003D12A0"/>
    <w:rsid w:val="003D1810"/>
    <w:rsid w:val="003D2003"/>
    <w:rsid w:val="003D2A7C"/>
    <w:rsid w:val="003D2A99"/>
    <w:rsid w:val="003D2D22"/>
    <w:rsid w:val="003D335B"/>
    <w:rsid w:val="003D35FF"/>
    <w:rsid w:val="003D3882"/>
    <w:rsid w:val="003D414F"/>
    <w:rsid w:val="003D4729"/>
    <w:rsid w:val="003D4EB8"/>
    <w:rsid w:val="003D5A72"/>
    <w:rsid w:val="003D6D6A"/>
    <w:rsid w:val="003D7716"/>
    <w:rsid w:val="003D7DB2"/>
    <w:rsid w:val="003E00D7"/>
    <w:rsid w:val="003E165E"/>
    <w:rsid w:val="003E2E28"/>
    <w:rsid w:val="003E397A"/>
    <w:rsid w:val="003E3A5B"/>
    <w:rsid w:val="003E5411"/>
    <w:rsid w:val="003E693F"/>
    <w:rsid w:val="003E6F4C"/>
    <w:rsid w:val="003E7125"/>
    <w:rsid w:val="003E7C04"/>
    <w:rsid w:val="003F0285"/>
    <w:rsid w:val="003F0388"/>
    <w:rsid w:val="003F455C"/>
    <w:rsid w:val="003F5354"/>
    <w:rsid w:val="003F57E8"/>
    <w:rsid w:val="003F5AEE"/>
    <w:rsid w:val="003F6398"/>
    <w:rsid w:val="003F666A"/>
    <w:rsid w:val="003F69CD"/>
    <w:rsid w:val="003F6D61"/>
    <w:rsid w:val="003F6E32"/>
    <w:rsid w:val="003F7028"/>
    <w:rsid w:val="00400B21"/>
    <w:rsid w:val="00401756"/>
    <w:rsid w:val="00402B80"/>
    <w:rsid w:val="00403B1A"/>
    <w:rsid w:val="00405AE8"/>
    <w:rsid w:val="00406BD1"/>
    <w:rsid w:val="00412789"/>
    <w:rsid w:val="00413503"/>
    <w:rsid w:val="004137C7"/>
    <w:rsid w:val="0041503D"/>
    <w:rsid w:val="00415108"/>
    <w:rsid w:val="00415B11"/>
    <w:rsid w:val="004168FC"/>
    <w:rsid w:val="00416B87"/>
    <w:rsid w:val="00417009"/>
    <w:rsid w:val="004170A8"/>
    <w:rsid w:val="00417CCE"/>
    <w:rsid w:val="00421ACF"/>
    <w:rsid w:val="004235C2"/>
    <w:rsid w:val="00424749"/>
    <w:rsid w:val="00425DAE"/>
    <w:rsid w:val="0042696F"/>
    <w:rsid w:val="004273F6"/>
    <w:rsid w:val="00427DF1"/>
    <w:rsid w:val="00431A47"/>
    <w:rsid w:val="0043239B"/>
    <w:rsid w:val="00432739"/>
    <w:rsid w:val="00433AC5"/>
    <w:rsid w:val="00434473"/>
    <w:rsid w:val="00434981"/>
    <w:rsid w:val="00435B73"/>
    <w:rsid w:val="00437B1A"/>
    <w:rsid w:val="00437E92"/>
    <w:rsid w:val="004410EA"/>
    <w:rsid w:val="00441B8E"/>
    <w:rsid w:val="00442F0C"/>
    <w:rsid w:val="004432E2"/>
    <w:rsid w:val="004433C7"/>
    <w:rsid w:val="00444042"/>
    <w:rsid w:val="00444B8E"/>
    <w:rsid w:val="004463EE"/>
    <w:rsid w:val="00446971"/>
    <w:rsid w:val="00446EAC"/>
    <w:rsid w:val="00447129"/>
    <w:rsid w:val="00447A56"/>
    <w:rsid w:val="00447D37"/>
    <w:rsid w:val="0045066B"/>
    <w:rsid w:val="004532CC"/>
    <w:rsid w:val="0045402F"/>
    <w:rsid w:val="00454387"/>
    <w:rsid w:val="00454EEA"/>
    <w:rsid w:val="00455139"/>
    <w:rsid w:val="00455C27"/>
    <w:rsid w:val="0045673C"/>
    <w:rsid w:val="00456D17"/>
    <w:rsid w:val="0045722D"/>
    <w:rsid w:val="00457906"/>
    <w:rsid w:val="00457A41"/>
    <w:rsid w:val="00457A74"/>
    <w:rsid w:val="004622BA"/>
    <w:rsid w:val="004624AF"/>
    <w:rsid w:val="004631F9"/>
    <w:rsid w:val="004632FB"/>
    <w:rsid w:val="00464CF0"/>
    <w:rsid w:val="00465207"/>
    <w:rsid w:val="00465511"/>
    <w:rsid w:val="004668F5"/>
    <w:rsid w:val="004674B1"/>
    <w:rsid w:val="00470B3C"/>
    <w:rsid w:val="00470CEC"/>
    <w:rsid w:val="0047106E"/>
    <w:rsid w:val="0047272D"/>
    <w:rsid w:val="0047325D"/>
    <w:rsid w:val="004743C2"/>
    <w:rsid w:val="004748C4"/>
    <w:rsid w:val="00474E35"/>
    <w:rsid w:val="0047570D"/>
    <w:rsid w:val="00475D27"/>
    <w:rsid w:val="00475F10"/>
    <w:rsid w:val="00476769"/>
    <w:rsid w:val="00476EB7"/>
    <w:rsid w:val="00480B76"/>
    <w:rsid w:val="00480D41"/>
    <w:rsid w:val="00480E24"/>
    <w:rsid w:val="00482B0E"/>
    <w:rsid w:val="00482CE5"/>
    <w:rsid w:val="00482E80"/>
    <w:rsid w:val="004838D2"/>
    <w:rsid w:val="004842E3"/>
    <w:rsid w:val="004849B1"/>
    <w:rsid w:val="0048509E"/>
    <w:rsid w:val="004868C1"/>
    <w:rsid w:val="0048704E"/>
    <w:rsid w:val="00492088"/>
    <w:rsid w:val="004922F1"/>
    <w:rsid w:val="00492B34"/>
    <w:rsid w:val="004932BC"/>
    <w:rsid w:val="0049372C"/>
    <w:rsid w:val="00493755"/>
    <w:rsid w:val="00493AE3"/>
    <w:rsid w:val="00494939"/>
    <w:rsid w:val="004952EE"/>
    <w:rsid w:val="00495F35"/>
    <w:rsid w:val="00496481"/>
    <w:rsid w:val="00497972"/>
    <w:rsid w:val="00497BA3"/>
    <w:rsid w:val="004A01A9"/>
    <w:rsid w:val="004A0DB7"/>
    <w:rsid w:val="004A14C7"/>
    <w:rsid w:val="004A15F7"/>
    <w:rsid w:val="004A2453"/>
    <w:rsid w:val="004A2B20"/>
    <w:rsid w:val="004A2BB9"/>
    <w:rsid w:val="004A33EF"/>
    <w:rsid w:val="004A48A0"/>
    <w:rsid w:val="004A4934"/>
    <w:rsid w:val="004A4E21"/>
    <w:rsid w:val="004A56A2"/>
    <w:rsid w:val="004A59DE"/>
    <w:rsid w:val="004A6406"/>
    <w:rsid w:val="004A6A56"/>
    <w:rsid w:val="004A7B07"/>
    <w:rsid w:val="004B13C9"/>
    <w:rsid w:val="004B2487"/>
    <w:rsid w:val="004B37B6"/>
    <w:rsid w:val="004B41A4"/>
    <w:rsid w:val="004B43B6"/>
    <w:rsid w:val="004B5CEA"/>
    <w:rsid w:val="004B6122"/>
    <w:rsid w:val="004C01E1"/>
    <w:rsid w:val="004C2C75"/>
    <w:rsid w:val="004C2ED7"/>
    <w:rsid w:val="004C3A23"/>
    <w:rsid w:val="004C4940"/>
    <w:rsid w:val="004C4987"/>
    <w:rsid w:val="004C5051"/>
    <w:rsid w:val="004C547F"/>
    <w:rsid w:val="004C5F59"/>
    <w:rsid w:val="004C67B2"/>
    <w:rsid w:val="004D0909"/>
    <w:rsid w:val="004D2467"/>
    <w:rsid w:val="004D24DC"/>
    <w:rsid w:val="004D4A13"/>
    <w:rsid w:val="004D528A"/>
    <w:rsid w:val="004D61E3"/>
    <w:rsid w:val="004D72F4"/>
    <w:rsid w:val="004D7EC1"/>
    <w:rsid w:val="004E0B5C"/>
    <w:rsid w:val="004E0F2F"/>
    <w:rsid w:val="004E2F00"/>
    <w:rsid w:val="004E3219"/>
    <w:rsid w:val="004E3ED9"/>
    <w:rsid w:val="004E4750"/>
    <w:rsid w:val="004E4B9D"/>
    <w:rsid w:val="004E4E3D"/>
    <w:rsid w:val="004E5C38"/>
    <w:rsid w:val="004E5CA3"/>
    <w:rsid w:val="004E740F"/>
    <w:rsid w:val="004F0301"/>
    <w:rsid w:val="004F056E"/>
    <w:rsid w:val="004F0E80"/>
    <w:rsid w:val="004F167E"/>
    <w:rsid w:val="004F1C84"/>
    <w:rsid w:val="004F1D63"/>
    <w:rsid w:val="004F2080"/>
    <w:rsid w:val="004F2118"/>
    <w:rsid w:val="004F40AB"/>
    <w:rsid w:val="004F432A"/>
    <w:rsid w:val="004F5216"/>
    <w:rsid w:val="004F5316"/>
    <w:rsid w:val="004F5F1C"/>
    <w:rsid w:val="004F6B39"/>
    <w:rsid w:val="005000E6"/>
    <w:rsid w:val="00500180"/>
    <w:rsid w:val="00500638"/>
    <w:rsid w:val="00502231"/>
    <w:rsid w:val="00502D91"/>
    <w:rsid w:val="00503ACC"/>
    <w:rsid w:val="00504204"/>
    <w:rsid w:val="00504943"/>
    <w:rsid w:val="00504F39"/>
    <w:rsid w:val="005064A3"/>
    <w:rsid w:val="00506A3F"/>
    <w:rsid w:val="00506DC5"/>
    <w:rsid w:val="0050797B"/>
    <w:rsid w:val="005079F5"/>
    <w:rsid w:val="00510625"/>
    <w:rsid w:val="00510C66"/>
    <w:rsid w:val="00511543"/>
    <w:rsid w:val="00511596"/>
    <w:rsid w:val="00512363"/>
    <w:rsid w:val="0051269A"/>
    <w:rsid w:val="00514024"/>
    <w:rsid w:val="00515E34"/>
    <w:rsid w:val="00515F92"/>
    <w:rsid w:val="00516360"/>
    <w:rsid w:val="00517296"/>
    <w:rsid w:val="0051767E"/>
    <w:rsid w:val="00517718"/>
    <w:rsid w:val="00517814"/>
    <w:rsid w:val="00521A02"/>
    <w:rsid w:val="00521AA8"/>
    <w:rsid w:val="0052234D"/>
    <w:rsid w:val="0052248D"/>
    <w:rsid w:val="00522501"/>
    <w:rsid w:val="00522BE0"/>
    <w:rsid w:val="00522F07"/>
    <w:rsid w:val="00523F5C"/>
    <w:rsid w:val="00524361"/>
    <w:rsid w:val="00524F05"/>
    <w:rsid w:val="005253A0"/>
    <w:rsid w:val="0052578F"/>
    <w:rsid w:val="00525CD8"/>
    <w:rsid w:val="0052762D"/>
    <w:rsid w:val="005306FD"/>
    <w:rsid w:val="00531BCB"/>
    <w:rsid w:val="0053281F"/>
    <w:rsid w:val="0053335C"/>
    <w:rsid w:val="00533A95"/>
    <w:rsid w:val="00535088"/>
    <w:rsid w:val="00535C5D"/>
    <w:rsid w:val="005362AF"/>
    <w:rsid w:val="0053636F"/>
    <w:rsid w:val="00537830"/>
    <w:rsid w:val="00537BCE"/>
    <w:rsid w:val="00537CA9"/>
    <w:rsid w:val="005419A0"/>
    <w:rsid w:val="00541E2B"/>
    <w:rsid w:val="0054310E"/>
    <w:rsid w:val="0054338A"/>
    <w:rsid w:val="00543751"/>
    <w:rsid w:val="00544064"/>
    <w:rsid w:val="005446D8"/>
    <w:rsid w:val="00544969"/>
    <w:rsid w:val="00544B9D"/>
    <w:rsid w:val="005450BF"/>
    <w:rsid w:val="005460F6"/>
    <w:rsid w:val="00546B84"/>
    <w:rsid w:val="00547FB8"/>
    <w:rsid w:val="00551D43"/>
    <w:rsid w:val="00552BC7"/>
    <w:rsid w:val="005543DF"/>
    <w:rsid w:val="00556152"/>
    <w:rsid w:val="005566DB"/>
    <w:rsid w:val="0055672C"/>
    <w:rsid w:val="005569D4"/>
    <w:rsid w:val="00556FD7"/>
    <w:rsid w:val="005573A5"/>
    <w:rsid w:val="0056036C"/>
    <w:rsid w:val="00561D5C"/>
    <w:rsid w:val="00562019"/>
    <w:rsid w:val="0056362B"/>
    <w:rsid w:val="00564575"/>
    <w:rsid w:val="005649E5"/>
    <w:rsid w:val="005655D5"/>
    <w:rsid w:val="005655F9"/>
    <w:rsid w:val="0056736D"/>
    <w:rsid w:val="00567BE1"/>
    <w:rsid w:val="00567C46"/>
    <w:rsid w:val="00567CEB"/>
    <w:rsid w:val="00567F54"/>
    <w:rsid w:val="00567F84"/>
    <w:rsid w:val="005719E0"/>
    <w:rsid w:val="005749E2"/>
    <w:rsid w:val="00574E1A"/>
    <w:rsid w:val="00575626"/>
    <w:rsid w:val="00575968"/>
    <w:rsid w:val="00575E7E"/>
    <w:rsid w:val="00576992"/>
    <w:rsid w:val="00576A89"/>
    <w:rsid w:val="00576E43"/>
    <w:rsid w:val="0057725C"/>
    <w:rsid w:val="005806A4"/>
    <w:rsid w:val="0058175D"/>
    <w:rsid w:val="00581933"/>
    <w:rsid w:val="00581F80"/>
    <w:rsid w:val="00583B0B"/>
    <w:rsid w:val="005843DF"/>
    <w:rsid w:val="00584650"/>
    <w:rsid w:val="00586847"/>
    <w:rsid w:val="0059021E"/>
    <w:rsid w:val="0059045D"/>
    <w:rsid w:val="005904F8"/>
    <w:rsid w:val="005905BA"/>
    <w:rsid w:val="005921E7"/>
    <w:rsid w:val="00592326"/>
    <w:rsid w:val="0059269E"/>
    <w:rsid w:val="00593A2D"/>
    <w:rsid w:val="00596FF4"/>
    <w:rsid w:val="005970B7"/>
    <w:rsid w:val="00597C2C"/>
    <w:rsid w:val="005A1464"/>
    <w:rsid w:val="005A15E5"/>
    <w:rsid w:val="005A20B0"/>
    <w:rsid w:val="005A40A7"/>
    <w:rsid w:val="005A65C5"/>
    <w:rsid w:val="005A6E61"/>
    <w:rsid w:val="005A7966"/>
    <w:rsid w:val="005A7D6D"/>
    <w:rsid w:val="005B07F8"/>
    <w:rsid w:val="005B11FE"/>
    <w:rsid w:val="005B2995"/>
    <w:rsid w:val="005B2DB8"/>
    <w:rsid w:val="005B2F86"/>
    <w:rsid w:val="005B3CE5"/>
    <w:rsid w:val="005B452E"/>
    <w:rsid w:val="005C1ED4"/>
    <w:rsid w:val="005C2120"/>
    <w:rsid w:val="005C3259"/>
    <w:rsid w:val="005C3CB8"/>
    <w:rsid w:val="005C665F"/>
    <w:rsid w:val="005C67C6"/>
    <w:rsid w:val="005C6F6E"/>
    <w:rsid w:val="005C77BF"/>
    <w:rsid w:val="005C7E62"/>
    <w:rsid w:val="005D16B0"/>
    <w:rsid w:val="005D2695"/>
    <w:rsid w:val="005D3032"/>
    <w:rsid w:val="005D346A"/>
    <w:rsid w:val="005D3879"/>
    <w:rsid w:val="005D3F47"/>
    <w:rsid w:val="005D3FA9"/>
    <w:rsid w:val="005D41D4"/>
    <w:rsid w:val="005D4698"/>
    <w:rsid w:val="005D4F1A"/>
    <w:rsid w:val="005D5356"/>
    <w:rsid w:val="005D5F70"/>
    <w:rsid w:val="005D625E"/>
    <w:rsid w:val="005D6619"/>
    <w:rsid w:val="005D7100"/>
    <w:rsid w:val="005D775E"/>
    <w:rsid w:val="005E1E0A"/>
    <w:rsid w:val="005E29A0"/>
    <w:rsid w:val="005E33D6"/>
    <w:rsid w:val="005E4C2C"/>
    <w:rsid w:val="005E4DF2"/>
    <w:rsid w:val="005E6BEE"/>
    <w:rsid w:val="005E7880"/>
    <w:rsid w:val="005F135F"/>
    <w:rsid w:val="005F1C86"/>
    <w:rsid w:val="005F224B"/>
    <w:rsid w:val="005F445D"/>
    <w:rsid w:val="005F523C"/>
    <w:rsid w:val="005F58DF"/>
    <w:rsid w:val="005F5A4B"/>
    <w:rsid w:val="005F5CD3"/>
    <w:rsid w:val="005F5ED2"/>
    <w:rsid w:val="005F66CA"/>
    <w:rsid w:val="005F725B"/>
    <w:rsid w:val="005F7BA3"/>
    <w:rsid w:val="00600188"/>
    <w:rsid w:val="00600520"/>
    <w:rsid w:val="0060097B"/>
    <w:rsid w:val="006014A8"/>
    <w:rsid w:val="006032BC"/>
    <w:rsid w:val="00603FE4"/>
    <w:rsid w:val="00604EFF"/>
    <w:rsid w:val="00605552"/>
    <w:rsid w:val="00606781"/>
    <w:rsid w:val="006070AB"/>
    <w:rsid w:val="006072DC"/>
    <w:rsid w:val="00607AE2"/>
    <w:rsid w:val="0061156F"/>
    <w:rsid w:val="00611A02"/>
    <w:rsid w:val="006122DC"/>
    <w:rsid w:val="00612ED3"/>
    <w:rsid w:val="00613707"/>
    <w:rsid w:val="00613775"/>
    <w:rsid w:val="00613E59"/>
    <w:rsid w:val="0061421A"/>
    <w:rsid w:val="00614906"/>
    <w:rsid w:val="0061507C"/>
    <w:rsid w:val="006153E1"/>
    <w:rsid w:val="00616D8A"/>
    <w:rsid w:val="006179B8"/>
    <w:rsid w:val="0062183D"/>
    <w:rsid w:val="006219B5"/>
    <w:rsid w:val="00623AEB"/>
    <w:rsid w:val="00624648"/>
    <w:rsid w:val="00624BA1"/>
    <w:rsid w:val="006252A6"/>
    <w:rsid w:val="0062604D"/>
    <w:rsid w:val="006269DC"/>
    <w:rsid w:val="00626C61"/>
    <w:rsid w:val="006276B9"/>
    <w:rsid w:val="00630F94"/>
    <w:rsid w:val="00631870"/>
    <w:rsid w:val="00631EEE"/>
    <w:rsid w:val="0063252B"/>
    <w:rsid w:val="00633434"/>
    <w:rsid w:val="00635D47"/>
    <w:rsid w:val="00635FC4"/>
    <w:rsid w:val="00636F02"/>
    <w:rsid w:val="00636FA7"/>
    <w:rsid w:val="00637496"/>
    <w:rsid w:val="006400F5"/>
    <w:rsid w:val="006421A9"/>
    <w:rsid w:val="00642537"/>
    <w:rsid w:val="00643756"/>
    <w:rsid w:val="0064592B"/>
    <w:rsid w:val="006463F5"/>
    <w:rsid w:val="006466F7"/>
    <w:rsid w:val="0064721E"/>
    <w:rsid w:val="0064724D"/>
    <w:rsid w:val="00647C19"/>
    <w:rsid w:val="00647CF7"/>
    <w:rsid w:val="00650564"/>
    <w:rsid w:val="00652454"/>
    <w:rsid w:val="006538B9"/>
    <w:rsid w:val="00654702"/>
    <w:rsid w:val="00655A3C"/>
    <w:rsid w:val="00655F57"/>
    <w:rsid w:val="00655F9C"/>
    <w:rsid w:val="00656535"/>
    <w:rsid w:val="00656B43"/>
    <w:rsid w:val="00656C84"/>
    <w:rsid w:val="00657462"/>
    <w:rsid w:val="00657A0F"/>
    <w:rsid w:val="006608C9"/>
    <w:rsid w:val="006613D4"/>
    <w:rsid w:val="00661992"/>
    <w:rsid w:val="00663599"/>
    <w:rsid w:val="00664FC0"/>
    <w:rsid w:val="00665A33"/>
    <w:rsid w:val="006668A0"/>
    <w:rsid w:val="00666E35"/>
    <w:rsid w:val="006675DE"/>
    <w:rsid w:val="006709BC"/>
    <w:rsid w:val="00671956"/>
    <w:rsid w:val="00673FC0"/>
    <w:rsid w:val="006748F7"/>
    <w:rsid w:val="006753EC"/>
    <w:rsid w:val="006767CE"/>
    <w:rsid w:val="00676B9F"/>
    <w:rsid w:val="00676DEC"/>
    <w:rsid w:val="00677782"/>
    <w:rsid w:val="006777C4"/>
    <w:rsid w:val="00677E39"/>
    <w:rsid w:val="006803AE"/>
    <w:rsid w:val="00681AAA"/>
    <w:rsid w:val="0068296E"/>
    <w:rsid w:val="00682B4D"/>
    <w:rsid w:val="00685655"/>
    <w:rsid w:val="00685852"/>
    <w:rsid w:val="00685DD9"/>
    <w:rsid w:val="00686598"/>
    <w:rsid w:val="006871DD"/>
    <w:rsid w:val="00687D32"/>
    <w:rsid w:val="006921C6"/>
    <w:rsid w:val="00692D32"/>
    <w:rsid w:val="00692D68"/>
    <w:rsid w:val="0069336E"/>
    <w:rsid w:val="0069368D"/>
    <w:rsid w:val="00693A74"/>
    <w:rsid w:val="00693F05"/>
    <w:rsid w:val="00693FCD"/>
    <w:rsid w:val="00694463"/>
    <w:rsid w:val="0069479D"/>
    <w:rsid w:val="0069572B"/>
    <w:rsid w:val="006959C8"/>
    <w:rsid w:val="006964D9"/>
    <w:rsid w:val="0069670E"/>
    <w:rsid w:val="00696B2B"/>
    <w:rsid w:val="00696E40"/>
    <w:rsid w:val="0069703A"/>
    <w:rsid w:val="00697C3F"/>
    <w:rsid w:val="006A0353"/>
    <w:rsid w:val="006A1389"/>
    <w:rsid w:val="006A1941"/>
    <w:rsid w:val="006A1DE5"/>
    <w:rsid w:val="006A2890"/>
    <w:rsid w:val="006A2A1F"/>
    <w:rsid w:val="006A3E16"/>
    <w:rsid w:val="006A4823"/>
    <w:rsid w:val="006A4CA4"/>
    <w:rsid w:val="006A5D0D"/>
    <w:rsid w:val="006A64F8"/>
    <w:rsid w:val="006A6A13"/>
    <w:rsid w:val="006A6A2A"/>
    <w:rsid w:val="006A6AAC"/>
    <w:rsid w:val="006A6C98"/>
    <w:rsid w:val="006A7D16"/>
    <w:rsid w:val="006B0A96"/>
    <w:rsid w:val="006B15F8"/>
    <w:rsid w:val="006B368B"/>
    <w:rsid w:val="006B3744"/>
    <w:rsid w:val="006B37FA"/>
    <w:rsid w:val="006B4416"/>
    <w:rsid w:val="006B4A0B"/>
    <w:rsid w:val="006B4E36"/>
    <w:rsid w:val="006B56B5"/>
    <w:rsid w:val="006B5811"/>
    <w:rsid w:val="006B5850"/>
    <w:rsid w:val="006B5ABA"/>
    <w:rsid w:val="006B78A7"/>
    <w:rsid w:val="006B78CF"/>
    <w:rsid w:val="006B7FF0"/>
    <w:rsid w:val="006C0CC8"/>
    <w:rsid w:val="006C1D14"/>
    <w:rsid w:val="006C2D7E"/>
    <w:rsid w:val="006C2E31"/>
    <w:rsid w:val="006C384C"/>
    <w:rsid w:val="006C528E"/>
    <w:rsid w:val="006C62AC"/>
    <w:rsid w:val="006C6F95"/>
    <w:rsid w:val="006D0672"/>
    <w:rsid w:val="006D2D11"/>
    <w:rsid w:val="006D3FCE"/>
    <w:rsid w:val="006D4EE2"/>
    <w:rsid w:val="006D4F47"/>
    <w:rsid w:val="006D6E24"/>
    <w:rsid w:val="006D7230"/>
    <w:rsid w:val="006E01A8"/>
    <w:rsid w:val="006E1910"/>
    <w:rsid w:val="006E2F26"/>
    <w:rsid w:val="006E36ED"/>
    <w:rsid w:val="006E3CC1"/>
    <w:rsid w:val="006E3D06"/>
    <w:rsid w:val="006E4BE8"/>
    <w:rsid w:val="006E4E35"/>
    <w:rsid w:val="006E4F54"/>
    <w:rsid w:val="006E5125"/>
    <w:rsid w:val="006E60DD"/>
    <w:rsid w:val="006E770E"/>
    <w:rsid w:val="006E78B5"/>
    <w:rsid w:val="006E7C8B"/>
    <w:rsid w:val="006F08C2"/>
    <w:rsid w:val="006F140B"/>
    <w:rsid w:val="006F172B"/>
    <w:rsid w:val="006F2973"/>
    <w:rsid w:val="006F2E8F"/>
    <w:rsid w:val="006F378B"/>
    <w:rsid w:val="006F45AE"/>
    <w:rsid w:val="006F4764"/>
    <w:rsid w:val="006F5171"/>
    <w:rsid w:val="006F5854"/>
    <w:rsid w:val="006F5C56"/>
    <w:rsid w:val="006F6265"/>
    <w:rsid w:val="006F7134"/>
    <w:rsid w:val="006F7636"/>
    <w:rsid w:val="006F7E0B"/>
    <w:rsid w:val="007003E0"/>
    <w:rsid w:val="007005CF"/>
    <w:rsid w:val="007006EF"/>
    <w:rsid w:val="00701A88"/>
    <w:rsid w:val="00702E7D"/>
    <w:rsid w:val="007032E8"/>
    <w:rsid w:val="007032F3"/>
    <w:rsid w:val="007037B7"/>
    <w:rsid w:val="007038D6"/>
    <w:rsid w:val="00703BB0"/>
    <w:rsid w:val="00704143"/>
    <w:rsid w:val="0070448E"/>
    <w:rsid w:val="00705DB6"/>
    <w:rsid w:val="007066FD"/>
    <w:rsid w:val="00706F3F"/>
    <w:rsid w:val="00710C27"/>
    <w:rsid w:val="0071243A"/>
    <w:rsid w:val="00712632"/>
    <w:rsid w:val="007127A1"/>
    <w:rsid w:val="007128B1"/>
    <w:rsid w:val="00713898"/>
    <w:rsid w:val="00713C76"/>
    <w:rsid w:val="00713DA5"/>
    <w:rsid w:val="007142B1"/>
    <w:rsid w:val="00714947"/>
    <w:rsid w:val="00717652"/>
    <w:rsid w:val="00720955"/>
    <w:rsid w:val="007209EE"/>
    <w:rsid w:val="00721B3A"/>
    <w:rsid w:val="007229E6"/>
    <w:rsid w:val="00722C15"/>
    <w:rsid w:val="00722D92"/>
    <w:rsid w:val="0072473C"/>
    <w:rsid w:val="00726757"/>
    <w:rsid w:val="00726A43"/>
    <w:rsid w:val="00726BAB"/>
    <w:rsid w:val="00727972"/>
    <w:rsid w:val="007304E0"/>
    <w:rsid w:val="007324FF"/>
    <w:rsid w:val="0073366B"/>
    <w:rsid w:val="007343A8"/>
    <w:rsid w:val="00734518"/>
    <w:rsid w:val="00737995"/>
    <w:rsid w:val="00740573"/>
    <w:rsid w:val="00740EE4"/>
    <w:rsid w:val="0074136B"/>
    <w:rsid w:val="0074241C"/>
    <w:rsid w:val="00742BF1"/>
    <w:rsid w:val="00742C2C"/>
    <w:rsid w:val="00743F57"/>
    <w:rsid w:val="007442AC"/>
    <w:rsid w:val="00745821"/>
    <w:rsid w:val="00745DDD"/>
    <w:rsid w:val="00746392"/>
    <w:rsid w:val="00746487"/>
    <w:rsid w:val="0074688C"/>
    <w:rsid w:val="007468F6"/>
    <w:rsid w:val="00747BD7"/>
    <w:rsid w:val="00747FF7"/>
    <w:rsid w:val="0075091C"/>
    <w:rsid w:val="007520B4"/>
    <w:rsid w:val="00753FD5"/>
    <w:rsid w:val="007555DA"/>
    <w:rsid w:val="007559A9"/>
    <w:rsid w:val="00755F1F"/>
    <w:rsid w:val="00756790"/>
    <w:rsid w:val="0076073E"/>
    <w:rsid w:val="00761D2F"/>
    <w:rsid w:val="00761D6B"/>
    <w:rsid w:val="00762881"/>
    <w:rsid w:val="007628AE"/>
    <w:rsid w:val="0076374D"/>
    <w:rsid w:val="00763D61"/>
    <w:rsid w:val="0076407F"/>
    <w:rsid w:val="007652B9"/>
    <w:rsid w:val="00766D93"/>
    <w:rsid w:val="007677DD"/>
    <w:rsid w:val="00767A7C"/>
    <w:rsid w:val="00767F68"/>
    <w:rsid w:val="00767FEB"/>
    <w:rsid w:val="00770882"/>
    <w:rsid w:val="00770F7B"/>
    <w:rsid w:val="0077144C"/>
    <w:rsid w:val="007723D7"/>
    <w:rsid w:val="00772774"/>
    <w:rsid w:val="0077393E"/>
    <w:rsid w:val="00773E9C"/>
    <w:rsid w:val="00774524"/>
    <w:rsid w:val="0077567B"/>
    <w:rsid w:val="00775C43"/>
    <w:rsid w:val="00776425"/>
    <w:rsid w:val="007766E7"/>
    <w:rsid w:val="007777D3"/>
    <w:rsid w:val="007817A2"/>
    <w:rsid w:val="00781B50"/>
    <w:rsid w:val="0078234F"/>
    <w:rsid w:val="00782521"/>
    <w:rsid w:val="0078293A"/>
    <w:rsid w:val="007848EA"/>
    <w:rsid w:val="00785FE4"/>
    <w:rsid w:val="007863E4"/>
    <w:rsid w:val="007865AC"/>
    <w:rsid w:val="0079058A"/>
    <w:rsid w:val="00790DCD"/>
    <w:rsid w:val="0079133C"/>
    <w:rsid w:val="00792233"/>
    <w:rsid w:val="00792309"/>
    <w:rsid w:val="007935C6"/>
    <w:rsid w:val="0079360C"/>
    <w:rsid w:val="00793F90"/>
    <w:rsid w:val="007945F3"/>
    <w:rsid w:val="00794BDC"/>
    <w:rsid w:val="007964EC"/>
    <w:rsid w:val="0079684A"/>
    <w:rsid w:val="00796B68"/>
    <w:rsid w:val="00797782"/>
    <w:rsid w:val="007A00EC"/>
    <w:rsid w:val="007A06E7"/>
    <w:rsid w:val="007A0825"/>
    <w:rsid w:val="007A128D"/>
    <w:rsid w:val="007A16B9"/>
    <w:rsid w:val="007A1F2E"/>
    <w:rsid w:val="007A26A7"/>
    <w:rsid w:val="007A31A2"/>
    <w:rsid w:val="007A31FF"/>
    <w:rsid w:val="007A3A8B"/>
    <w:rsid w:val="007A3D6D"/>
    <w:rsid w:val="007A4AF8"/>
    <w:rsid w:val="007A5BA1"/>
    <w:rsid w:val="007A5EE3"/>
    <w:rsid w:val="007A6350"/>
    <w:rsid w:val="007A6727"/>
    <w:rsid w:val="007A6F1B"/>
    <w:rsid w:val="007A70C1"/>
    <w:rsid w:val="007B034F"/>
    <w:rsid w:val="007B0D57"/>
    <w:rsid w:val="007B4194"/>
    <w:rsid w:val="007B4235"/>
    <w:rsid w:val="007B4F1A"/>
    <w:rsid w:val="007B63D5"/>
    <w:rsid w:val="007B6A87"/>
    <w:rsid w:val="007B6BFB"/>
    <w:rsid w:val="007B6D34"/>
    <w:rsid w:val="007B7799"/>
    <w:rsid w:val="007C050F"/>
    <w:rsid w:val="007C0619"/>
    <w:rsid w:val="007C0D94"/>
    <w:rsid w:val="007C2311"/>
    <w:rsid w:val="007C2514"/>
    <w:rsid w:val="007C294D"/>
    <w:rsid w:val="007C3BF9"/>
    <w:rsid w:val="007C4D3B"/>
    <w:rsid w:val="007D0BF5"/>
    <w:rsid w:val="007D15C2"/>
    <w:rsid w:val="007D30C4"/>
    <w:rsid w:val="007D312D"/>
    <w:rsid w:val="007D341B"/>
    <w:rsid w:val="007D3849"/>
    <w:rsid w:val="007D50D0"/>
    <w:rsid w:val="007D54E9"/>
    <w:rsid w:val="007D55EF"/>
    <w:rsid w:val="007D59CA"/>
    <w:rsid w:val="007D67C1"/>
    <w:rsid w:val="007D696E"/>
    <w:rsid w:val="007D7AC3"/>
    <w:rsid w:val="007D7E26"/>
    <w:rsid w:val="007E0B8D"/>
    <w:rsid w:val="007E0DAC"/>
    <w:rsid w:val="007E16E4"/>
    <w:rsid w:val="007E1ADE"/>
    <w:rsid w:val="007E3C3E"/>
    <w:rsid w:val="007E47E7"/>
    <w:rsid w:val="007E5512"/>
    <w:rsid w:val="007E5AB4"/>
    <w:rsid w:val="007E5CD7"/>
    <w:rsid w:val="007E6199"/>
    <w:rsid w:val="007E667D"/>
    <w:rsid w:val="007E6928"/>
    <w:rsid w:val="007E6BA2"/>
    <w:rsid w:val="007E6EF4"/>
    <w:rsid w:val="007E7F97"/>
    <w:rsid w:val="007F00C7"/>
    <w:rsid w:val="007F013D"/>
    <w:rsid w:val="007F048A"/>
    <w:rsid w:val="007F04A4"/>
    <w:rsid w:val="007F0A70"/>
    <w:rsid w:val="007F0FCC"/>
    <w:rsid w:val="007F12C7"/>
    <w:rsid w:val="007F1857"/>
    <w:rsid w:val="007F2FE1"/>
    <w:rsid w:val="007F3563"/>
    <w:rsid w:val="007F3F17"/>
    <w:rsid w:val="007F43F7"/>
    <w:rsid w:val="007F44FE"/>
    <w:rsid w:val="007F479B"/>
    <w:rsid w:val="007F5759"/>
    <w:rsid w:val="007F6F12"/>
    <w:rsid w:val="007F7A82"/>
    <w:rsid w:val="00801DF4"/>
    <w:rsid w:val="00802692"/>
    <w:rsid w:val="00802CD0"/>
    <w:rsid w:val="008040D0"/>
    <w:rsid w:val="0080444B"/>
    <w:rsid w:val="00805A0F"/>
    <w:rsid w:val="00805D05"/>
    <w:rsid w:val="0080705F"/>
    <w:rsid w:val="008071B6"/>
    <w:rsid w:val="00807BE3"/>
    <w:rsid w:val="00807D5C"/>
    <w:rsid w:val="00807DB4"/>
    <w:rsid w:val="00810B61"/>
    <w:rsid w:val="00810E82"/>
    <w:rsid w:val="008121E4"/>
    <w:rsid w:val="00812EBD"/>
    <w:rsid w:val="00813987"/>
    <w:rsid w:val="008145E1"/>
    <w:rsid w:val="00815559"/>
    <w:rsid w:val="00815D2B"/>
    <w:rsid w:val="00816D41"/>
    <w:rsid w:val="008177D4"/>
    <w:rsid w:val="008178C6"/>
    <w:rsid w:val="00820CF8"/>
    <w:rsid w:val="0082117B"/>
    <w:rsid w:val="0082162F"/>
    <w:rsid w:val="00821876"/>
    <w:rsid w:val="00821B87"/>
    <w:rsid w:val="0082290C"/>
    <w:rsid w:val="00822D98"/>
    <w:rsid w:val="0082346C"/>
    <w:rsid w:val="00823AAC"/>
    <w:rsid w:val="00824749"/>
    <w:rsid w:val="00825A03"/>
    <w:rsid w:val="00825B26"/>
    <w:rsid w:val="00825F85"/>
    <w:rsid w:val="00826D91"/>
    <w:rsid w:val="0082785C"/>
    <w:rsid w:val="00830705"/>
    <w:rsid w:val="00830CE4"/>
    <w:rsid w:val="00830EE3"/>
    <w:rsid w:val="00831231"/>
    <w:rsid w:val="0083198F"/>
    <w:rsid w:val="00831C9B"/>
    <w:rsid w:val="00831D18"/>
    <w:rsid w:val="00831EE1"/>
    <w:rsid w:val="00832550"/>
    <w:rsid w:val="008325D9"/>
    <w:rsid w:val="00832CB3"/>
    <w:rsid w:val="00832FA1"/>
    <w:rsid w:val="00833621"/>
    <w:rsid w:val="00833D6B"/>
    <w:rsid w:val="00834396"/>
    <w:rsid w:val="008357D0"/>
    <w:rsid w:val="00835890"/>
    <w:rsid w:val="0083739C"/>
    <w:rsid w:val="00837662"/>
    <w:rsid w:val="00837EC3"/>
    <w:rsid w:val="0084161E"/>
    <w:rsid w:val="008419DB"/>
    <w:rsid w:val="00842E72"/>
    <w:rsid w:val="00843507"/>
    <w:rsid w:val="00843594"/>
    <w:rsid w:val="00843BEB"/>
    <w:rsid w:val="00843C30"/>
    <w:rsid w:val="0084461E"/>
    <w:rsid w:val="008448B3"/>
    <w:rsid w:val="00844BB0"/>
    <w:rsid w:val="00845927"/>
    <w:rsid w:val="00845BB8"/>
    <w:rsid w:val="00845BF9"/>
    <w:rsid w:val="008460E9"/>
    <w:rsid w:val="008470D4"/>
    <w:rsid w:val="0085114E"/>
    <w:rsid w:val="008520E6"/>
    <w:rsid w:val="00852F37"/>
    <w:rsid w:val="008537C0"/>
    <w:rsid w:val="00853C55"/>
    <w:rsid w:val="008540FF"/>
    <w:rsid w:val="0085484B"/>
    <w:rsid w:val="00854932"/>
    <w:rsid w:val="00854963"/>
    <w:rsid w:val="00854D01"/>
    <w:rsid w:val="00854E09"/>
    <w:rsid w:val="00856944"/>
    <w:rsid w:val="0085725D"/>
    <w:rsid w:val="0085799A"/>
    <w:rsid w:val="00857D84"/>
    <w:rsid w:val="008602D1"/>
    <w:rsid w:val="00860635"/>
    <w:rsid w:val="0086068B"/>
    <w:rsid w:val="0086086B"/>
    <w:rsid w:val="0086304B"/>
    <w:rsid w:val="008659D4"/>
    <w:rsid w:val="0086652B"/>
    <w:rsid w:val="008704BC"/>
    <w:rsid w:val="00870923"/>
    <w:rsid w:val="00870FB4"/>
    <w:rsid w:val="008714D6"/>
    <w:rsid w:val="00871910"/>
    <w:rsid w:val="00872BE0"/>
    <w:rsid w:val="008762E6"/>
    <w:rsid w:val="00876C7C"/>
    <w:rsid w:val="00877576"/>
    <w:rsid w:val="00877C54"/>
    <w:rsid w:val="00877EFC"/>
    <w:rsid w:val="008801CE"/>
    <w:rsid w:val="008813AE"/>
    <w:rsid w:val="008814CE"/>
    <w:rsid w:val="008820F7"/>
    <w:rsid w:val="00882394"/>
    <w:rsid w:val="008824F2"/>
    <w:rsid w:val="00882867"/>
    <w:rsid w:val="00882E07"/>
    <w:rsid w:val="0088568D"/>
    <w:rsid w:val="00885B92"/>
    <w:rsid w:val="00887877"/>
    <w:rsid w:val="00890095"/>
    <w:rsid w:val="00890814"/>
    <w:rsid w:val="0089154B"/>
    <w:rsid w:val="0089226F"/>
    <w:rsid w:val="008937D8"/>
    <w:rsid w:val="0089385E"/>
    <w:rsid w:val="00893C1B"/>
    <w:rsid w:val="00894CA1"/>
    <w:rsid w:val="0089512A"/>
    <w:rsid w:val="00895BDE"/>
    <w:rsid w:val="00895D0C"/>
    <w:rsid w:val="008979AB"/>
    <w:rsid w:val="008A0030"/>
    <w:rsid w:val="008A07FA"/>
    <w:rsid w:val="008A2DE3"/>
    <w:rsid w:val="008A32E3"/>
    <w:rsid w:val="008A3FFD"/>
    <w:rsid w:val="008A41F0"/>
    <w:rsid w:val="008A45EA"/>
    <w:rsid w:val="008A7AED"/>
    <w:rsid w:val="008A7F29"/>
    <w:rsid w:val="008B0459"/>
    <w:rsid w:val="008B08EA"/>
    <w:rsid w:val="008B1399"/>
    <w:rsid w:val="008B1BE6"/>
    <w:rsid w:val="008B3019"/>
    <w:rsid w:val="008B33F5"/>
    <w:rsid w:val="008B3AED"/>
    <w:rsid w:val="008B3D89"/>
    <w:rsid w:val="008B4037"/>
    <w:rsid w:val="008B505B"/>
    <w:rsid w:val="008B5766"/>
    <w:rsid w:val="008B5E98"/>
    <w:rsid w:val="008B6B02"/>
    <w:rsid w:val="008B78FE"/>
    <w:rsid w:val="008C07EC"/>
    <w:rsid w:val="008C08E9"/>
    <w:rsid w:val="008C0E28"/>
    <w:rsid w:val="008C140F"/>
    <w:rsid w:val="008C1751"/>
    <w:rsid w:val="008C227D"/>
    <w:rsid w:val="008C2AE5"/>
    <w:rsid w:val="008C2F0D"/>
    <w:rsid w:val="008C49A6"/>
    <w:rsid w:val="008C4EF0"/>
    <w:rsid w:val="008C5036"/>
    <w:rsid w:val="008C5402"/>
    <w:rsid w:val="008C5E34"/>
    <w:rsid w:val="008C7A93"/>
    <w:rsid w:val="008C7B66"/>
    <w:rsid w:val="008D0895"/>
    <w:rsid w:val="008D09C9"/>
    <w:rsid w:val="008D1ABC"/>
    <w:rsid w:val="008D1C86"/>
    <w:rsid w:val="008D1D69"/>
    <w:rsid w:val="008D3C76"/>
    <w:rsid w:val="008D494D"/>
    <w:rsid w:val="008D5E0A"/>
    <w:rsid w:val="008D693D"/>
    <w:rsid w:val="008D69A1"/>
    <w:rsid w:val="008E0252"/>
    <w:rsid w:val="008E0E92"/>
    <w:rsid w:val="008E1464"/>
    <w:rsid w:val="008E20D5"/>
    <w:rsid w:val="008E20F0"/>
    <w:rsid w:val="008E22AE"/>
    <w:rsid w:val="008E36E9"/>
    <w:rsid w:val="008E36F6"/>
    <w:rsid w:val="008E3860"/>
    <w:rsid w:val="008E414E"/>
    <w:rsid w:val="008E4942"/>
    <w:rsid w:val="008E4F6C"/>
    <w:rsid w:val="008E53F1"/>
    <w:rsid w:val="008E5DEE"/>
    <w:rsid w:val="008E67FF"/>
    <w:rsid w:val="008F018B"/>
    <w:rsid w:val="008F0BD4"/>
    <w:rsid w:val="008F0E87"/>
    <w:rsid w:val="008F0E97"/>
    <w:rsid w:val="008F1C84"/>
    <w:rsid w:val="008F257E"/>
    <w:rsid w:val="008F290B"/>
    <w:rsid w:val="008F3091"/>
    <w:rsid w:val="008F3981"/>
    <w:rsid w:val="008F40BF"/>
    <w:rsid w:val="008F42A1"/>
    <w:rsid w:val="008F704A"/>
    <w:rsid w:val="008F747F"/>
    <w:rsid w:val="00900226"/>
    <w:rsid w:val="00901026"/>
    <w:rsid w:val="00904AEF"/>
    <w:rsid w:val="00904B66"/>
    <w:rsid w:val="009063DC"/>
    <w:rsid w:val="00906BB7"/>
    <w:rsid w:val="0090761E"/>
    <w:rsid w:val="00907C3F"/>
    <w:rsid w:val="009105D5"/>
    <w:rsid w:val="00910A7F"/>
    <w:rsid w:val="00911DEC"/>
    <w:rsid w:val="009121CD"/>
    <w:rsid w:val="0091220C"/>
    <w:rsid w:val="009124E2"/>
    <w:rsid w:val="009126BC"/>
    <w:rsid w:val="00914C6E"/>
    <w:rsid w:val="0091505C"/>
    <w:rsid w:val="00915187"/>
    <w:rsid w:val="0091617E"/>
    <w:rsid w:val="0091711B"/>
    <w:rsid w:val="009175AA"/>
    <w:rsid w:val="0092000F"/>
    <w:rsid w:val="00920AB6"/>
    <w:rsid w:val="00920C93"/>
    <w:rsid w:val="00920CF2"/>
    <w:rsid w:val="00921E2E"/>
    <w:rsid w:val="0092210C"/>
    <w:rsid w:val="00923C08"/>
    <w:rsid w:val="009259A0"/>
    <w:rsid w:val="00925D40"/>
    <w:rsid w:val="00925D47"/>
    <w:rsid w:val="009263A5"/>
    <w:rsid w:val="009273E7"/>
    <w:rsid w:val="0092775D"/>
    <w:rsid w:val="00927BB1"/>
    <w:rsid w:val="00930176"/>
    <w:rsid w:val="00930447"/>
    <w:rsid w:val="00930CDA"/>
    <w:rsid w:val="00931066"/>
    <w:rsid w:val="00931C4B"/>
    <w:rsid w:val="009322A1"/>
    <w:rsid w:val="00933110"/>
    <w:rsid w:val="00933180"/>
    <w:rsid w:val="009338AD"/>
    <w:rsid w:val="009351BA"/>
    <w:rsid w:val="00935389"/>
    <w:rsid w:val="00936835"/>
    <w:rsid w:val="00940DA7"/>
    <w:rsid w:val="00940EE8"/>
    <w:rsid w:val="00941D12"/>
    <w:rsid w:val="009431B6"/>
    <w:rsid w:val="00943D4A"/>
    <w:rsid w:val="00943DDD"/>
    <w:rsid w:val="00943E95"/>
    <w:rsid w:val="00944113"/>
    <w:rsid w:val="00944A50"/>
    <w:rsid w:val="00945452"/>
    <w:rsid w:val="0094635E"/>
    <w:rsid w:val="00946841"/>
    <w:rsid w:val="00946954"/>
    <w:rsid w:val="00947097"/>
    <w:rsid w:val="0095002C"/>
    <w:rsid w:val="0095047B"/>
    <w:rsid w:val="0095124B"/>
    <w:rsid w:val="009514B8"/>
    <w:rsid w:val="00951A7E"/>
    <w:rsid w:val="00952564"/>
    <w:rsid w:val="009526EE"/>
    <w:rsid w:val="00953CD9"/>
    <w:rsid w:val="00953DF4"/>
    <w:rsid w:val="009545AC"/>
    <w:rsid w:val="00954AA8"/>
    <w:rsid w:val="009555C8"/>
    <w:rsid w:val="00955E07"/>
    <w:rsid w:val="009567AA"/>
    <w:rsid w:val="00956852"/>
    <w:rsid w:val="00957F17"/>
    <w:rsid w:val="00960575"/>
    <w:rsid w:val="00962B93"/>
    <w:rsid w:val="00966613"/>
    <w:rsid w:val="009670E9"/>
    <w:rsid w:val="009722EE"/>
    <w:rsid w:val="00974A40"/>
    <w:rsid w:val="00976268"/>
    <w:rsid w:val="00976521"/>
    <w:rsid w:val="00976DA8"/>
    <w:rsid w:val="009775E5"/>
    <w:rsid w:val="00977A09"/>
    <w:rsid w:val="00981043"/>
    <w:rsid w:val="00982664"/>
    <w:rsid w:val="00984ADE"/>
    <w:rsid w:val="00984F82"/>
    <w:rsid w:val="00985C72"/>
    <w:rsid w:val="009866B9"/>
    <w:rsid w:val="00987800"/>
    <w:rsid w:val="009903DA"/>
    <w:rsid w:val="009904F1"/>
    <w:rsid w:val="00991ADB"/>
    <w:rsid w:val="009921E6"/>
    <w:rsid w:val="009927E9"/>
    <w:rsid w:val="00992FA0"/>
    <w:rsid w:val="00993306"/>
    <w:rsid w:val="0099393C"/>
    <w:rsid w:val="00993E5C"/>
    <w:rsid w:val="00993F88"/>
    <w:rsid w:val="00994A2A"/>
    <w:rsid w:val="009951BF"/>
    <w:rsid w:val="0099537D"/>
    <w:rsid w:val="00996B76"/>
    <w:rsid w:val="00997418"/>
    <w:rsid w:val="009976B1"/>
    <w:rsid w:val="009A008C"/>
    <w:rsid w:val="009A02B8"/>
    <w:rsid w:val="009A0D8A"/>
    <w:rsid w:val="009A1895"/>
    <w:rsid w:val="009A4019"/>
    <w:rsid w:val="009A4169"/>
    <w:rsid w:val="009A62F4"/>
    <w:rsid w:val="009A6A06"/>
    <w:rsid w:val="009A7274"/>
    <w:rsid w:val="009A7A9C"/>
    <w:rsid w:val="009A7DA9"/>
    <w:rsid w:val="009B0541"/>
    <w:rsid w:val="009B08D6"/>
    <w:rsid w:val="009B11C8"/>
    <w:rsid w:val="009B16B3"/>
    <w:rsid w:val="009B1A93"/>
    <w:rsid w:val="009B23FC"/>
    <w:rsid w:val="009B2498"/>
    <w:rsid w:val="009B25F6"/>
    <w:rsid w:val="009B2E5E"/>
    <w:rsid w:val="009B39F3"/>
    <w:rsid w:val="009B5ADC"/>
    <w:rsid w:val="009B6370"/>
    <w:rsid w:val="009B6D89"/>
    <w:rsid w:val="009B7341"/>
    <w:rsid w:val="009B75CC"/>
    <w:rsid w:val="009C07F7"/>
    <w:rsid w:val="009C0CBA"/>
    <w:rsid w:val="009C10BC"/>
    <w:rsid w:val="009C2206"/>
    <w:rsid w:val="009C3F17"/>
    <w:rsid w:val="009C45FF"/>
    <w:rsid w:val="009C4DA7"/>
    <w:rsid w:val="009C5DFE"/>
    <w:rsid w:val="009C6A70"/>
    <w:rsid w:val="009C7165"/>
    <w:rsid w:val="009D0000"/>
    <w:rsid w:val="009D0088"/>
    <w:rsid w:val="009D1A62"/>
    <w:rsid w:val="009D2125"/>
    <w:rsid w:val="009D290A"/>
    <w:rsid w:val="009D296D"/>
    <w:rsid w:val="009D2EDE"/>
    <w:rsid w:val="009D345E"/>
    <w:rsid w:val="009D3C27"/>
    <w:rsid w:val="009D49CE"/>
    <w:rsid w:val="009D4C09"/>
    <w:rsid w:val="009D587D"/>
    <w:rsid w:val="009D77D7"/>
    <w:rsid w:val="009E00AE"/>
    <w:rsid w:val="009E06E2"/>
    <w:rsid w:val="009E0F3A"/>
    <w:rsid w:val="009E11EF"/>
    <w:rsid w:val="009E22B8"/>
    <w:rsid w:val="009E2412"/>
    <w:rsid w:val="009E2689"/>
    <w:rsid w:val="009E3D20"/>
    <w:rsid w:val="009E46D8"/>
    <w:rsid w:val="009E515C"/>
    <w:rsid w:val="009F02EC"/>
    <w:rsid w:val="009F057F"/>
    <w:rsid w:val="009F0813"/>
    <w:rsid w:val="009F09A3"/>
    <w:rsid w:val="009F1EFA"/>
    <w:rsid w:val="009F2526"/>
    <w:rsid w:val="009F2EBA"/>
    <w:rsid w:val="009F2EFC"/>
    <w:rsid w:val="009F3F0B"/>
    <w:rsid w:val="009F4C8B"/>
    <w:rsid w:val="009F5D2C"/>
    <w:rsid w:val="009F675A"/>
    <w:rsid w:val="009F6E4F"/>
    <w:rsid w:val="009F78D3"/>
    <w:rsid w:val="00A00883"/>
    <w:rsid w:val="00A00BBC"/>
    <w:rsid w:val="00A01107"/>
    <w:rsid w:val="00A02ED6"/>
    <w:rsid w:val="00A05BD0"/>
    <w:rsid w:val="00A05FCE"/>
    <w:rsid w:val="00A07538"/>
    <w:rsid w:val="00A1195F"/>
    <w:rsid w:val="00A12970"/>
    <w:rsid w:val="00A12B79"/>
    <w:rsid w:val="00A13557"/>
    <w:rsid w:val="00A13ECE"/>
    <w:rsid w:val="00A13F1F"/>
    <w:rsid w:val="00A1675A"/>
    <w:rsid w:val="00A16EFF"/>
    <w:rsid w:val="00A16F87"/>
    <w:rsid w:val="00A20B41"/>
    <w:rsid w:val="00A21B3C"/>
    <w:rsid w:val="00A21D48"/>
    <w:rsid w:val="00A221A7"/>
    <w:rsid w:val="00A22A22"/>
    <w:rsid w:val="00A22F8E"/>
    <w:rsid w:val="00A23761"/>
    <w:rsid w:val="00A23B9F"/>
    <w:rsid w:val="00A23D31"/>
    <w:rsid w:val="00A23FB4"/>
    <w:rsid w:val="00A25502"/>
    <w:rsid w:val="00A2558D"/>
    <w:rsid w:val="00A25D48"/>
    <w:rsid w:val="00A25E0D"/>
    <w:rsid w:val="00A26A85"/>
    <w:rsid w:val="00A270BE"/>
    <w:rsid w:val="00A300B3"/>
    <w:rsid w:val="00A3028A"/>
    <w:rsid w:val="00A30625"/>
    <w:rsid w:val="00A31846"/>
    <w:rsid w:val="00A31C12"/>
    <w:rsid w:val="00A32DB9"/>
    <w:rsid w:val="00A33865"/>
    <w:rsid w:val="00A34C6D"/>
    <w:rsid w:val="00A34CC7"/>
    <w:rsid w:val="00A37119"/>
    <w:rsid w:val="00A404E9"/>
    <w:rsid w:val="00A40762"/>
    <w:rsid w:val="00A423CC"/>
    <w:rsid w:val="00A423E5"/>
    <w:rsid w:val="00A42DAC"/>
    <w:rsid w:val="00A43E84"/>
    <w:rsid w:val="00A44CFF"/>
    <w:rsid w:val="00A47431"/>
    <w:rsid w:val="00A5072F"/>
    <w:rsid w:val="00A510A5"/>
    <w:rsid w:val="00A5257D"/>
    <w:rsid w:val="00A534E8"/>
    <w:rsid w:val="00A53F4A"/>
    <w:rsid w:val="00A5425C"/>
    <w:rsid w:val="00A54703"/>
    <w:rsid w:val="00A54CA2"/>
    <w:rsid w:val="00A54F29"/>
    <w:rsid w:val="00A551C5"/>
    <w:rsid w:val="00A55D3F"/>
    <w:rsid w:val="00A56989"/>
    <w:rsid w:val="00A56C35"/>
    <w:rsid w:val="00A57B4F"/>
    <w:rsid w:val="00A600B2"/>
    <w:rsid w:val="00A607A2"/>
    <w:rsid w:val="00A616CC"/>
    <w:rsid w:val="00A61C0B"/>
    <w:rsid w:val="00A626BF"/>
    <w:rsid w:val="00A63837"/>
    <w:rsid w:val="00A639A6"/>
    <w:rsid w:val="00A639E0"/>
    <w:rsid w:val="00A659D3"/>
    <w:rsid w:val="00A65BB4"/>
    <w:rsid w:val="00A65E15"/>
    <w:rsid w:val="00A66A24"/>
    <w:rsid w:val="00A66D82"/>
    <w:rsid w:val="00A67490"/>
    <w:rsid w:val="00A701B1"/>
    <w:rsid w:val="00A7060D"/>
    <w:rsid w:val="00A70D99"/>
    <w:rsid w:val="00A722F5"/>
    <w:rsid w:val="00A74F5E"/>
    <w:rsid w:val="00A750E4"/>
    <w:rsid w:val="00A77190"/>
    <w:rsid w:val="00A775C8"/>
    <w:rsid w:val="00A77C99"/>
    <w:rsid w:val="00A805E4"/>
    <w:rsid w:val="00A81B90"/>
    <w:rsid w:val="00A82061"/>
    <w:rsid w:val="00A82AE8"/>
    <w:rsid w:val="00A83622"/>
    <w:rsid w:val="00A83D84"/>
    <w:rsid w:val="00A83DA9"/>
    <w:rsid w:val="00A83F91"/>
    <w:rsid w:val="00A84960"/>
    <w:rsid w:val="00A8516B"/>
    <w:rsid w:val="00A85E89"/>
    <w:rsid w:val="00A86718"/>
    <w:rsid w:val="00A86756"/>
    <w:rsid w:val="00A8698A"/>
    <w:rsid w:val="00A869D1"/>
    <w:rsid w:val="00A87858"/>
    <w:rsid w:val="00A9237F"/>
    <w:rsid w:val="00A93DB9"/>
    <w:rsid w:val="00A9459E"/>
    <w:rsid w:val="00A94A34"/>
    <w:rsid w:val="00A953F4"/>
    <w:rsid w:val="00A957DF"/>
    <w:rsid w:val="00A95FBC"/>
    <w:rsid w:val="00A96453"/>
    <w:rsid w:val="00A9666B"/>
    <w:rsid w:val="00A96697"/>
    <w:rsid w:val="00A972FF"/>
    <w:rsid w:val="00A978D2"/>
    <w:rsid w:val="00AA0B0E"/>
    <w:rsid w:val="00AA0E6C"/>
    <w:rsid w:val="00AA115A"/>
    <w:rsid w:val="00AA2079"/>
    <w:rsid w:val="00AA259F"/>
    <w:rsid w:val="00AA3BE5"/>
    <w:rsid w:val="00AA3EB5"/>
    <w:rsid w:val="00AA3F58"/>
    <w:rsid w:val="00AA40A8"/>
    <w:rsid w:val="00AA4CDD"/>
    <w:rsid w:val="00AA4D4E"/>
    <w:rsid w:val="00AA5293"/>
    <w:rsid w:val="00AA52A9"/>
    <w:rsid w:val="00AA54EB"/>
    <w:rsid w:val="00AA573A"/>
    <w:rsid w:val="00AA7001"/>
    <w:rsid w:val="00AA705A"/>
    <w:rsid w:val="00AB0BEE"/>
    <w:rsid w:val="00AB12A8"/>
    <w:rsid w:val="00AB25F4"/>
    <w:rsid w:val="00AB2D45"/>
    <w:rsid w:val="00AB3336"/>
    <w:rsid w:val="00AB68BC"/>
    <w:rsid w:val="00AB6916"/>
    <w:rsid w:val="00AB6B56"/>
    <w:rsid w:val="00AB6BE0"/>
    <w:rsid w:val="00AB7679"/>
    <w:rsid w:val="00AC00FD"/>
    <w:rsid w:val="00AC31B5"/>
    <w:rsid w:val="00AC4B49"/>
    <w:rsid w:val="00AC54B0"/>
    <w:rsid w:val="00AC6062"/>
    <w:rsid w:val="00AD178F"/>
    <w:rsid w:val="00AD2620"/>
    <w:rsid w:val="00AD3394"/>
    <w:rsid w:val="00AD38F7"/>
    <w:rsid w:val="00AD5451"/>
    <w:rsid w:val="00AD64FB"/>
    <w:rsid w:val="00AD77D5"/>
    <w:rsid w:val="00AE065B"/>
    <w:rsid w:val="00AE0D41"/>
    <w:rsid w:val="00AE1AD3"/>
    <w:rsid w:val="00AE1F89"/>
    <w:rsid w:val="00AE2B37"/>
    <w:rsid w:val="00AE2D1F"/>
    <w:rsid w:val="00AE5323"/>
    <w:rsid w:val="00AE596A"/>
    <w:rsid w:val="00AE7A2F"/>
    <w:rsid w:val="00AF03BD"/>
    <w:rsid w:val="00AF09BE"/>
    <w:rsid w:val="00AF2099"/>
    <w:rsid w:val="00AF29FF"/>
    <w:rsid w:val="00AF324D"/>
    <w:rsid w:val="00AF370C"/>
    <w:rsid w:val="00AF3A96"/>
    <w:rsid w:val="00AF4571"/>
    <w:rsid w:val="00AF4BC6"/>
    <w:rsid w:val="00AF50CE"/>
    <w:rsid w:val="00AF5B23"/>
    <w:rsid w:val="00B009CE"/>
    <w:rsid w:val="00B015E2"/>
    <w:rsid w:val="00B038F8"/>
    <w:rsid w:val="00B03DC7"/>
    <w:rsid w:val="00B04B0A"/>
    <w:rsid w:val="00B04FEC"/>
    <w:rsid w:val="00B06CB3"/>
    <w:rsid w:val="00B121FD"/>
    <w:rsid w:val="00B125B0"/>
    <w:rsid w:val="00B12B28"/>
    <w:rsid w:val="00B12EB5"/>
    <w:rsid w:val="00B1319B"/>
    <w:rsid w:val="00B1327A"/>
    <w:rsid w:val="00B13338"/>
    <w:rsid w:val="00B14675"/>
    <w:rsid w:val="00B15399"/>
    <w:rsid w:val="00B15BE5"/>
    <w:rsid w:val="00B15E21"/>
    <w:rsid w:val="00B15E6E"/>
    <w:rsid w:val="00B16AC4"/>
    <w:rsid w:val="00B20160"/>
    <w:rsid w:val="00B209FA"/>
    <w:rsid w:val="00B20B01"/>
    <w:rsid w:val="00B2127A"/>
    <w:rsid w:val="00B21324"/>
    <w:rsid w:val="00B22BA8"/>
    <w:rsid w:val="00B2302A"/>
    <w:rsid w:val="00B239F1"/>
    <w:rsid w:val="00B23E09"/>
    <w:rsid w:val="00B246CB"/>
    <w:rsid w:val="00B24B0E"/>
    <w:rsid w:val="00B24BEF"/>
    <w:rsid w:val="00B26D2D"/>
    <w:rsid w:val="00B27401"/>
    <w:rsid w:val="00B27AC5"/>
    <w:rsid w:val="00B27B21"/>
    <w:rsid w:val="00B30280"/>
    <w:rsid w:val="00B30B3E"/>
    <w:rsid w:val="00B30F34"/>
    <w:rsid w:val="00B312A4"/>
    <w:rsid w:val="00B31C04"/>
    <w:rsid w:val="00B32468"/>
    <w:rsid w:val="00B32587"/>
    <w:rsid w:val="00B336DC"/>
    <w:rsid w:val="00B33D0E"/>
    <w:rsid w:val="00B33D17"/>
    <w:rsid w:val="00B34773"/>
    <w:rsid w:val="00B34B73"/>
    <w:rsid w:val="00B35904"/>
    <w:rsid w:val="00B40A16"/>
    <w:rsid w:val="00B4191B"/>
    <w:rsid w:val="00B41AB3"/>
    <w:rsid w:val="00B424D8"/>
    <w:rsid w:val="00B42C9E"/>
    <w:rsid w:val="00B43B1F"/>
    <w:rsid w:val="00B43BB6"/>
    <w:rsid w:val="00B43D79"/>
    <w:rsid w:val="00B441E0"/>
    <w:rsid w:val="00B4622B"/>
    <w:rsid w:val="00B46270"/>
    <w:rsid w:val="00B47675"/>
    <w:rsid w:val="00B47E34"/>
    <w:rsid w:val="00B507A2"/>
    <w:rsid w:val="00B5169A"/>
    <w:rsid w:val="00B51D66"/>
    <w:rsid w:val="00B5313E"/>
    <w:rsid w:val="00B53A3B"/>
    <w:rsid w:val="00B54BFE"/>
    <w:rsid w:val="00B54FC5"/>
    <w:rsid w:val="00B55367"/>
    <w:rsid w:val="00B55A21"/>
    <w:rsid w:val="00B55EFA"/>
    <w:rsid w:val="00B55FCE"/>
    <w:rsid w:val="00B56873"/>
    <w:rsid w:val="00B57DF6"/>
    <w:rsid w:val="00B617EE"/>
    <w:rsid w:val="00B63438"/>
    <w:rsid w:val="00B6600B"/>
    <w:rsid w:val="00B66FFD"/>
    <w:rsid w:val="00B67D34"/>
    <w:rsid w:val="00B67E52"/>
    <w:rsid w:val="00B716B5"/>
    <w:rsid w:val="00B722CE"/>
    <w:rsid w:val="00B7286A"/>
    <w:rsid w:val="00B72F66"/>
    <w:rsid w:val="00B739DC"/>
    <w:rsid w:val="00B741AA"/>
    <w:rsid w:val="00B743B3"/>
    <w:rsid w:val="00B75A1B"/>
    <w:rsid w:val="00B76DFD"/>
    <w:rsid w:val="00B801BD"/>
    <w:rsid w:val="00B8051E"/>
    <w:rsid w:val="00B818CC"/>
    <w:rsid w:val="00B82497"/>
    <w:rsid w:val="00B831C7"/>
    <w:rsid w:val="00B834F9"/>
    <w:rsid w:val="00B83554"/>
    <w:rsid w:val="00B8450C"/>
    <w:rsid w:val="00B8594F"/>
    <w:rsid w:val="00B85BDA"/>
    <w:rsid w:val="00B86025"/>
    <w:rsid w:val="00B8681F"/>
    <w:rsid w:val="00B873B4"/>
    <w:rsid w:val="00B87F3F"/>
    <w:rsid w:val="00B90C89"/>
    <w:rsid w:val="00B92824"/>
    <w:rsid w:val="00B92944"/>
    <w:rsid w:val="00B943AB"/>
    <w:rsid w:val="00B96446"/>
    <w:rsid w:val="00B968D0"/>
    <w:rsid w:val="00B9693F"/>
    <w:rsid w:val="00B9713F"/>
    <w:rsid w:val="00B97D43"/>
    <w:rsid w:val="00BA0F86"/>
    <w:rsid w:val="00BA1462"/>
    <w:rsid w:val="00BA3200"/>
    <w:rsid w:val="00BA4DB2"/>
    <w:rsid w:val="00BA5575"/>
    <w:rsid w:val="00BA5917"/>
    <w:rsid w:val="00BA6F6C"/>
    <w:rsid w:val="00BA7316"/>
    <w:rsid w:val="00BA7F8F"/>
    <w:rsid w:val="00BB0659"/>
    <w:rsid w:val="00BB15FA"/>
    <w:rsid w:val="00BB189E"/>
    <w:rsid w:val="00BB257F"/>
    <w:rsid w:val="00BB37DD"/>
    <w:rsid w:val="00BB4415"/>
    <w:rsid w:val="00BB5DA6"/>
    <w:rsid w:val="00BB6FEC"/>
    <w:rsid w:val="00BC18D7"/>
    <w:rsid w:val="00BC393B"/>
    <w:rsid w:val="00BC4111"/>
    <w:rsid w:val="00BC41E8"/>
    <w:rsid w:val="00BC4F5B"/>
    <w:rsid w:val="00BC6B30"/>
    <w:rsid w:val="00BC715D"/>
    <w:rsid w:val="00BC76B1"/>
    <w:rsid w:val="00BD0360"/>
    <w:rsid w:val="00BD0DA2"/>
    <w:rsid w:val="00BD1466"/>
    <w:rsid w:val="00BD14B8"/>
    <w:rsid w:val="00BD18C5"/>
    <w:rsid w:val="00BD215F"/>
    <w:rsid w:val="00BD350E"/>
    <w:rsid w:val="00BD3EB9"/>
    <w:rsid w:val="00BD41F9"/>
    <w:rsid w:val="00BD50B6"/>
    <w:rsid w:val="00BD64A7"/>
    <w:rsid w:val="00BD6AEF"/>
    <w:rsid w:val="00BD6D55"/>
    <w:rsid w:val="00BD7095"/>
    <w:rsid w:val="00BE3357"/>
    <w:rsid w:val="00BE3DDA"/>
    <w:rsid w:val="00BE410C"/>
    <w:rsid w:val="00BE4689"/>
    <w:rsid w:val="00BE5388"/>
    <w:rsid w:val="00BE6129"/>
    <w:rsid w:val="00BE6477"/>
    <w:rsid w:val="00BE6946"/>
    <w:rsid w:val="00BE7DDD"/>
    <w:rsid w:val="00BF1607"/>
    <w:rsid w:val="00BF189B"/>
    <w:rsid w:val="00BF44A2"/>
    <w:rsid w:val="00BF5BFB"/>
    <w:rsid w:val="00C01153"/>
    <w:rsid w:val="00C012F9"/>
    <w:rsid w:val="00C03985"/>
    <w:rsid w:val="00C043B7"/>
    <w:rsid w:val="00C052B5"/>
    <w:rsid w:val="00C05F2A"/>
    <w:rsid w:val="00C069A9"/>
    <w:rsid w:val="00C107D6"/>
    <w:rsid w:val="00C1202F"/>
    <w:rsid w:val="00C12762"/>
    <w:rsid w:val="00C13B47"/>
    <w:rsid w:val="00C13F9C"/>
    <w:rsid w:val="00C147E7"/>
    <w:rsid w:val="00C156CE"/>
    <w:rsid w:val="00C2071D"/>
    <w:rsid w:val="00C215A3"/>
    <w:rsid w:val="00C2196C"/>
    <w:rsid w:val="00C22C9F"/>
    <w:rsid w:val="00C24A4C"/>
    <w:rsid w:val="00C25CF3"/>
    <w:rsid w:val="00C26080"/>
    <w:rsid w:val="00C268BE"/>
    <w:rsid w:val="00C2734F"/>
    <w:rsid w:val="00C276B3"/>
    <w:rsid w:val="00C278CF"/>
    <w:rsid w:val="00C30890"/>
    <w:rsid w:val="00C314EE"/>
    <w:rsid w:val="00C333FF"/>
    <w:rsid w:val="00C33696"/>
    <w:rsid w:val="00C34F3A"/>
    <w:rsid w:val="00C3540C"/>
    <w:rsid w:val="00C35A52"/>
    <w:rsid w:val="00C35A81"/>
    <w:rsid w:val="00C35B4F"/>
    <w:rsid w:val="00C35CD5"/>
    <w:rsid w:val="00C35E32"/>
    <w:rsid w:val="00C3606C"/>
    <w:rsid w:val="00C36467"/>
    <w:rsid w:val="00C3703D"/>
    <w:rsid w:val="00C405EE"/>
    <w:rsid w:val="00C40603"/>
    <w:rsid w:val="00C44A10"/>
    <w:rsid w:val="00C45289"/>
    <w:rsid w:val="00C46E6A"/>
    <w:rsid w:val="00C4714D"/>
    <w:rsid w:val="00C50BBD"/>
    <w:rsid w:val="00C50DD7"/>
    <w:rsid w:val="00C510A2"/>
    <w:rsid w:val="00C5172A"/>
    <w:rsid w:val="00C51C8C"/>
    <w:rsid w:val="00C51F73"/>
    <w:rsid w:val="00C5237C"/>
    <w:rsid w:val="00C55ACA"/>
    <w:rsid w:val="00C55F70"/>
    <w:rsid w:val="00C563F0"/>
    <w:rsid w:val="00C5645B"/>
    <w:rsid w:val="00C5670D"/>
    <w:rsid w:val="00C579A9"/>
    <w:rsid w:val="00C57D42"/>
    <w:rsid w:val="00C607BF"/>
    <w:rsid w:val="00C60F0A"/>
    <w:rsid w:val="00C612F9"/>
    <w:rsid w:val="00C61524"/>
    <w:rsid w:val="00C61754"/>
    <w:rsid w:val="00C62FD3"/>
    <w:rsid w:val="00C63535"/>
    <w:rsid w:val="00C63745"/>
    <w:rsid w:val="00C647E9"/>
    <w:rsid w:val="00C64DCF"/>
    <w:rsid w:val="00C65354"/>
    <w:rsid w:val="00C656F3"/>
    <w:rsid w:val="00C65EB6"/>
    <w:rsid w:val="00C662FC"/>
    <w:rsid w:val="00C666A5"/>
    <w:rsid w:val="00C66D75"/>
    <w:rsid w:val="00C67DD1"/>
    <w:rsid w:val="00C70D13"/>
    <w:rsid w:val="00C7119A"/>
    <w:rsid w:val="00C723BF"/>
    <w:rsid w:val="00C7242E"/>
    <w:rsid w:val="00C72D17"/>
    <w:rsid w:val="00C73B94"/>
    <w:rsid w:val="00C73D38"/>
    <w:rsid w:val="00C75C38"/>
    <w:rsid w:val="00C76663"/>
    <w:rsid w:val="00C8003B"/>
    <w:rsid w:val="00C80C6C"/>
    <w:rsid w:val="00C823B0"/>
    <w:rsid w:val="00C83C53"/>
    <w:rsid w:val="00C83FAD"/>
    <w:rsid w:val="00C8570A"/>
    <w:rsid w:val="00C85D90"/>
    <w:rsid w:val="00C870B0"/>
    <w:rsid w:val="00C90341"/>
    <w:rsid w:val="00C9050A"/>
    <w:rsid w:val="00C9093F"/>
    <w:rsid w:val="00C91551"/>
    <w:rsid w:val="00C92B27"/>
    <w:rsid w:val="00C93263"/>
    <w:rsid w:val="00C93E09"/>
    <w:rsid w:val="00C9670D"/>
    <w:rsid w:val="00C96B30"/>
    <w:rsid w:val="00CA0464"/>
    <w:rsid w:val="00CA2E55"/>
    <w:rsid w:val="00CA3B96"/>
    <w:rsid w:val="00CA41B8"/>
    <w:rsid w:val="00CA5226"/>
    <w:rsid w:val="00CA536A"/>
    <w:rsid w:val="00CA54E9"/>
    <w:rsid w:val="00CA6DB0"/>
    <w:rsid w:val="00CA700C"/>
    <w:rsid w:val="00CA723B"/>
    <w:rsid w:val="00CB0DBE"/>
    <w:rsid w:val="00CB1D51"/>
    <w:rsid w:val="00CB22F5"/>
    <w:rsid w:val="00CB2C30"/>
    <w:rsid w:val="00CB31BE"/>
    <w:rsid w:val="00CB5A7D"/>
    <w:rsid w:val="00CB6188"/>
    <w:rsid w:val="00CB6B44"/>
    <w:rsid w:val="00CB70E5"/>
    <w:rsid w:val="00CC1465"/>
    <w:rsid w:val="00CC1746"/>
    <w:rsid w:val="00CC1C93"/>
    <w:rsid w:val="00CC223F"/>
    <w:rsid w:val="00CC23AB"/>
    <w:rsid w:val="00CC2C52"/>
    <w:rsid w:val="00CC3AC8"/>
    <w:rsid w:val="00CC3E9D"/>
    <w:rsid w:val="00CC4416"/>
    <w:rsid w:val="00CC5A57"/>
    <w:rsid w:val="00CC5FAC"/>
    <w:rsid w:val="00CC60D7"/>
    <w:rsid w:val="00CC6109"/>
    <w:rsid w:val="00CC637A"/>
    <w:rsid w:val="00CC73E1"/>
    <w:rsid w:val="00CD073C"/>
    <w:rsid w:val="00CD3DB5"/>
    <w:rsid w:val="00CD6BE4"/>
    <w:rsid w:val="00CD6F2B"/>
    <w:rsid w:val="00CD7338"/>
    <w:rsid w:val="00CD7BC9"/>
    <w:rsid w:val="00CD7E17"/>
    <w:rsid w:val="00CD7E61"/>
    <w:rsid w:val="00CD7EDC"/>
    <w:rsid w:val="00CE00E1"/>
    <w:rsid w:val="00CE0451"/>
    <w:rsid w:val="00CE0E77"/>
    <w:rsid w:val="00CE0F57"/>
    <w:rsid w:val="00CE1408"/>
    <w:rsid w:val="00CE14D6"/>
    <w:rsid w:val="00CE1A04"/>
    <w:rsid w:val="00CE231E"/>
    <w:rsid w:val="00CE3109"/>
    <w:rsid w:val="00CE3902"/>
    <w:rsid w:val="00CE3945"/>
    <w:rsid w:val="00CE3A4C"/>
    <w:rsid w:val="00CE3CB4"/>
    <w:rsid w:val="00CE3DEB"/>
    <w:rsid w:val="00CE4774"/>
    <w:rsid w:val="00CE4B4E"/>
    <w:rsid w:val="00CE4CEA"/>
    <w:rsid w:val="00CF1565"/>
    <w:rsid w:val="00CF18D8"/>
    <w:rsid w:val="00CF1DA2"/>
    <w:rsid w:val="00CF4F69"/>
    <w:rsid w:val="00CF5CE9"/>
    <w:rsid w:val="00CF5E0F"/>
    <w:rsid w:val="00CF6362"/>
    <w:rsid w:val="00CF6772"/>
    <w:rsid w:val="00CF699C"/>
    <w:rsid w:val="00CF6E8F"/>
    <w:rsid w:val="00CF78E5"/>
    <w:rsid w:val="00D004B2"/>
    <w:rsid w:val="00D012B0"/>
    <w:rsid w:val="00D0139A"/>
    <w:rsid w:val="00D01A38"/>
    <w:rsid w:val="00D01C81"/>
    <w:rsid w:val="00D02AA8"/>
    <w:rsid w:val="00D04D0B"/>
    <w:rsid w:val="00D05048"/>
    <w:rsid w:val="00D054BC"/>
    <w:rsid w:val="00D063DA"/>
    <w:rsid w:val="00D06678"/>
    <w:rsid w:val="00D1050C"/>
    <w:rsid w:val="00D10CE1"/>
    <w:rsid w:val="00D11B62"/>
    <w:rsid w:val="00D1278C"/>
    <w:rsid w:val="00D12E06"/>
    <w:rsid w:val="00D144CA"/>
    <w:rsid w:val="00D14984"/>
    <w:rsid w:val="00D15EC5"/>
    <w:rsid w:val="00D1649C"/>
    <w:rsid w:val="00D16A0A"/>
    <w:rsid w:val="00D2033F"/>
    <w:rsid w:val="00D21184"/>
    <w:rsid w:val="00D21B87"/>
    <w:rsid w:val="00D21BED"/>
    <w:rsid w:val="00D24281"/>
    <w:rsid w:val="00D2602C"/>
    <w:rsid w:val="00D2732D"/>
    <w:rsid w:val="00D30819"/>
    <w:rsid w:val="00D30A56"/>
    <w:rsid w:val="00D3181A"/>
    <w:rsid w:val="00D31828"/>
    <w:rsid w:val="00D31C13"/>
    <w:rsid w:val="00D31ED6"/>
    <w:rsid w:val="00D345E4"/>
    <w:rsid w:val="00D3582F"/>
    <w:rsid w:val="00D36659"/>
    <w:rsid w:val="00D373E6"/>
    <w:rsid w:val="00D403FA"/>
    <w:rsid w:val="00D4148B"/>
    <w:rsid w:val="00D41AF6"/>
    <w:rsid w:val="00D41DD5"/>
    <w:rsid w:val="00D43D27"/>
    <w:rsid w:val="00D43DAD"/>
    <w:rsid w:val="00D43DFD"/>
    <w:rsid w:val="00D46452"/>
    <w:rsid w:val="00D467E0"/>
    <w:rsid w:val="00D46E0B"/>
    <w:rsid w:val="00D477E6"/>
    <w:rsid w:val="00D47C43"/>
    <w:rsid w:val="00D47DCF"/>
    <w:rsid w:val="00D50101"/>
    <w:rsid w:val="00D50182"/>
    <w:rsid w:val="00D50EA4"/>
    <w:rsid w:val="00D511EF"/>
    <w:rsid w:val="00D516B4"/>
    <w:rsid w:val="00D52605"/>
    <w:rsid w:val="00D52C50"/>
    <w:rsid w:val="00D52DA4"/>
    <w:rsid w:val="00D538CA"/>
    <w:rsid w:val="00D54F28"/>
    <w:rsid w:val="00D55C37"/>
    <w:rsid w:val="00D566F3"/>
    <w:rsid w:val="00D56AB6"/>
    <w:rsid w:val="00D601E7"/>
    <w:rsid w:val="00D60721"/>
    <w:rsid w:val="00D60AFD"/>
    <w:rsid w:val="00D63E35"/>
    <w:rsid w:val="00D6435B"/>
    <w:rsid w:val="00D649F4"/>
    <w:rsid w:val="00D65535"/>
    <w:rsid w:val="00D66CB8"/>
    <w:rsid w:val="00D67409"/>
    <w:rsid w:val="00D67859"/>
    <w:rsid w:val="00D716B3"/>
    <w:rsid w:val="00D716C2"/>
    <w:rsid w:val="00D722DD"/>
    <w:rsid w:val="00D7353F"/>
    <w:rsid w:val="00D73832"/>
    <w:rsid w:val="00D73A62"/>
    <w:rsid w:val="00D74242"/>
    <w:rsid w:val="00D746FD"/>
    <w:rsid w:val="00D7473A"/>
    <w:rsid w:val="00D757FC"/>
    <w:rsid w:val="00D75F3B"/>
    <w:rsid w:val="00D7606D"/>
    <w:rsid w:val="00D766A3"/>
    <w:rsid w:val="00D80A2A"/>
    <w:rsid w:val="00D818FA"/>
    <w:rsid w:val="00D81FA4"/>
    <w:rsid w:val="00D82026"/>
    <w:rsid w:val="00D82901"/>
    <w:rsid w:val="00D83658"/>
    <w:rsid w:val="00D8375C"/>
    <w:rsid w:val="00D83C5E"/>
    <w:rsid w:val="00D83E7E"/>
    <w:rsid w:val="00D83F5E"/>
    <w:rsid w:val="00D86378"/>
    <w:rsid w:val="00D871F8"/>
    <w:rsid w:val="00D87997"/>
    <w:rsid w:val="00D905B4"/>
    <w:rsid w:val="00D90BA4"/>
    <w:rsid w:val="00D90FDA"/>
    <w:rsid w:val="00D9237B"/>
    <w:rsid w:val="00D948AD"/>
    <w:rsid w:val="00D95A1C"/>
    <w:rsid w:val="00D95AE7"/>
    <w:rsid w:val="00D965F7"/>
    <w:rsid w:val="00D96C54"/>
    <w:rsid w:val="00D96D07"/>
    <w:rsid w:val="00D96FAA"/>
    <w:rsid w:val="00D977E3"/>
    <w:rsid w:val="00DA0840"/>
    <w:rsid w:val="00DA10D4"/>
    <w:rsid w:val="00DA128E"/>
    <w:rsid w:val="00DA19D0"/>
    <w:rsid w:val="00DA2C7A"/>
    <w:rsid w:val="00DA2F97"/>
    <w:rsid w:val="00DA37A3"/>
    <w:rsid w:val="00DA5D25"/>
    <w:rsid w:val="00DA74A2"/>
    <w:rsid w:val="00DA74CF"/>
    <w:rsid w:val="00DA790A"/>
    <w:rsid w:val="00DA7CF5"/>
    <w:rsid w:val="00DB00F5"/>
    <w:rsid w:val="00DB1508"/>
    <w:rsid w:val="00DB22A9"/>
    <w:rsid w:val="00DB374D"/>
    <w:rsid w:val="00DB3914"/>
    <w:rsid w:val="00DB4D53"/>
    <w:rsid w:val="00DB53C1"/>
    <w:rsid w:val="00DB551C"/>
    <w:rsid w:val="00DB5AB1"/>
    <w:rsid w:val="00DB691D"/>
    <w:rsid w:val="00DC0126"/>
    <w:rsid w:val="00DC022D"/>
    <w:rsid w:val="00DC0619"/>
    <w:rsid w:val="00DC0C18"/>
    <w:rsid w:val="00DC0DB7"/>
    <w:rsid w:val="00DC15EC"/>
    <w:rsid w:val="00DC2527"/>
    <w:rsid w:val="00DC2679"/>
    <w:rsid w:val="00DC379D"/>
    <w:rsid w:val="00DC3F1A"/>
    <w:rsid w:val="00DC43F9"/>
    <w:rsid w:val="00DC675D"/>
    <w:rsid w:val="00DC6B73"/>
    <w:rsid w:val="00DC6B8E"/>
    <w:rsid w:val="00DC6E8F"/>
    <w:rsid w:val="00DD0224"/>
    <w:rsid w:val="00DD05DD"/>
    <w:rsid w:val="00DD05E5"/>
    <w:rsid w:val="00DD1BF2"/>
    <w:rsid w:val="00DD22B6"/>
    <w:rsid w:val="00DD2345"/>
    <w:rsid w:val="00DD2F9D"/>
    <w:rsid w:val="00DD3C63"/>
    <w:rsid w:val="00DD403C"/>
    <w:rsid w:val="00DD414B"/>
    <w:rsid w:val="00DD58B0"/>
    <w:rsid w:val="00DD5A2A"/>
    <w:rsid w:val="00DD5A53"/>
    <w:rsid w:val="00DD5D2A"/>
    <w:rsid w:val="00DD61FA"/>
    <w:rsid w:val="00DD67B0"/>
    <w:rsid w:val="00DE05D3"/>
    <w:rsid w:val="00DE0AC4"/>
    <w:rsid w:val="00DE3B39"/>
    <w:rsid w:val="00DE5CC3"/>
    <w:rsid w:val="00DE60B3"/>
    <w:rsid w:val="00DE6B05"/>
    <w:rsid w:val="00DE7920"/>
    <w:rsid w:val="00DE7B21"/>
    <w:rsid w:val="00DF1E9D"/>
    <w:rsid w:val="00DF23AD"/>
    <w:rsid w:val="00DF3102"/>
    <w:rsid w:val="00DF3DED"/>
    <w:rsid w:val="00DF489C"/>
    <w:rsid w:val="00DF505D"/>
    <w:rsid w:val="00DF5536"/>
    <w:rsid w:val="00DF7BBF"/>
    <w:rsid w:val="00DF7EBD"/>
    <w:rsid w:val="00E001F1"/>
    <w:rsid w:val="00E00641"/>
    <w:rsid w:val="00E007F4"/>
    <w:rsid w:val="00E01354"/>
    <w:rsid w:val="00E0197E"/>
    <w:rsid w:val="00E023CE"/>
    <w:rsid w:val="00E02713"/>
    <w:rsid w:val="00E02B07"/>
    <w:rsid w:val="00E038BD"/>
    <w:rsid w:val="00E03C66"/>
    <w:rsid w:val="00E04E7F"/>
    <w:rsid w:val="00E0574A"/>
    <w:rsid w:val="00E059F1"/>
    <w:rsid w:val="00E07316"/>
    <w:rsid w:val="00E10E39"/>
    <w:rsid w:val="00E12023"/>
    <w:rsid w:val="00E12876"/>
    <w:rsid w:val="00E13293"/>
    <w:rsid w:val="00E134B2"/>
    <w:rsid w:val="00E13751"/>
    <w:rsid w:val="00E139C4"/>
    <w:rsid w:val="00E1418D"/>
    <w:rsid w:val="00E14DA1"/>
    <w:rsid w:val="00E15857"/>
    <w:rsid w:val="00E15D57"/>
    <w:rsid w:val="00E160CE"/>
    <w:rsid w:val="00E16844"/>
    <w:rsid w:val="00E1701B"/>
    <w:rsid w:val="00E1706C"/>
    <w:rsid w:val="00E175A7"/>
    <w:rsid w:val="00E207B1"/>
    <w:rsid w:val="00E20CE2"/>
    <w:rsid w:val="00E20E20"/>
    <w:rsid w:val="00E2114F"/>
    <w:rsid w:val="00E2128F"/>
    <w:rsid w:val="00E238F7"/>
    <w:rsid w:val="00E23AF0"/>
    <w:rsid w:val="00E24921"/>
    <w:rsid w:val="00E315C0"/>
    <w:rsid w:val="00E317D6"/>
    <w:rsid w:val="00E31C9B"/>
    <w:rsid w:val="00E333BE"/>
    <w:rsid w:val="00E33914"/>
    <w:rsid w:val="00E35D18"/>
    <w:rsid w:val="00E35E4E"/>
    <w:rsid w:val="00E36568"/>
    <w:rsid w:val="00E37130"/>
    <w:rsid w:val="00E37B0E"/>
    <w:rsid w:val="00E37D8E"/>
    <w:rsid w:val="00E405CB"/>
    <w:rsid w:val="00E40CA0"/>
    <w:rsid w:val="00E41640"/>
    <w:rsid w:val="00E41D6C"/>
    <w:rsid w:val="00E4208A"/>
    <w:rsid w:val="00E4368B"/>
    <w:rsid w:val="00E43877"/>
    <w:rsid w:val="00E43A38"/>
    <w:rsid w:val="00E43E7E"/>
    <w:rsid w:val="00E43EBA"/>
    <w:rsid w:val="00E43F73"/>
    <w:rsid w:val="00E45746"/>
    <w:rsid w:val="00E4732C"/>
    <w:rsid w:val="00E4789F"/>
    <w:rsid w:val="00E507BD"/>
    <w:rsid w:val="00E510C4"/>
    <w:rsid w:val="00E516E4"/>
    <w:rsid w:val="00E51A8C"/>
    <w:rsid w:val="00E532CF"/>
    <w:rsid w:val="00E53ACB"/>
    <w:rsid w:val="00E54463"/>
    <w:rsid w:val="00E5465E"/>
    <w:rsid w:val="00E54B8E"/>
    <w:rsid w:val="00E55411"/>
    <w:rsid w:val="00E558FB"/>
    <w:rsid w:val="00E56087"/>
    <w:rsid w:val="00E56F9E"/>
    <w:rsid w:val="00E575DF"/>
    <w:rsid w:val="00E600C2"/>
    <w:rsid w:val="00E618F9"/>
    <w:rsid w:val="00E61F7C"/>
    <w:rsid w:val="00E62043"/>
    <w:rsid w:val="00E621D5"/>
    <w:rsid w:val="00E62A0C"/>
    <w:rsid w:val="00E6393D"/>
    <w:rsid w:val="00E6457E"/>
    <w:rsid w:val="00E649CD"/>
    <w:rsid w:val="00E64A10"/>
    <w:rsid w:val="00E64F9D"/>
    <w:rsid w:val="00E65FC7"/>
    <w:rsid w:val="00E666DE"/>
    <w:rsid w:val="00E6679D"/>
    <w:rsid w:val="00E66A10"/>
    <w:rsid w:val="00E67904"/>
    <w:rsid w:val="00E67E18"/>
    <w:rsid w:val="00E70296"/>
    <w:rsid w:val="00E70685"/>
    <w:rsid w:val="00E70E86"/>
    <w:rsid w:val="00E7127F"/>
    <w:rsid w:val="00E7154F"/>
    <w:rsid w:val="00E7178C"/>
    <w:rsid w:val="00E71FBC"/>
    <w:rsid w:val="00E72061"/>
    <w:rsid w:val="00E723C2"/>
    <w:rsid w:val="00E73194"/>
    <w:rsid w:val="00E73BA7"/>
    <w:rsid w:val="00E756A5"/>
    <w:rsid w:val="00E757C5"/>
    <w:rsid w:val="00E75D41"/>
    <w:rsid w:val="00E75FB0"/>
    <w:rsid w:val="00E76694"/>
    <w:rsid w:val="00E777AF"/>
    <w:rsid w:val="00E77A39"/>
    <w:rsid w:val="00E80422"/>
    <w:rsid w:val="00E81718"/>
    <w:rsid w:val="00E81E7F"/>
    <w:rsid w:val="00E8209A"/>
    <w:rsid w:val="00E8244A"/>
    <w:rsid w:val="00E82519"/>
    <w:rsid w:val="00E82AA2"/>
    <w:rsid w:val="00E839B7"/>
    <w:rsid w:val="00E83FE4"/>
    <w:rsid w:val="00E8446E"/>
    <w:rsid w:val="00E85CD4"/>
    <w:rsid w:val="00E8706F"/>
    <w:rsid w:val="00E90493"/>
    <w:rsid w:val="00E91114"/>
    <w:rsid w:val="00E915F2"/>
    <w:rsid w:val="00E921A9"/>
    <w:rsid w:val="00E922AD"/>
    <w:rsid w:val="00E92DAA"/>
    <w:rsid w:val="00E93775"/>
    <w:rsid w:val="00E9467A"/>
    <w:rsid w:val="00E94BC9"/>
    <w:rsid w:val="00E94D5E"/>
    <w:rsid w:val="00E94F4B"/>
    <w:rsid w:val="00E95744"/>
    <w:rsid w:val="00E96BE9"/>
    <w:rsid w:val="00E971B6"/>
    <w:rsid w:val="00E97C14"/>
    <w:rsid w:val="00E97C9A"/>
    <w:rsid w:val="00EA096B"/>
    <w:rsid w:val="00EA0AF0"/>
    <w:rsid w:val="00EA16BC"/>
    <w:rsid w:val="00EA1E21"/>
    <w:rsid w:val="00EA21A2"/>
    <w:rsid w:val="00EA2C97"/>
    <w:rsid w:val="00EA37F4"/>
    <w:rsid w:val="00EA385F"/>
    <w:rsid w:val="00EA4208"/>
    <w:rsid w:val="00EA426C"/>
    <w:rsid w:val="00EA4278"/>
    <w:rsid w:val="00EA617F"/>
    <w:rsid w:val="00EA61BE"/>
    <w:rsid w:val="00EA64E6"/>
    <w:rsid w:val="00EA6559"/>
    <w:rsid w:val="00EA67E0"/>
    <w:rsid w:val="00EA6C6C"/>
    <w:rsid w:val="00EA71AC"/>
    <w:rsid w:val="00EA7F27"/>
    <w:rsid w:val="00EB0C7C"/>
    <w:rsid w:val="00EB15B6"/>
    <w:rsid w:val="00EB36FB"/>
    <w:rsid w:val="00EB3D62"/>
    <w:rsid w:val="00EB4130"/>
    <w:rsid w:val="00EB47B7"/>
    <w:rsid w:val="00EB4B90"/>
    <w:rsid w:val="00EB4C04"/>
    <w:rsid w:val="00EB57F0"/>
    <w:rsid w:val="00EB61BF"/>
    <w:rsid w:val="00EB7168"/>
    <w:rsid w:val="00EB7CF8"/>
    <w:rsid w:val="00EB7E89"/>
    <w:rsid w:val="00EC04A5"/>
    <w:rsid w:val="00EC090F"/>
    <w:rsid w:val="00EC24F7"/>
    <w:rsid w:val="00EC2716"/>
    <w:rsid w:val="00EC3BAA"/>
    <w:rsid w:val="00EC40C2"/>
    <w:rsid w:val="00EC4ECD"/>
    <w:rsid w:val="00EC5135"/>
    <w:rsid w:val="00EC5AC4"/>
    <w:rsid w:val="00EC5D6D"/>
    <w:rsid w:val="00ED0799"/>
    <w:rsid w:val="00ED12BE"/>
    <w:rsid w:val="00ED1B1E"/>
    <w:rsid w:val="00ED1DCE"/>
    <w:rsid w:val="00ED261D"/>
    <w:rsid w:val="00ED3C05"/>
    <w:rsid w:val="00ED3DC1"/>
    <w:rsid w:val="00ED3E32"/>
    <w:rsid w:val="00ED70A1"/>
    <w:rsid w:val="00ED719A"/>
    <w:rsid w:val="00ED7592"/>
    <w:rsid w:val="00ED76A0"/>
    <w:rsid w:val="00EE06B5"/>
    <w:rsid w:val="00EE0797"/>
    <w:rsid w:val="00EE14F6"/>
    <w:rsid w:val="00EE1988"/>
    <w:rsid w:val="00EE1D02"/>
    <w:rsid w:val="00EE1E49"/>
    <w:rsid w:val="00EE22D1"/>
    <w:rsid w:val="00EE252F"/>
    <w:rsid w:val="00EE28CF"/>
    <w:rsid w:val="00EE2C07"/>
    <w:rsid w:val="00EE353D"/>
    <w:rsid w:val="00EE42FA"/>
    <w:rsid w:val="00EE539F"/>
    <w:rsid w:val="00EE5F09"/>
    <w:rsid w:val="00EF006C"/>
    <w:rsid w:val="00EF33D8"/>
    <w:rsid w:val="00EF3782"/>
    <w:rsid w:val="00EF483D"/>
    <w:rsid w:val="00EF5EBE"/>
    <w:rsid w:val="00EF662A"/>
    <w:rsid w:val="00EF6AE1"/>
    <w:rsid w:val="00EF7D4D"/>
    <w:rsid w:val="00F025CA"/>
    <w:rsid w:val="00F0276F"/>
    <w:rsid w:val="00F02FCC"/>
    <w:rsid w:val="00F04047"/>
    <w:rsid w:val="00F04B63"/>
    <w:rsid w:val="00F05D8B"/>
    <w:rsid w:val="00F102E0"/>
    <w:rsid w:val="00F1044A"/>
    <w:rsid w:val="00F114CA"/>
    <w:rsid w:val="00F12C10"/>
    <w:rsid w:val="00F1488C"/>
    <w:rsid w:val="00F14ED0"/>
    <w:rsid w:val="00F15ADC"/>
    <w:rsid w:val="00F1758D"/>
    <w:rsid w:val="00F17A85"/>
    <w:rsid w:val="00F2014D"/>
    <w:rsid w:val="00F203F0"/>
    <w:rsid w:val="00F205E8"/>
    <w:rsid w:val="00F2080C"/>
    <w:rsid w:val="00F2129E"/>
    <w:rsid w:val="00F219E2"/>
    <w:rsid w:val="00F221E3"/>
    <w:rsid w:val="00F23ADD"/>
    <w:rsid w:val="00F24A70"/>
    <w:rsid w:val="00F25542"/>
    <w:rsid w:val="00F25AE5"/>
    <w:rsid w:val="00F269A0"/>
    <w:rsid w:val="00F30E8D"/>
    <w:rsid w:val="00F31233"/>
    <w:rsid w:val="00F312EF"/>
    <w:rsid w:val="00F32044"/>
    <w:rsid w:val="00F331E7"/>
    <w:rsid w:val="00F333DD"/>
    <w:rsid w:val="00F343E4"/>
    <w:rsid w:val="00F34BC4"/>
    <w:rsid w:val="00F34C56"/>
    <w:rsid w:val="00F34ECE"/>
    <w:rsid w:val="00F363EE"/>
    <w:rsid w:val="00F36414"/>
    <w:rsid w:val="00F37393"/>
    <w:rsid w:val="00F40517"/>
    <w:rsid w:val="00F41600"/>
    <w:rsid w:val="00F418C1"/>
    <w:rsid w:val="00F425C0"/>
    <w:rsid w:val="00F42799"/>
    <w:rsid w:val="00F43D64"/>
    <w:rsid w:val="00F44107"/>
    <w:rsid w:val="00F44C00"/>
    <w:rsid w:val="00F44FC6"/>
    <w:rsid w:val="00F45212"/>
    <w:rsid w:val="00F461B1"/>
    <w:rsid w:val="00F46767"/>
    <w:rsid w:val="00F46C83"/>
    <w:rsid w:val="00F51FF1"/>
    <w:rsid w:val="00F5210D"/>
    <w:rsid w:val="00F53070"/>
    <w:rsid w:val="00F54426"/>
    <w:rsid w:val="00F55DE1"/>
    <w:rsid w:val="00F5609F"/>
    <w:rsid w:val="00F5640E"/>
    <w:rsid w:val="00F56712"/>
    <w:rsid w:val="00F57FBB"/>
    <w:rsid w:val="00F60142"/>
    <w:rsid w:val="00F603BB"/>
    <w:rsid w:val="00F60CF3"/>
    <w:rsid w:val="00F61E69"/>
    <w:rsid w:val="00F623EB"/>
    <w:rsid w:val="00F63326"/>
    <w:rsid w:val="00F63E78"/>
    <w:rsid w:val="00F645AE"/>
    <w:rsid w:val="00F64CD1"/>
    <w:rsid w:val="00F65A69"/>
    <w:rsid w:val="00F667C6"/>
    <w:rsid w:val="00F668DA"/>
    <w:rsid w:val="00F669A0"/>
    <w:rsid w:val="00F67051"/>
    <w:rsid w:val="00F673D2"/>
    <w:rsid w:val="00F704CF"/>
    <w:rsid w:val="00F70CA0"/>
    <w:rsid w:val="00F7111F"/>
    <w:rsid w:val="00F71F85"/>
    <w:rsid w:val="00F728F0"/>
    <w:rsid w:val="00F733C0"/>
    <w:rsid w:val="00F73D94"/>
    <w:rsid w:val="00F7433E"/>
    <w:rsid w:val="00F75EB7"/>
    <w:rsid w:val="00F76909"/>
    <w:rsid w:val="00F8100A"/>
    <w:rsid w:val="00F81E9A"/>
    <w:rsid w:val="00F835E5"/>
    <w:rsid w:val="00F83ACE"/>
    <w:rsid w:val="00F83BC2"/>
    <w:rsid w:val="00F85517"/>
    <w:rsid w:val="00F8596D"/>
    <w:rsid w:val="00F85989"/>
    <w:rsid w:val="00F86787"/>
    <w:rsid w:val="00F8678C"/>
    <w:rsid w:val="00F868BC"/>
    <w:rsid w:val="00F87460"/>
    <w:rsid w:val="00F90A7B"/>
    <w:rsid w:val="00F90BBB"/>
    <w:rsid w:val="00F91FF3"/>
    <w:rsid w:val="00F92E36"/>
    <w:rsid w:val="00F93AA1"/>
    <w:rsid w:val="00F94669"/>
    <w:rsid w:val="00F9536E"/>
    <w:rsid w:val="00F97990"/>
    <w:rsid w:val="00FA06E5"/>
    <w:rsid w:val="00FA0CE0"/>
    <w:rsid w:val="00FA1278"/>
    <w:rsid w:val="00FA16BC"/>
    <w:rsid w:val="00FA2807"/>
    <w:rsid w:val="00FA2DBA"/>
    <w:rsid w:val="00FA32E9"/>
    <w:rsid w:val="00FA37B8"/>
    <w:rsid w:val="00FA3BFA"/>
    <w:rsid w:val="00FA4293"/>
    <w:rsid w:val="00FA4B0D"/>
    <w:rsid w:val="00FA506F"/>
    <w:rsid w:val="00FA543A"/>
    <w:rsid w:val="00FA56EB"/>
    <w:rsid w:val="00FA572A"/>
    <w:rsid w:val="00FA6CB4"/>
    <w:rsid w:val="00FA7FE6"/>
    <w:rsid w:val="00FB0C4F"/>
    <w:rsid w:val="00FB152C"/>
    <w:rsid w:val="00FB18F9"/>
    <w:rsid w:val="00FB1A9A"/>
    <w:rsid w:val="00FB27CB"/>
    <w:rsid w:val="00FB3540"/>
    <w:rsid w:val="00FB35C3"/>
    <w:rsid w:val="00FB39C7"/>
    <w:rsid w:val="00FB447E"/>
    <w:rsid w:val="00FB6F52"/>
    <w:rsid w:val="00FB7AC5"/>
    <w:rsid w:val="00FB7B9C"/>
    <w:rsid w:val="00FC0FE0"/>
    <w:rsid w:val="00FC3577"/>
    <w:rsid w:val="00FC36E8"/>
    <w:rsid w:val="00FC510A"/>
    <w:rsid w:val="00FC53C9"/>
    <w:rsid w:val="00FC5D2F"/>
    <w:rsid w:val="00FC6C95"/>
    <w:rsid w:val="00FC77D7"/>
    <w:rsid w:val="00FD0938"/>
    <w:rsid w:val="00FD2363"/>
    <w:rsid w:val="00FD31AB"/>
    <w:rsid w:val="00FD3A21"/>
    <w:rsid w:val="00FD5FB7"/>
    <w:rsid w:val="00FD6186"/>
    <w:rsid w:val="00FD66EE"/>
    <w:rsid w:val="00FD68D8"/>
    <w:rsid w:val="00FE02C2"/>
    <w:rsid w:val="00FE1039"/>
    <w:rsid w:val="00FE1060"/>
    <w:rsid w:val="00FE1A2F"/>
    <w:rsid w:val="00FE2133"/>
    <w:rsid w:val="00FE52AB"/>
    <w:rsid w:val="00FE5635"/>
    <w:rsid w:val="00FE5F19"/>
    <w:rsid w:val="00FE5FFA"/>
    <w:rsid w:val="00FE6706"/>
    <w:rsid w:val="00FE72EB"/>
    <w:rsid w:val="00FE7373"/>
    <w:rsid w:val="00FE7833"/>
    <w:rsid w:val="00FE7BB6"/>
    <w:rsid w:val="00FE7DD6"/>
    <w:rsid w:val="00FE7F5A"/>
    <w:rsid w:val="00FF1D62"/>
    <w:rsid w:val="00FF2B7D"/>
    <w:rsid w:val="00FF2D5A"/>
    <w:rsid w:val="00FF31E3"/>
    <w:rsid w:val="00FF3438"/>
    <w:rsid w:val="00FF361D"/>
    <w:rsid w:val="00FF3DF8"/>
    <w:rsid w:val="00FF43B0"/>
    <w:rsid w:val="00FF51D6"/>
    <w:rsid w:val="00FF6A95"/>
    <w:rsid w:val="00FF6B62"/>
    <w:rsid w:val="00FF730F"/>
    <w:rsid w:val="00FF760A"/>
    <w:rsid w:val="00FF7C79"/>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CA78C"/>
  <w15:chartTrackingRefBased/>
  <w15:docId w15:val="{6D1A1370-C00C-4425-83BE-6602A1B96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6">
    <w:lsdException w:name="heading 1" w:uiPriority="9" w:qFormat="1"/>
    <w:lsdException w:name="heading 2" w:uiPriority="1"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List Bullet" w:qFormat="1"/>
    <w:lsdException w:name="List Number" w:uiPriority="21" w:qFormat="1"/>
    <w:lsdException w:name="Title" w:uiPriority="10"/>
    <w:lsdException w:name="Subtitle" w:uiPriority="11"/>
    <w:lsdException w:name="Hyperlink" w:uiPriority="99"/>
    <w:lsdException w:name="FollowedHyperlink" w:uiPriority="99"/>
    <w:lsdException w:name="Strong" w:uiPriority="22"/>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uiPriority="51"/>
    <w:lsdException w:name="Grid Table 7 Colorful Accent 2"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uiPriority="51"/>
    <w:lsdException w:name="Grid Table 7 Colorful Accent 3"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uiPriority="51"/>
    <w:lsdException w:name="Grid Table 7 Colorful Accent 4"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rsid w:val="00325491"/>
  </w:style>
  <w:style w:type="paragraph" w:styleId="Nadpis1">
    <w:name w:val="heading 1"/>
    <w:basedOn w:val="ZPNadpis1"/>
    <w:next w:val="Odstavec1"/>
    <w:link w:val="Nadpis1Char"/>
    <w:uiPriority w:val="9"/>
    <w:qFormat/>
    <w:rsid w:val="00504943"/>
    <w:pPr>
      <w:numPr>
        <w:numId w:val="19"/>
      </w:numPr>
    </w:pPr>
  </w:style>
  <w:style w:type="paragraph" w:styleId="Nadpis2">
    <w:name w:val="heading 2"/>
    <w:basedOn w:val="ZPNadpis2"/>
    <w:next w:val="Odstavec1"/>
    <w:link w:val="Nadpis2Char"/>
    <w:uiPriority w:val="1"/>
    <w:qFormat/>
    <w:rsid w:val="00504943"/>
    <w:pPr>
      <w:numPr>
        <w:ilvl w:val="1"/>
        <w:numId w:val="19"/>
      </w:numPr>
    </w:pPr>
    <w:rPr>
      <w:bCs w:val="0"/>
      <w:iCs/>
    </w:rPr>
  </w:style>
  <w:style w:type="paragraph" w:styleId="Nadpis3">
    <w:name w:val="heading 3"/>
    <w:basedOn w:val="ZPNadpis3"/>
    <w:next w:val="Odstavec1"/>
    <w:link w:val="Nadpis3Char"/>
    <w:uiPriority w:val="9"/>
    <w:qFormat/>
    <w:rsid w:val="00504943"/>
    <w:pPr>
      <w:numPr>
        <w:ilvl w:val="2"/>
        <w:numId w:val="19"/>
      </w:numPr>
      <w:tabs>
        <w:tab w:val="num" w:pos="360"/>
      </w:tabs>
      <w:ind w:left="0" w:firstLine="0"/>
    </w:pPr>
  </w:style>
  <w:style w:type="paragraph" w:styleId="Nadpis4">
    <w:name w:val="heading 4"/>
    <w:basedOn w:val="ZPNadpis4"/>
    <w:next w:val="Normln"/>
    <w:link w:val="Nadpis4Char"/>
    <w:uiPriority w:val="9"/>
    <w:unhideWhenUsed/>
    <w:rsid w:val="00504943"/>
    <w:pPr>
      <w:numPr>
        <w:ilvl w:val="3"/>
        <w:numId w:val="19"/>
      </w:numPr>
      <w:tabs>
        <w:tab w:val="num" w:pos="360"/>
      </w:tabs>
      <w:spacing w:before="240" w:after="60"/>
      <w:ind w:left="0" w:firstLine="0"/>
      <w:outlineLvl w:val="3"/>
    </w:pPr>
    <w:rPr>
      <w:rFonts w:ascii="Arial" w:hAnsi="Arial"/>
      <w:bCs/>
      <w:szCs w:val="28"/>
    </w:rPr>
  </w:style>
  <w:style w:type="paragraph" w:styleId="Nadpis5">
    <w:name w:val="heading 5"/>
    <w:basedOn w:val="Nadpis3"/>
    <w:next w:val="Normln"/>
    <w:link w:val="Nadpis5Char"/>
    <w:uiPriority w:val="9"/>
    <w:unhideWhenUsed/>
    <w:rsid w:val="00AB6916"/>
    <w:pPr>
      <w:spacing w:before="120" w:after="240" w:line="360" w:lineRule="auto"/>
      <w:ind w:left="1008" w:hanging="1008"/>
      <w:outlineLvl w:val="4"/>
    </w:pPr>
    <w:rPr>
      <w:rFonts w:cs="Times New Roman"/>
      <w:lang w:eastAsia="sk-SK"/>
    </w:rPr>
  </w:style>
  <w:style w:type="paragraph" w:styleId="Nadpis6">
    <w:name w:val="heading 6"/>
    <w:basedOn w:val="Normln"/>
    <w:next w:val="Normln"/>
    <w:link w:val="Nadpis6Char"/>
    <w:uiPriority w:val="9"/>
    <w:unhideWhenUsed/>
    <w:rsid w:val="00743F57"/>
    <w:pPr>
      <w:spacing w:before="240" w:after="60"/>
      <w:outlineLvl w:val="5"/>
    </w:pPr>
    <w:rPr>
      <w:rFonts w:ascii="Calibri" w:hAnsi="Calibri"/>
      <w:b/>
      <w:bCs/>
      <w:sz w:val="22"/>
      <w:szCs w:val="22"/>
    </w:rPr>
  </w:style>
  <w:style w:type="paragraph" w:styleId="Nadpis7">
    <w:name w:val="heading 7"/>
    <w:basedOn w:val="Normln"/>
    <w:next w:val="Normln"/>
    <w:link w:val="Nadpis7Char"/>
    <w:uiPriority w:val="9"/>
    <w:unhideWhenUsed/>
    <w:rsid w:val="00743F57"/>
    <w:pPr>
      <w:spacing w:before="240" w:after="60"/>
      <w:outlineLvl w:val="6"/>
    </w:pPr>
    <w:rPr>
      <w:rFonts w:ascii="Calibri" w:hAnsi="Calibri"/>
    </w:rPr>
  </w:style>
  <w:style w:type="paragraph" w:styleId="Nadpis8">
    <w:name w:val="heading 8"/>
    <w:basedOn w:val="Nadpis3"/>
    <w:next w:val="Normln"/>
    <w:link w:val="Nadpis8Char"/>
    <w:uiPriority w:val="9"/>
    <w:rsid w:val="00AB6916"/>
    <w:pPr>
      <w:spacing w:before="120" w:after="240" w:line="360" w:lineRule="auto"/>
      <w:ind w:left="1440" w:hanging="1440"/>
      <w:outlineLvl w:val="7"/>
    </w:pPr>
    <w:rPr>
      <w:rFonts w:cs="Times New Roman"/>
      <w:bCs w:val="0"/>
      <w:lang w:eastAsia="sk-SK"/>
    </w:rPr>
  </w:style>
  <w:style w:type="paragraph" w:styleId="Nadpis9">
    <w:name w:val="heading 9"/>
    <w:basedOn w:val="Normln"/>
    <w:next w:val="Normln"/>
    <w:link w:val="Nadpis9Char"/>
    <w:uiPriority w:val="9"/>
    <w:unhideWhenUsed/>
    <w:rsid w:val="00743F57"/>
    <w:p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uiPriority w:val="9"/>
    <w:rsid w:val="00633434"/>
    <w:rPr>
      <w:rFonts w:ascii="Arial" w:hAnsi="Arial"/>
      <w:bCs/>
      <w:color w:val="0000DC"/>
      <w:kern w:val="32"/>
      <w:szCs w:val="28"/>
    </w:rPr>
  </w:style>
  <w:style w:type="character" w:customStyle="1" w:styleId="Nadpis6Char">
    <w:name w:val="Nadpis 6 Char"/>
    <w:link w:val="Nadpis6"/>
    <w:uiPriority w:val="9"/>
    <w:rsid w:val="00743F57"/>
    <w:rPr>
      <w:rFonts w:ascii="Calibri" w:eastAsia="Times New Roman" w:hAnsi="Calibri" w:cs="Times New Roman"/>
      <w:b/>
      <w:bCs/>
      <w:sz w:val="22"/>
      <w:szCs w:val="22"/>
    </w:rPr>
  </w:style>
  <w:style w:type="character" w:customStyle="1" w:styleId="Nadpis7Char">
    <w:name w:val="Nadpis 7 Char"/>
    <w:link w:val="Nadpis7"/>
    <w:uiPriority w:val="9"/>
    <w:rsid w:val="00743F57"/>
    <w:rPr>
      <w:rFonts w:ascii="Calibri" w:eastAsia="Times New Roman" w:hAnsi="Calibri" w:cs="Times New Roman"/>
      <w:sz w:val="24"/>
      <w:szCs w:val="24"/>
    </w:rPr>
  </w:style>
  <w:style w:type="character" w:customStyle="1" w:styleId="Nadpis9Char">
    <w:name w:val="Nadpis 9 Char"/>
    <w:link w:val="Nadpis9"/>
    <w:uiPriority w:val="9"/>
    <w:semiHidden/>
    <w:rsid w:val="00743F57"/>
    <w:rPr>
      <w:rFonts w:ascii="Cambria" w:eastAsia="Times New Roman" w:hAnsi="Cambria" w:cs="Times New Roman"/>
      <w:sz w:val="22"/>
      <w:szCs w:val="22"/>
    </w:rPr>
  </w:style>
  <w:style w:type="paragraph" w:styleId="Obsah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Dalodstavce">
    <w:name w:val="Další odstavce"/>
    <w:basedOn w:val="ZPZklad"/>
    <w:link w:val="DalodstavceChar"/>
    <w:uiPriority w:val="20"/>
    <w:qFormat/>
    <w:rsid w:val="00FB3540"/>
    <w:pPr>
      <w:spacing w:before="120" w:after="120"/>
      <w:ind w:firstLine="482"/>
    </w:pPr>
  </w:style>
  <w:style w:type="character" w:customStyle="1" w:styleId="DalodstavceChar">
    <w:name w:val="Další odstavce Char"/>
    <w:basedOn w:val="ZPZkladChar"/>
    <w:link w:val="Dalodstavce"/>
    <w:uiPriority w:val="20"/>
    <w:rsid w:val="00656B43"/>
    <w:rPr>
      <w:rFonts w:ascii="Cambria" w:hAnsi="Cambria"/>
      <w:sz w:val="24"/>
      <w:szCs w:val="24"/>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Nadpis1vodn">
    <w:name w:val="ZP Nadpis 1 úvodní"/>
    <w:basedOn w:val="ZPNadpisy1"/>
    <w:rsid w:val="00A00BBC"/>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ln"/>
    <w:semiHidden/>
    <w:rsid w:val="00B8051E"/>
    <w:pPr>
      <w:numPr>
        <w:ilvl w:val="1"/>
        <w:numId w:val="1"/>
      </w:numPr>
    </w:pPr>
  </w:style>
  <w:style w:type="paragraph" w:customStyle="1" w:styleId="mujnadpis2">
    <w:name w:val="muj nadpis 2"/>
    <w:basedOn w:val="Normln"/>
    <w:semiHidden/>
    <w:rsid w:val="008A0030"/>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ZPVetsodrkami">
    <w:name w:val="ZP: Výčet s odrážkami"/>
    <w:basedOn w:val="Bezseznamu"/>
    <w:rsid w:val="00E73BA7"/>
    <w:pPr>
      <w:numPr>
        <w:numId w:val="4"/>
      </w:numPr>
    </w:pPr>
  </w:style>
  <w:style w:type="character" w:styleId="Zstupntext">
    <w:name w:val="Placeholder Text"/>
    <w:basedOn w:val="Standardnpsmoodstavce"/>
    <w:uiPriority w:val="99"/>
    <w:semiHidden/>
    <w:rsid w:val="00E24921"/>
    <w:rPr>
      <w:color w:val="808080"/>
    </w:rPr>
  </w:style>
  <w:style w:type="paragraph" w:styleId="Zhlav">
    <w:name w:val="header"/>
    <w:basedOn w:val="Normln"/>
    <w:link w:val="ZhlavChar"/>
    <w:uiPriority w:val="99"/>
    <w:rsid w:val="00984F82"/>
    <w:pPr>
      <w:tabs>
        <w:tab w:val="center" w:pos="4536"/>
        <w:tab w:val="right" w:pos="9072"/>
      </w:tabs>
    </w:pPr>
  </w:style>
  <w:style w:type="paragraph" w:styleId="Zpat">
    <w:name w:val="footer"/>
    <w:basedOn w:val="Normln"/>
    <w:link w:val="ZpatChar"/>
    <w:uiPriority w:val="99"/>
    <w:rsid w:val="00984F82"/>
    <w:pPr>
      <w:tabs>
        <w:tab w:val="center" w:pos="4536"/>
        <w:tab w:val="right" w:pos="9072"/>
      </w:tabs>
    </w:pPr>
  </w:style>
  <w:style w:type="paragraph" w:styleId="Textpoznpodarou">
    <w:name w:val="footnote text"/>
    <w:basedOn w:val="ZPZklad"/>
    <w:link w:val="TextpoznpodarouChar"/>
    <w:rsid w:val="00E73194"/>
    <w:pPr>
      <w:ind w:left="300" w:hanging="300"/>
      <w:jc w:val="left"/>
    </w:pPr>
    <w:rPr>
      <w:sz w:val="20"/>
      <w:szCs w:val="20"/>
    </w:rPr>
  </w:style>
  <w:style w:type="character" w:styleId="Znakapoznpodarou">
    <w:name w:val="footnote reference"/>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Obsah2">
    <w:name w:val="toc 2"/>
    <w:basedOn w:val="Normln"/>
    <w:autoRedefine/>
    <w:uiPriority w:val="39"/>
    <w:rsid w:val="006959C8"/>
    <w:pPr>
      <w:tabs>
        <w:tab w:val="left" w:pos="851"/>
        <w:tab w:val="right" w:leader="dot" w:pos="8505"/>
      </w:tabs>
      <w:spacing w:before="120"/>
      <w:ind w:left="862" w:hanging="624"/>
    </w:pPr>
    <w:rPr>
      <w:iCs/>
      <w:noProof/>
    </w:rPr>
  </w:style>
  <w:style w:type="paragraph" w:styleId="Obsah3">
    <w:name w:val="toc 3"/>
    <w:basedOn w:val="Normln"/>
    <w:autoRedefine/>
    <w:uiPriority w:val="39"/>
    <w:rsid w:val="00C35CD5"/>
    <w:pPr>
      <w:tabs>
        <w:tab w:val="left" w:pos="1361"/>
        <w:tab w:val="right" w:leader="dot" w:pos="8505"/>
      </w:tabs>
      <w:spacing w:before="120" w:line="280" w:lineRule="atLeast"/>
      <w:ind w:left="482"/>
      <w:jc w:val="both"/>
    </w:pPr>
    <w:rPr>
      <w:noProof/>
    </w:rPr>
  </w:style>
  <w:style w:type="paragraph" w:styleId="Obsah4">
    <w:name w:val="toc 4"/>
    <w:basedOn w:val="Normln"/>
    <w:next w:val="Normln"/>
    <w:autoRedefine/>
    <w:uiPriority w:val="39"/>
    <w:rsid w:val="000B205F"/>
    <w:pPr>
      <w:tabs>
        <w:tab w:val="left" w:pos="1871"/>
        <w:tab w:val="right" w:leader="dot" w:pos="8505"/>
      </w:tabs>
      <w:spacing w:before="120" w:line="260" w:lineRule="atLeast"/>
      <w:ind w:left="720"/>
    </w:pPr>
    <w:rPr>
      <w:sz w:val="22"/>
      <w:szCs w:val="20"/>
    </w:rPr>
  </w:style>
  <w:style w:type="paragraph" w:styleId="Obsah5">
    <w:name w:val="toc 5"/>
    <w:basedOn w:val="Normln"/>
    <w:next w:val="Normln"/>
    <w:autoRedefine/>
    <w:uiPriority w:val="39"/>
    <w:rsid w:val="00A86718"/>
    <w:pPr>
      <w:ind w:left="960"/>
    </w:pPr>
    <w:rPr>
      <w:sz w:val="20"/>
      <w:szCs w:val="20"/>
    </w:rPr>
  </w:style>
  <w:style w:type="paragraph" w:styleId="Obsah6">
    <w:name w:val="toc 6"/>
    <w:basedOn w:val="Normln"/>
    <w:next w:val="Normln"/>
    <w:autoRedefine/>
    <w:uiPriority w:val="39"/>
    <w:rsid w:val="00A86718"/>
    <w:pPr>
      <w:ind w:left="1200"/>
    </w:pPr>
    <w:rPr>
      <w:sz w:val="20"/>
      <w:szCs w:val="20"/>
    </w:rPr>
  </w:style>
  <w:style w:type="paragraph" w:styleId="Obsah7">
    <w:name w:val="toc 7"/>
    <w:basedOn w:val="Normln"/>
    <w:next w:val="Normln"/>
    <w:autoRedefine/>
    <w:uiPriority w:val="39"/>
    <w:rsid w:val="00A86718"/>
    <w:pPr>
      <w:ind w:left="1440"/>
    </w:pPr>
    <w:rPr>
      <w:sz w:val="20"/>
      <w:szCs w:val="20"/>
    </w:rPr>
  </w:style>
  <w:style w:type="paragraph" w:styleId="Obsah8">
    <w:name w:val="toc 8"/>
    <w:basedOn w:val="Normln"/>
    <w:next w:val="Normln"/>
    <w:autoRedefine/>
    <w:uiPriority w:val="39"/>
    <w:rsid w:val="00A86718"/>
    <w:pPr>
      <w:ind w:left="1680"/>
    </w:pPr>
    <w:rPr>
      <w:sz w:val="20"/>
      <w:szCs w:val="20"/>
    </w:rPr>
  </w:style>
  <w:style w:type="paragraph" w:styleId="Obsah9">
    <w:name w:val="toc 9"/>
    <w:basedOn w:val="ZPSeznamploh"/>
    <w:uiPriority w:val="39"/>
    <w:rsid w:val="00D06678"/>
  </w:style>
  <w:style w:type="paragraph" w:customStyle="1" w:styleId="Obsah10">
    <w:name w:val="Obsah 10"/>
    <w:basedOn w:val="ZPSeznamploh"/>
    <w:rsid w:val="006964D9"/>
    <w:pPr>
      <w:tabs>
        <w:tab w:val="left" w:pos="851"/>
      </w:tabs>
      <w:spacing w:before="120" w:after="0"/>
    </w:pPr>
  </w:style>
  <w:style w:type="paragraph" w:customStyle="1" w:styleId="ZPNadpis30">
    <w:name w:val="ZP: Nadpis 3"/>
    <w:basedOn w:val="inZPNadpisy"/>
    <w:next w:val="ZPZklad"/>
    <w:rsid w:val="009F057F"/>
    <w:pPr>
      <w:spacing w:before="280" w:after="140"/>
      <w:outlineLvl w:val="2"/>
    </w:pPr>
  </w:style>
  <w:style w:type="table" w:styleId="Tabulkasprostorovmiefekty1">
    <w:name w:val="Table 3D effects 1"/>
    <w:basedOn w:val="Normlntabulka"/>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3451DC"/>
    <w:pPr>
      <w:spacing w:after="120"/>
      <w:ind w:left="1440" w:right="1440"/>
    </w:pPr>
  </w:style>
  <w:style w:type="character" w:styleId="UkzkaHTML">
    <w:name w:val="HTML Sample"/>
    <w:semiHidden/>
    <w:rsid w:val="003451DC"/>
    <w:rPr>
      <w:rFonts w:ascii="Courier New" w:hAnsi="Courier New" w:cs="Courier New"/>
    </w:rPr>
  </w:style>
  <w:style w:type="table" w:styleId="Webovtabulka1">
    <w:name w:val="Table Web 1"/>
    <w:basedOn w:val="Normlntabulka"/>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
    <w:name w:val="Body Text"/>
    <w:basedOn w:val="Normln"/>
    <w:semiHidden/>
    <w:rsid w:val="003451DC"/>
    <w:pPr>
      <w:spacing w:after="120"/>
    </w:pPr>
  </w:style>
  <w:style w:type="paragraph" w:styleId="Zkladntext-prvnodsazen">
    <w:name w:val="Body Text First Indent"/>
    <w:basedOn w:val="Zkladntext"/>
    <w:semiHidden/>
    <w:rsid w:val="003451DC"/>
    <w:pPr>
      <w:ind w:firstLine="210"/>
    </w:pPr>
  </w:style>
  <w:style w:type="paragraph" w:styleId="Zkladntextodsazen">
    <w:name w:val="Body Text Indent"/>
    <w:basedOn w:val="Normln"/>
    <w:semiHidden/>
    <w:rsid w:val="003451DC"/>
    <w:pPr>
      <w:spacing w:after="120"/>
      <w:ind w:left="283"/>
    </w:pPr>
  </w:style>
  <w:style w:type="paragraph" w:styleId="Zkladntext-prvnodsazen2">
    <w:name w:val="Body Text First Indent 2"/>
    <w:basedOn w:val="Zkladntextodsazen"/>
    <w:semiHidden/>
    <w:rsid w:val="003451DC"/>
    <w:pPr>
      <w:ind w:firstLine="210"/>
    </w:pPr>
  </w:style>
  <w:style w:type="paragraph" w:styleId="Zkladntext2">
    <w:name w:val="Body Text 2"/>
    <w:basedOn w:val="Normln"/>
    <w:semiHidden/>
    <w:rsid w:val="003451DC"/>
    <w:pPr>
      <w:spacing w:after="120" w:line="480" w:lineRule="auto"/>
    </w:pPr>
  </w:style>
  <w:style w:type="paragraph" w:styleId="Zkladntext3">
    <w:name w:val="Body Text 3"/>
    <w:basedOn w:val="Normln"/>
    <w:semiHidden/>
    <w:rsid w:val="003451DC"/>
    <w:pPr>
      <w:spacing w:after="120"/>
    </w:pPr>
    <w:rPr>
      <w:sz w:val="16"/>
      <w:szCs w:val="16"/>
    </w:rPr>
  </w:style>
  <w:style w:type="paragraph" w:styleId="Zkladntextodsazen2">
    <w:name w:val="Body Text Indent 2"/>
    <w:basedOn w:val="Normln"/>
    <w:semiHidden/>
    <w:rsid w:val="003451DC"/>
    <w:pPr>
      <w:spacing w:after="120" w:line="480" w:lineRule="auto"/>
      <w:ind w:left="283"/>
    </w:pPr>
  </w:style>
  <w:style w:type="paragraph" w:styleId="Zkladntextodsazen3">
    <w:name w:val="Body Text Indent 3"/>
    <w:basedOn w:val="Normln"/>
    <w:semiHidden/>
    <w:rsid w:val="003451DC"/>
    <w:pPr>
      <w:spacing w:after="120"/>
      <w:ind w:left="283"/>
    </w:pPr>
    <w:rPr>
      <w:sz w:val="16"/>
      <w:szCs w:val="16"/>
    </w:rPr>
  </w:style>
  <w:style w:type="paragraph" w:styleId="Zvr">
    <w:name w:val="Closing"/>
    <w:basedOn w:val="Normln"/>
    <w:semiHidden/>
    <w:rsid w:val="003451DC"/>
    <w:pPr>
      <w:ind w:left="4252"/>
    </w:pPr>
  </w:style>
  <w:style w:type="paragraph" w:styleId="Zptenadresanaoblku">
    <w:name w:val="envelope return"/>
    <w:basedOn w:val="Normln"/>
    <w:semiHidden/>
    <w:rsid w:val="003451DC"/>
    <w:rPr>
      <w:rFonts w:ascii="Arial" w:hAnsi="Arial" w:cs="Arial"/>
      <w:sz w:val="20"/>
      <w:szCs w:val="20"/>
    </w:rPr>
  </w:style>
  <w:style w:type="numbering" w:customStyle="1" w:styleId="slovnkapitol">
    <w:name w:val="Číslování kapitol"/>
    <w:uiPriority w:val="99"/>
    <w:rsid w:val="00504943"/>
    <w:pPr>
      <w:numPr>
        <w:numId w:val="5"/>
      </w:numPr>
    </w:pPr>
  </w:style>
  <w:style w:type="table" w:styleId="Mkatabulky">
    <w:name w:val="Table Grid"/>
    <w:basedOn w:val="Normlntabulka"/>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Literatura-jmnoautora">
    <w:name w:val="ZP: Literatura - jméno autora"/>
    <w:rsid w:val="00B06CB3"/>
    <w:rPr>
      <w:smallCaps/>
    </w:rPr>
  </w:style>
  <w:style w:type="character" w:customStyle="1" w:styleId="ZPLiteratura-nzevdla">
    <w:name w:val="ZP: Literatura - název díla"/>
    <w:rsid w:val="00B06CB3"/>
    <w:rPr>
      <w:i/>
    </w:rPr>
  </w:style>
  <w:style w:type="paragraph" w:customStyle="1" w:styleId="ZPLiteratura">
    <w:name w:val="ZP: Literatura"/>
    <w:basedOn w:val="ZPZklad"/>
    <w:rsid w:val="00DF505D"/>
    <w:pPr>
      <w:numPr>
        <w:numId w:val="3"/>
      </w:numPr>
      <w:spacing w:before="60"/>
      <w:jc w:val="left"/>
    </w:p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ln"/>
    <w:semiHidden/>
    <w:rsid w:val="008A0030"/>
    <w:pPr>
      <w:keepNext/>
      <w:keepLines/>
      <w:suppressAutoHyphens/>
    </w:pPr>
  </w:style>
  <w:style w:type="paragraph" w:customStyle="1" w:styleId="inZPPodpisprohlen">
    <w:name w:val="inZP: Podpis prohlášení"/>
    <w:basedOn w:val="ZPZklad"/>
    <w:link w:val="inZPPodpisprohlenChar"/>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ln"/>
    <w:semiHidden/>
    <w:rsid w:val="005253A0"/>
    <w:pPr>
      <w:shd w:val="clear" w:color="auto" w:fill="000080"/>
    </w:pPr>
    <w:rPr>
      <w:rFonts w:ascii="Tahoma" w:hAnsi="Tahoma" w:cs="Tahoma"/>
    </w:rPr>
  </w:style>
  <w:style w:type="paragraph" w:customStyle="1" w:styleId="Ploha1">
    <w:name w:val="Příloha 1"/>
    <w:basedOn w:val="ZPNadpis1"/>
    <w:next w:val="ZPZklad"/>
    <w:link w:val="Ploha1Char"/>
    <w:uiPriority w:val="49"/>
    <w:qFormat/>
    <w:rsid w:val="00940DA7"/>
    <w:pPr>
      <w:numPr>
        <w:numId w:val="18"/>
      </w:numPr>
    </w:pPr>
  </w:style>
  <w:style w:type="paragraph" w:customStyle="1" w:styleId="Ploha2">
    <w:name w:val="Příloha 2"/>
    <w:basedOn w:val="ZPNadpis2"/>
    <w:next w:val="ZPZklad"/>
    <w:link w:val="Ploha2Char"/>
    <w:uiPriority w:val="50"/>
    <w:qFormat/>
    <w:rsid w:val="00940DA7"/>
    <w:pPr>
      <w:numPr>
        <w:ilvl w:val="1"/>
        <w:numId w:val="18"/>
      </w:numPr>
    </w:p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ln"/>
    <w:next w:val="ZPZklad"/>
    <w:rsid w:val="007F013D"/>
    <w:pPr>
      <w:keepNext/>
      <w:keepLines/>
      <w:pageBreakBefore/>
      <w:numPr>
        <w:numId w:val="2"/>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ZPOddlovaseznam">
    <w:name w:val="ZP: Oddělovač seznamů"/>
    <w:basedOn w:val="ZPZklad"/>
    <w:uiPriority w:val="28"/>
    <w:qFormat/>
    <w:rsid w:val="007C050F"/>
    <w:pPr>
      <w:spacing w:line="140" w:lineRule="exact"/>
    </w:p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Ploha1Char">
    <w:name w:val="Příloha 1 Char"/>
    <w:basedOn w:val="Standardnpsmoodstavce"/>
    <w:link w:val="Ploha1"/>
    <w:uiPriority w:val="49"/>
    <w:rsid w:val="000D7A70"/>
    <w:rPr>
      <w:rFonts w:ascii="Arial" w:hAnsi="Arial" w:cs="Arial"/>
      <w:b/>
      <w:bCs/>
      <w:color w:val="0000DC"/>
      <w:sz w:val="34"/>
      <w:szCs w:val="40"/>
    </w:rPr>
  </w:style>
  <w:style w:type="numbering" w:customStyle="1" w:styleId="slovnploh">
    <w:name w:val="Číslování příloh"/>
    <w:uiPriority w:val="99"/>
    <w:rsid w:val="00940DA7"/>
    <w:pPr>
      <w:numPr>
        <w:numId w:val="6"/>
      </w:numPr>
    </w:pPr>
  </w:style>
  <w:style w:type="character" w:customStyle="1" w:styleId="TextpoznpodarouChar">
    <w:name w:val="Text pozn. pod čarou Char"/>
    <w:link w:val="Textpoznpodarou"/>
    <w:rsid w:val="00E73194"/>
    <w:rPr>
      <w:rFonts w:ascii="Cambria" w:hAnsi="Cambria"/>
      <w:lang w:val="sk-SK"/>
    </w:rPr>
  </w:style>
  <w:style w:type="paragraph" w:customStyle="1" w:styleId="ZPZaptsud">
    <w:name w:val="ZP Zapátí sudé"/>
    <w:basedOn w:val="inZPZhlavapaty"/>
    <w:rsid w:val="0095124B"/>
    <w:pPr>
      <w:jc w:val="left"/>
    </w:pPr>
  </w:style>
  <w:style w:type="character" w:customStyle="1" w:styleId="Nadpis5Char">
    <w:name w:val="Nadpis 5 Char"/>
    <w:link w:val="Nadpis5"/>
    <w:uiPriority w:val="9"/>
    <w:rsid w:val="00D95A1C"/>
    <w:rPr>
      <w:rFonts w:ascii="Arial" w:hAnsi="Arial"/>
      <w:b/>
      <w:bCs/>
      <w:color w:val="0000DC"/>
      <w:lang w:eastAsia="sk-SK"/>
    </w:rPr>
  </w:style>
  <w:style w:type="character" w:customStyle="1" w:styleId="Nadpis8Char">
    <w:name w:val="Nadpis 8 Char"/>
    <w:link w:val="Nadpis8"/>
    <w:uiPriority w:val="9"/>
    <w:rsid w:val="00AB6916"/>
    <w:rPr>
      <w:rFonts w:ascii="Arial" w:hAnsi="Arial"/>
      <w:b/>
      <w:color w:val="0000DC"/>
      <w:lang w:eastAsia="sk-SK"/>
    </w:rPr>
  </w:style>
  <w:style w:type="character" w:customStyle="1" w:styleId="Ploha2Char">
    <w:name w:val="Příloha 2 Char"/>
    <w:basedOn w:val="Standardnpsmoodstavce"/>
    <w:link w:val="Ploha2"/>
    <w:uiPriority w:val="50"/>
    <w:rsid w:val="000D7A70"/>
    <w:rPr>
      <w:rFonts w:ascii="Arial" w:hAnsi="Arial" w:cs="Arial"/>
      <w:bCs/>
      <w:color w:val="0000DC"/>
      <w:sz w:val="28"/>
      <w:szCs w:val="28"/>
    </w:rPr>
  </w:style>
  <w:style w:type="character" w:customStyle="1" w:styleId="Nadpis1Char">
    <w:name w:val="Nadpis 1 Char"/>
    <w:link w:val="Nadpis1"/>
    <w:uiPriority w:val="9"/>
    <w:rsid w:val="009B2498"/>
    <w:rPr>
      <w:rFonts w:ascii="Arial" w:hAnsi="Arial" w:cs="Arial"/>
      <w:b/>
      <w:bCs/>
      <w:color w:val="0000DC"/>
      <w:sz w:val="34"/>
      <w:szCs w:val="40"/>
    </w:rPr>
  </w:style>
  <w:style w:type="character" w:customStyle="1" w:styleId="Nadpis2Char">
    <w:name w:val="Nadpis 2 Char"/>
    <w:link w:val="Nadpis2"/>
    <w:uiPriority w:val="1"/>
    <w:rsid w:val="00D95A1C"/>
    <w:rPr>
      <w:rFonts w:ascii="Arial" w:hAnsi="Arial" w:cs="Arial"/>
      <w:iCs/>
      <w:color w:val="0000DC"/>
      <w:sz w:val="28"/>
      <w:szCs w:val="28"/>
    </w:rPr>
  </w:style>
  <w:style w:type="character" w:customStyle="1" w:styleId="Nadpis3Char">
    <w:name w:val="Nadpis 3 Char"/>
    <w:link w:val="Nadpis3"/>
    <w:uiPriority w:val="9"/>
    <w:rsid w:val="00656B43"/>
    <w:rPr>
      <w:rFonts w:ascii="Arial" w:hAnsi="Arial" w:cs="Arial"/>
      <w:b/>
      <w:bCs/>
      <w:color w:val="0000DC"/>
    </w:rPr>
  </w:style>
  <w:style w:type="paragraph" w:styleId="Nadpisobsahu">
    <w:name w:val="TOC Heading"/>
    <w:basedOn w:val="Nadpis1"/>
    <w:next w:val="Normln"/>
    <w:uiPriority w:val="39"/>
    <w:rsid w:val="00AB6916"/>
    <w:pPr>
      <w:spacing w:before="480" w:after="0" w:line="360" w:lineRule="auto"/>
      <w:outlineLvl w:val="9"/>
    </w:pPr>
    <w:rPr>
      <w:rFonts w:cs="Times New Roman"/>
      <w:color w:val="365F91"/>
      <w:spacing w:val="4"/>
      <w:sz w:val="28"/>
      <w:szCs w:val="28"/>
      <w:lang w:eastAsia="en-US"/>
    </w:rPr>
  </w:style>
  <w:style w:type="character" w:customStyle="1" w:styleId="ZhlavChar">
    <w:name w:val="Záhlaví Char"/>
    <w:link w:val="Zhlav"/>
    <w:uiPriority w:val="99"/>
    <w:rsid w:val="00AB6916"/>
    <w:rPr>
      <w:sz w:val="24"/>
      <w:szCs w:val="24"/>
    </w:rPr>
  </w:style>
  <w:style w:type="character" w:customStyle="1" w:styleId="ZpatChar">
    <w:name w:val="Zápatí Char"/>
    <w:link w:val="Zpat"/>
    <w:uiPriority w:val="99"/>
    <w:rsid w:val="00AB6916"/>
    <w:rPr>
      <w:sz w:val="24"/>
      <w:szCs w:val="24"/>
    </w:rPr>
  </w:style>
  <w:style w:type="character" w:styleId="Siln">
    <w:name w:val="Strong"/>
    <w:uiPriority w:val="22"/>
    <w:rsid w:val="00AB6916"/>
    <w:rPr>
      <w:b/>
      <w:bCs/>
    </w:rPr>
  </w:style>
  <w:style w:type="paragraph" w:styleId="Nzev">
    <w:name w:val="Title"/>
    <w:basedOn w:val="Nadpis1"/>
    <w:next w:val="Normln"/>
    <w:link w:val="NzevChar"/>
    <w:uiPriority w:val="10"/>
    <w:rsid w:val="00AB6916"/>
    <w:pPr>
      <w:spacing w:before="120" w:after="240" w:line="360" w:lineRule="auto"/>
    </w:pPr>
    <w:rPr>
      <w:rFonts w:cs="Times New Roman"/>
      <w:bCs w:val="0"/>
      <w:spacing w:val="4"/>
      <w:lang w:eastAsia="sk-SK"/>
    </w:rPr>
  </w:style>
  <w:style w:type="character" w:customStyle="1" w:styleId="NzevChar">
    <w:name w:val="Název Char"/>
    <w:link w:val="Nzev"/>
    <w:uiPriority w:val="10"/>
    <w:rsid w:val="00AB6916"/>
    <w:rPr>
      <w:rFonts w:ascii="Arial" w:hAnsi="Arial"/>
      <w:b/>
      <w:color w:val="0000DC"/>
      <w:spacing w:val="4"/>
      <w:sz w:val="34"/>
      <w:szCs w:val="40"/>
      <w:lang w:eastAsia="sk-SK"/>
    </w:rPr>
  </w:style>
  <w:style w:type="paragraph" w:styleId="Titulek">
    <w:name w:val="caption"/>
    <w:basedOn w:val="ZPZklad"/>
    <w:next w:val="Odstavec1"/>
    <w:uiPriority w:val="35"/>
    <w:qFormat/>
    <w:rsid w:val="00210BCE"/>
    <w:pPr>
      <w:spacing w:after="200" w:line="276" w:lineRule="auto"/>
      <w:jc w:val="center"/>
    </w:pPr>
    <w:rPr>
      <w:b/>
      <w:bCs/>
      <w:sz w:val="20"/>
      <w:szCs w:val="20"/>
      <w:lang w:eastAsia="sk-SK"/>
    </w:rPr>
  </w:style>
  <w:style w:type="paragraph" w:styleId="Normlnweb">
    <w:name w:val="Normal (Web)"/>
    <w:basedOn w:val="Normln"/>
    <w:uiPriority w:val="99"/>
    <w:unhideWhenUsed/>
    <w:rsid w:val="00AB6916"/>
    <w:pPr>
      <w:spacing w:after="200" w:line="276" w:lineRule="auto"/>
    </w:pPr>
    <w:rPr>
      <w:b/>
      <w:lang w:val="sk-SK" w:eastAsia="sk-SK"/>
    </w:rPr>
  </w:style>
  <w:style w:type="paragraph" w:customStyle="1" w:styleId="Podtitul">
    <w:name w:val="Podtitul"/>
    <w:basedOn w:val="Nzev"/>
    <w:next w:val="Normln"/>
    <w:link w:val="PodtitulChar"/>
    <w:uiPriority w:val="11"/>
    <w:rsid w:val="00AB6916"/>
    <w:pPr>
      <w:spacing w:after="60"/>
      <w:outlineLvl w:val="1"/>
    </w:pPr>
    <w:rPr>
      <w:sz w:val="28"/>
      <w:szCs w:val="24"/>
    </w:rPr>
  </w:style>
  <w:style w:type="character" w:customStyle="1" w:styleId="PodtitulChar">
    <w:name w:val="Podtitul Char"/>
    <w:link w:val="Podtitul"/>
    <w:uiPriority w:val="11"/>
    <w:rsid w:val="00AB6916"/>
    <w:rPr>
      <w:rFonts w:ascii="Arial" w:hAnsi="Arial"/>
      <w:b/>
      <w:color w:val="0000DC"/>
      <w:spacing w:val="4"/>
      <w:sz w:val="28"/>
      <w:lang w:eastAsia="sk-SK"/>
    </w:rPr>
  </w:style>
  <w:style w:type="paragraph" w:customStyle="1" w:styleId="ZPCitacezkona">
    <w:name w:val="ZP: Citace zákona"/>
    <w:basedOn w:val="ZPZklad"/>
    <w:rsid w:val="00A8698A"/>
    <w:rPr>
      <w:i/>
    </w:rPr>
  </w:style>
  <w:style w:type="paragraph" w:customStyle="1" w:styleId="Nadpis10">
    <w:name w:val="Nadpis 1*"/>
    <w:basedOn w:val="ZPNadpis1"/>
    <w:next w:val="Odstavec1"/>
    <w:uiPriority w:val="39"/>
    <w:qFormat/>
    <w:rsid w:val="008A7F29"/>
  </w:style>
  <w:style w:type="paragraph" w:customStyle="1" w:styleId="Nadpis20">
    <w:name w:val="Nadpis 2*"/>
    <w:basedOn w:val="ZPNadpis2"/>
    <w:next w:val="Odstavec1"/>
    <w:uiPriority w:val="40"/>
    <w:qFormat/>
    <w:rsid w:val="008A7F29"/>
  </w:style>
  <w:style w:type="paragraph" w:customStyle="1" w:styleId="Nadpis30">
    <w:name w:val="Nadpis 3*"/>
    <w:basedOn w:val="ZPNadpis3"/>
    <w:next w:val="Odstavec1"/>
    <w:uiPriority w:val="41"/>
    <w:qFormat/>
    <w:rsid w:val="00F114CA"/>
  </w:style>
  <w:style w:type="paragraph" w:styleId="Rejstk2">
    <w:name w:val="index 2"/>
    <w:basedOn w:val="Normln"/>
    <w:next w:val="Normln"/>
    <w:autoRedefine/>
    <w:rsid w:val="00930CDA"/>
    <w:pPr>
      <w:ind w:left="480" w:hanging="240"/>
    </w:pPr>
    <w:rPr>
      <w:rFonts w:cstheme="minorHAnsi"/>
      <w:sz w:val="18"/>
      <w:szCs w:val="18"/>
    </w:rPr>
  </w:style>
  <w:style w:type="paragraph" w:styleId="Rejstk1">
    <w:name w:val="index 1"/>
    <w:basedOn w:val="Normln"/>
    <w:next w:val="Normln"/>
    <w:autoRedefine/>
    <w:uiPriority w:val="99"/>
    <w:rsid w:val="00930CDA"/>
    <w:pPr>
      <w:ind w:left="240" w:hanging="240"/>
    </w:pPr>
    <w:rPr>
      <w:rFonts w:cstheme="minorHAnsi"/>
      <w:sz w:val="18"/>
      <w:szCs w:val="18"/>
    </w:rPr>
  </w:style>
  <w:style w:type="paragraph" w:styleId="Rejstk3">
    <w:name w:val="index 3"/>
    <w:basedOn w:val="Normln"/>
    <w:next w:val="Normln"/>
    <w:autoRedefine/>
    <w:rsid w:val="00930CDA"/>
    <w:pPr>
      <w:ind w:left="720" w:hanging="240"/>
    </w:pPr>
    <w:rPr>
      <w:rFonts w:cstheme="minorHAnsi"/>
      <w:sz w:val="18"/>
      <w:szCs w:val="18"/>
    </w:rPr>
  </w:style>
  <w:style w:type="paragraph" w:styleId="Rejstk4">
    <w:name w:val="index 4"/>
    <w:basedOn w:val="Normln"/>
    <w:next w:val="Normln"/>
    <w:autoRedefine/>
    <w:rsid w:val="00930CDA"/>
    <w:pPr>
      <w:ind w:left="960" w:hanging="240"/>
    </w:pPr>
    <w:rPr>
      <w:rFonts w:cstheme="minorHAnsi"/>
      <w:sz w:val="18"/>
      <w:szCs w:val="18"/>
    </w:rPr>
  </w:style>
  <w:style w:type="paragraph" w:styleId="Rejstk5">
    <w:name w:val="index 5"/>
    <w:basedOn w:val="Normln"/>
    <w:next w:val="Normln"/>
    <w:autoRedefine/>
    <w:rsid w:val="00930CDA"/>
    <w:pPr>
      <w:ind w:left="1200" w:hanging="240"/>
    </w:pPr>
    <w:rPr>
      <w:rFonts w:cstheme="minorHAnsi"/>
      <w:sz w:val="18"/>
      <w:szCs w:val="18"/>
    </w:rPr>
  </w:style>
  <w:style w:type="paragraph" w:styleId="Rejstk6">
    <w:name w:val="index 6"/>
    <w:basedOn w:val="Normln"/>
    <w:next w:val="Normln"/>
    <w:autoRedefine/>
    <w:rsid w:val="00930CDA"/>
    <w:pPr>
      <w:ind w:left="1440" w:hanging="240"/>
    </w:pPr>
    <w:rPr>
      <w:rFonts w:cstheme="minorHAnsi"/>
      <w:sz w:val="18"/>
      <w:szCs w:val="18"/>
    </w:rPr>
  </w:style>
  <w:style w:type="paragraph" w:styleId="Rejstk7">
    <w:name w:val="index 7"/>
    <w:basedOn w:val="Normln"/>
    <w:next w:val="Normln"/>
    <w:autoRedefine/>
    <w:rsid w:val="007C0619"/>
    <w:pPr>
      <w:ind w:left="1680" w:hanging="240"/>
    </w:pPr>
    <w:rPr>
      <w:rFonts w:asciiTheme="minorHAnsi" w:hAnsiTheme="minorHAnsi" w:cstheme="minorHAnsi"/>
      <w:sz w:val="18"/>
      <w:szCs w:val="18"/>
    </w:rPr>
  </w:style>
  <w:style w:type="paragraph" w:styleId="Rejstk8">
    <w:name w:val="index 8"/>
    <w:basedOn w:val="Normln"/>
    <w:next w:val="Normln"/>
    <w:autoRedefine/>
    <w:rsid w:val="00930CDA"/>
    <w:pPr>
      <w:ind w:left="1920" w:hanging="240"/>
    </w:pPr>
    <w:rPr>
      <w:rFonts w:cstheme="minorHAnsi"/>
      <w:sz w:val="18"/>
      <w:szCs w:val="18"/>
    </w:rPr>
  </w:style>
  <w:style w:type="paragraph" w:styleId="Rejstk9">
    <w:name w:val="index 9"/>
    <w:basedOn w:val="Normln"/>
    <w:next w:val="Normln"/>
    <w:autoRedefine/>
    <w:rsid w:val="00930CDA"/>
    <w:pPr>
      <w:ind w:left="2160" w:hanging="240"/>
    </w:pPr>
    <w:rPr>
      <w:rFonts w:cstheme="minorHAnsi"/>
      <w:sz w:val="18"/>
      <w:szCs w:val="18"/>
    </w:rPr>
  </w:style>
  <w:style w:type="paragraph" w:styleId="Hlavikarejstku">
    <w:name w:val="index heading"/>
    <w:basedOn w:val="Normln"/>
    <w:next w:val="Rejstk1"/>
    <w:uiPriority w:val="99"/>
    <w:rsid w:val="007C0619"/>
    <w:pPr>
      <w:spacing w:before="240" w:after="120"/>
      <w:jc w:val="center"/>
    </w:pPr>
    <w:rPr>
      <w:rFonts w:asciiTheme="minorHAnsi" w:hAnsiTheme="minorHAnsi" w:cstheme="minorHAnsi"/>
      <w:b/>
      <w:bCs/>
      <w:sz w:val="26"/>
      <w:szCs w:val="26"/>
    </w:rPr>
  </w:style>
  <w:style w:type="paragraph" w:styleId="Seznamobrzk">
    <w:name w:val="table of figures"/>
    <w:basedOn w:val="Normln"/>
    <w:next w:val="Normln"/>
    <w:uiPriority w:val="99"/>
    <w:rsid w:val="00F92E36"/>
    <w:pPr>
      <w:spacing w:line="280" w:lineRule="atLeast"/>
      <w:ind w:left="482" w:hanging="482"/>
    </w:pPr>
  </w:style>
  <w:style w:type="character" w:styleId="Hypertextovodkaz">
    <w:name w:val="Hyperlink"/>
    <w:basedOn w:val="Standardnpsmoodstavce"/>
    <w:uiPriority w:val="99"/>
    <w:unhideWhenUsed/>
    <w:rsid w:val="008B1BE6"/>
    <w:rPr>
      <w:color w:val="0563C1" w:themeColor="hyperlink"/>
      <w:u w:val="single"/>
    </w:rPr>
  </w:style>
  <w:style w:type="paragraph" w:customStyle="1" w:styleId="Obrzek">
    <w:name w:val="Obrázek"/>
    <w:basedOn w:val="ZPZklad"/>
    <w:rsid w:val="003E7C04"/>
    <w:pPr>
      <w:keepNext/>
      <w:spacing w:before="240" w:line="281" w:lineRule="auto"/>
      <w:jc w:val="center"/>
    </w:pPr>
  </w:style>
  <w:style w:type="paragraph" w:customStyle="1" w:styleId="Odstavec1">
    <w:name w:val="Odstavec 1"/>
    <w:basedOn w:val="ZPZklad"/>
    <w:next w:val="Dalodstavce"/>
    <w:link w:val="Odstavec1Char"/>
    <w:uiPriority w:val="9"/>
    <w:qFormat/>
    <w:rsid w:val="00FB3540"/>
    <w:pPr>
      <w:spacing w:before="120" w:after="120"/>
    </w:pPr>
  </w:style>
  <w:style w:type="paragraph" w:styleId="Podnadpis0">
    <w:name w:val="Subtitle"/>
    <w:basedOn w:val="Normln"/>
    <w:next w:val="Normln"/>
    <w:link w:val="Podnadpis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0"/>
    <w:uiPriority w:val="11"/>
    <w:rsid w:val="00AB68BC"/>
    <w:rPr>
      <w:rFonts w:asciiTheme="minorHAnsi" w:eastAsiaTheme="minorEastAsia" w:hAnsiTheme="minorHAnsi" w:cstheme="minorBidi"/>
      <w:color w:val="5A5A5A" w:themeColor="text1" w:themeTint="A5"/>
      <w:spacing w:val="15"/>
      <w:sz w:val="22"/>
      <w:szCs w:val="22"/>
    </w:rPr>
  </w:style>
  <w:style w:type="paragraph" w:styleId="Citt">
    <w:name w:val="Quote"/>
    <w:basedOn w:val="ZPZklad"/>
    <w:next w:val="Odstavec1"/>
    <w:link w:val="CittChar"/>
    <w:uiPriority w:val="29"/>
    <w:qFormat/>
    <w:rsid w:val="007D341B"/>
    <w:pPr>
      <w:spacing w:before="240" w:after="240"/>
      <w:ind w:left="960" w:right="960"/>
      <w:contextualSpacing/>
    </w:pPr>
    <w:rPr>
      <w:i/>
    </w:rPr>
  </w:style>
  <w:style w:type="character" w:customStyle="1" w:styleId="CittChar">
    <w:name w:val="Citát Char"/>
    <w:basedOn w:val="Standardnpsmoodstavce"/>
    <w:link w:val="Citt"/>
    <w:uiPriority w:val="29"/>
    <w:rsid w:val="00656B43"/>
    <w:rPr>
      <w:i/>
    </w:rPr>
  </w:style>
  <w:style w:type="paragraph" w:customStyle="1" w:styleId="Citt-pokraovn">
    <w:name w:val="Citát - pokračování"/>
    <w:basedOn w:val="Citt"/>
    <w:uiPriority w:val="31"/>
    <w:qFormat/>
    <w:rsid w:val="00E64A10"/>
    <w:pPr>
      <w:spacing w:before="0"/>
      <w:ind w:left="958" w:right="958" w:firstLine="482"/>
    </w:pPr>
  </w:style>
  <w:style w:type="table" w:customStyle="1" w:styleId="ZPTabulka">
    <w:name w:val="ZP Tabulka"/>
    <w:basedOn w:val="Normlntabulka"/>
    <w:uiPriority w:val="99"/>
    <w:rsid w:val="0079360C"/>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rPr>
      <w:tblPr/>
      <w:trPr>
        <w:cantSplit w:val="0"/>
        <w:tblHeader/>
      </w:tr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Vert">
      <w:tblPr/>
      <w:tcPr>
        <w:tcBorders>
          <w:top w:val="nil"/>
          <w:left w:val="single" w:sz="4" w:space="0" w:color="auto"/>
          <w:bottom w:val="nil"/>
          <w:right w:val="single" w:sz="4" w:space="0" w:color="auto"/>
          <w:insideH w:val="nil"/>
          <w:insideV w:val="nil"/>
          <w:tl2br w:val="nil"/>
          <w:tr2bl w:val="nil"/>
        </w:tcBorders>
      </w:tcPr>
    </w:tblStylePr>
    <w:tblStylePr w:type="band2Vert">
      <w:tblPr/>
      <w:tcPr>
        <w:tcBorders>
          <w:top w:val="nil"/>
          <w:left w:val="single" w:sz="4" w:space="0" w:color="auto"/>
          <w:bottom w:val="nil"/>
          <w:right w:val="single" w:sz="4" w:space="0" w:color="auto"/>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table" w:styleId="Svtlmkatabulky">
    <w:name w:val="Grid Table Light"/>
    <w:basedOn w:val="Normlntabulka"/>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t-zatek">
    <w:name w:val="Citát - začátek"/>
    <w:basedOn w:val="Citt"/>
    <w:next w:val="Citt-pokraovn"/>
    <w:link w:val="Citt-zatekChar"/>
    <w:uiPriority w:val="30"/>
    <w:qFormat/>
    <w:rsid w:val="00E64A10"/>
    <w:pPr>
      <w:spacing w:after="0"/>
      <w:ind w:left="958" w:right="958"/>
    </w:pPr>
  </w:style>
  <w:style w:type="character" w:customStyle="1" w:styleId="Citt-zatekChar">
    <w:name w:val="Citát - začátek Char"/>
    <w:basedOn w:val="CittChar"/>
    <w:link w:val="Citt-zatek"/>
    <w:uiPriority w:val="30"/>
    <w:rsid w:val="009B0541"/>
    <w:rPr>
      <w:i/>
    </w:rPr>
  </w:style>
  <w:style w:type="paragraph" w:styleId="Textbubliny">
    <w:name w:val="Balloon Text"/>
    <w:basedOn w:val="Normln"/>
    <w:link w:val="TextbublinyChar"/>
    <w:uiPriority w:val="99"/>
    <w:rsid w:val="0089154B"/>
    <w:rPr>
      <w:rFonts w:ascii="Segoe UI" w:hAnsi="Segoe UI" w:cs="Segoe UI"/>
      <w:sz w:val="18"/>
      <w:szCs w:val="18"/>
    </w:rPr>
  </w:style>
  <w:style w:type="character" w:customStyle="1" w:styleId="TextbublinyChar">
    <w:name w:val="Text bubliny Char"/>
    <w:basedOn w:val="Standardnpsmoodstavce"/>
    <w:link w:val="Textbubliny"/>
    <w:uiPriority w:val="99"/>
    <w:rsid w:val="0089154B"/>
    <w:rPr>
      <w:rFonts w:ascii="Segoe UI" w:hAnsi="Segoe UI" w:cs="Segoe UI"/>
      <w:sz w:val="18"/>
      <w:szCs w:val="18"/>
    </w:rPr>
  </w:style>
  <w:style w:type="paragraph" w:styleId="Odstavecseseznamem">
    <w:name w:val="List Paragraph"/>
    <w:basedOn w:val="Normln"/>
    <w:uiPriority w:val="34"/>
    <w:qFormat/>
    <w:rsid w:val="00DD5A53"/>
    <w:pPr>
      <w:ind w:left="720"/>
      <w:contextualSpacing/>
    </w:pPr>
  </w:style>
  <w:style w:type="paragraph" w:styleId="slovanseznam">
    <w:name w:val="List Number"/>
    <w:basedOn w:val="ZPZklad"/>
    <w:uiPriority w:val="21"/>
    <w:qFormat/>
    <w:rsid w:val="00033D24"/>
    <w:pPr>
      <w:numPr>
        <w:numId w:val="7"/>
      </w:numPr>
      <w:spacing w:before="120" w:after="120"/>
      <w:ind w:left="544" w:hanging="62"/>
      <w:contextualSpacing/>
    </w:pPr>
  </w:style>
  <w:style w:type="paragraph" w:styleId="slovanseznam2">
    <w:name w:val="List Number 2"/>
    <w:basedOn w:val="Normln"/>
    <w:rsid w:val="00DD5A53"/>
    <w:pPr>
      <w:numPr>
        <w:numId w:val="8"/>
      </w:numPr>
      <w:contextualSpacing/>
    </w:pPr>
  </w:style>
  <w:style w:type="paragraph" w:styleId="slovanseznam3">
    <w:name w:val="List Number 3"/>
    <w:basedOn w:val="Normln"/>
    <w:rsid w:val="00DD5A53"/>
    <w:pPr>
      <w:numPr>
        <w:numId w:val="9"/>
      </w:numPr>
      <w:contextualSpacing/>
    </w:pPr>
  </w:style>
  <w:style w:type="paragraph" w:styleId="slovanseznam4">
    <w:name w:val="List Number 4"/>
    <w:basedOn w:val="Normln"/>
    <w:rsid w:val="00DD5A53"/>
    <w:pPr>
      <w:numPr>
        <w:numId w:val="10"/>
      </w:numPr>
      <w:contextualSpacing/>
    </w:pPr>
  </w:style>
  <w:style w:type="paragraph" w:styleId="slovanseznam5">
    <w:name w:val="List Number 5"/>
    <w:basedOn w:val="Normln"/>
    <w:rsid w:val="00DD5A53"/>
    <w:pPr>
      <w:numPr>
        <w:numId w:val="11"/>
      </w:numPr>
      <w:contextualSpacing/>
    </w:pPr>
  </w:style>
  <w:style w:type="paragraph" w:styleId="Seznamsodrkami">
    <w:name w:val="List Bullet"/>
    <w:basedOn w:val="ZPZklad"/>
    <w:uiPriority w:val="22"/>
    <w:qFormat/>
    <w:rsid w:val="004E740F"/>
    <w:pPr>
      <w:numPr>
        <w:numId w:val="12"/>
      </w:numPr>
      <w:spacing w:before="120" w:after="120"/>
      <w:ind w:left="539" w:hanging="255"/>
      <w:contextualSpacing/>
    </w:pPr>
  </w:style>
  <w:style w:type="paragraph" w:styleId="Seznam">
    <w:name w:val="List"/>
    <w:basedOn w:val="Normln"/>
    <w:rsid w:val="00DD5A53"/>
    <w:pPr>
      <w:ind w:left="283" w:hanging="283"/>
      <w:contextualSpacing/>
    </w:pPr>
  </w:style>
  <w:style w:type="character" w:styleId="Nzevknihy">
    <w:name w:val="Book Title"/>
    <w:basedOn w:val="Standardnpsmoodstavce"/>
    <w:uiPriority w:val="33"/>
    <w:rsid w:val="00824749"/>
    <w:rPr>
      <w:b/>
      <w:bCs/>
      <w:i/>
      <w:iCs/>
      <w:spacing w:val="5"/>
    </w:rPr>
  </w:style>
  <w:style w:type="character" w:styleId="Odkazjemn">
    <w:name w:val="Subtle Reference"/>
    <w:basedOn w:val="Standardnpsmoodstavce"/>
    <w:uiPriority w:val="31"/>
    <w:rsid w:val="00824749"/>
    <w:rPr>
      <w:smallCaps/>
      <w:color w:val="5A5A5A" w:themeColor="text1" w:themeTint="A5"/>
    </w:rPr>
  </w:style>
  <w:style w:type="paragraph" w:styleId="Vrazncitt">
    <w:name w:val="Intense Quote"/>
    <w:basedOn w:val="Normln"/>
    <w:next w:val="Normln"/>
    <w:link w:val="VrazncittChar"/>
    <w:uiPriority w:val="30"/>
    <w:rsid w:val="008247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824749"/>
    <w:rPr>
      <w:i/>
      <w:iCs/>
      <w:color w:val="5B9BD5" w:themeColor="accent1"/>
      <w:sz w:val="24"/>
      <w:szCs w:val="24"/>
    </w:rPr>
  </w:style>
  <w:style w:type="character" w:styleId="Odkazintenzivn">
    <w:name w:val="Intense Reference"/>
    <w:basedOn w:val="Standardnpsmoodstavce"/>
    <w:uiPriority w:val="32"/>
    <w:rsid w:val="00824749"/>
    <w:rPr>
      <w:b/>
      <w:bCs/>
      <w:smallCaps/>
      <w:color w:val="5B9BD5" w:themeColor="accent1"/>
      <w:spacing w:val="5"/>
    </w:rPr>
  </w:style>
  <w:style w:type="character" w:styleId="Zdraznnjemn">
    <w:name w:val="Subtle Emphasis"/>
    <w:basedOn w:val="Standardnpsmoodstavce"/>
    <w:uiPriority w:val="19"/>
    <w:rsid w:val="00824749"/>
    <w:rPr>
      <w:i/>
      <w:iCs/>
      <w:color w:val="404040" w:themeColor="text1" w:themeTint="BF"/>
    </w:rPr>
  </w:style>
  <w:style w:type="character" w:styleId="Zdraznnintenzivn">
    <w:name w:val="Intense Emphasis"/>
    <w:basedOn w:val="Standardnpsmoodstavce"/>
    <w:uiPriority w:val="21"/>
    <w:rsid w:val="00824749"/>
    <w:rPr>
      <w:i/>
      <w:iCs/>
      <w:color w:val="5B9BD5" w:themeColor="accent1"/>
    </w:rPr>
  </w:style>
  <w:style w:type="paragraph" w:customStyle="1" w:styleId="Pokraovnpoloky">
    <w:name w:val="Pokračování položky"/>
    <w:basedOn w:val="ZPZklad"/>
    <w:uiPriority w:val="23"/>
    <w:qFormat/>
    <w:rsid w:val="007677DD"/>
    <w:pPr>
      <w:ind w:left="540" w:firstLine="480"/>
    </w:pPr>
  </w:style>
  <w:style w:type="paragraph" w:styleId="Pokraovnseznamu">
    <w:name w:val="List Continue"/>
    <w:basedOn w:val="Normln"/>
    <w:rsid w:val="007677DD"/>
    <w:pPr>
      <w:spacing w:after="120"/>
      <w:ind w:left="283"/>
      <w:contextualSpacing/>
    </w:pPr>
  </w:style>
  <w:style w:type="paragraph" w:styleId="Pokraovnseznamu2">
    <w:name w:val="List Continue 2"/>
    <w:basedOn w:val="Normln"/>
    <w:rsid w:val="00AA4D4E"/>
    <w:pPr>
      <w:spacing w:after="120"/>
      <w:ind w:left="566"/>
      <w:contextualSpacing/>
    </w:pPr>
  </w:style>
  <w:style w:type="paragraph" w:styleId="Pokraovnseznamu3">
    <w:name w:val="List Continue 3"/>
    <w:basedOn w:val="Normln"/>
    <w:rsid w:val="00AA4D4E"/>
    <w:pPr>
      <w:spacing w:after="120"/>
      <w:ind w:left="849"/>
      <w:contextualSpacing/>
    </w:pPr>
  </w:style>
  <w:style w:type="paragraph" w:styleId="Pokraovnseznamu4">
    <w:name w:val="List Continue 4"/>
    <w:basedOn w:val="Normln"/>
    <w:rsid w:val="00AA4D4E"/>
    <w:pPr>
      <w:spacing w:after="120"/>
      <w:ind w:left="1132"/>
      <w:contextualSpacing/>
    </w:pPr>
  </w:style>
  <w:style w:type="paragraph" w:styleId="Pokraovnseznamu5">
    <w:name w:val="List Continue 5"/>
    <w:basedOn w:val="Normln"/>
    <w:rsid w:val="00AA4D4E"/>
    <w:pPr>
      <w:spacing w:after="120"/>
      <w:ind w:left="1415"/>
      <w:contextualSpacing/>
    </w:p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Standardnpsmoodstavce"/>
    <w:link w:val="ZPBibilografickzznam"/>
    <w:rsid w:val="00953CD9"/>
  </w:style>
  <w:style w:type="paragraph" w:customStyle="1" w:styleId="ZP-Nadpisyzklad">
    <w:name w:val="ZP-Nadpisy_základ"/>
    <w:basedOn w:val="Normln"/>
    <w:link w:val="ZP-NadpisyzkladChar"/>
    <w:rsid w:val="00704143"/>
    <w:pPr>
      <w:suppressAutoHyphens/>
    </w:pPr>
    <w:rPr>
      <w:rFonts w:ascii="Arial" w:hAnsi="Arial" w:cs="Arial"/>
      <w:bCs/>
    </w:rPr>
  </w:style>
  <w:style w:type="paragraph" w:customStyle="1" w:styleId="ZPNadpisy1">
    <w:name w:val="ZP_Nadpisy 1"/>
    <w:basedOn w:val="ZP-Nadpisyzklad"/>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Standardnpsmoodstavce"/>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Standardnpsmoodstavce"/>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9124E2"/>
    <w:pPr>
      <w:keepNext/>
      <w:keepLines/>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Pklad-nadpis">
    <w:name w:val="Příklad - nadpis"/>
    <w:basedOn w:val="Odstavec1"/>
    <w:next w:val="Pklad-text"/>
    <w:link w:val="Pklad-nadpisChar"/>
    <w:uiPriority w:val="69"/>
    <w:qFormat/>
    <w:rsid w:val="004C3A23"/>
    <w:pPr>
      <w:keepNext/>
      <w:spacing w:before="240"/>
    </w:pPr>
    <w:rPr>
      <w:rFonts w:ascii="Arial" w:hAnsi="Arial" w:cs="Arial"/>
      <w:color w:val="0000DC"/>
    </w:rPr>
  </w:style>
  <w:style w:type="paragraph" w:customStyle="1" w:styleId="Pklad-text">
    <w:name w:val="Příklad - text"/>
    <w:basedOn w:val="Odstavec1"/>
    <w:link w:val="Pklad-textChar"/>
    <w:uiPriority w:val="70"/>
    <w:qFormat/>
    <w:rsid w:val="00033D24"/>
    <w:pPr>
      <w:ind w:left="480"/>
    </w:pPr>
  </w:style>
  <w:style w:type="character" w:customStyle="1" w:styleId="Odstavec1Char">
    <w:name w:val="Odstavec 1 Char"/>
    <w:basedOn w:val="ZPZkladChar"/>
    <w:link w:val="Odstavec1"/>
    <w:uiPriority w:val="9"/>
    <w:rsid w:val="00656B43"/>
    <w:rPr>
      <w:rFonts w:ascii="Cambria" w:hAnsi="Cambria"/>
      <w:sz w:val="24"/>
      <w:szCs w:val="24"/>
    </w:rPr>
  </w:style>
  <w:style w:type="character" w:customStyle="1" w:styleId="Pklad-nadpisChar">
    <w:name w:val="Příklad - nadpis Char"/>
    <w:basedOn w:val="Odstavec1Char"/>
    <w:link w:val="Pklad-nadpis"/>
    <w:uiPriority w:val="69"/>
    <w:rsid w:val="001B43CD"/>
    <w:rPr>
      <w:rFonts w:ascii="Arial" w:hAnsi="Arial" w:cs="Arial"/>
      <w:color w:val="0000DC"/>
      <w:sz w:val="24"/>
      <w:szCs w:val="24"/>
    </w:rPr>
  </w:style>
  <w:style w:type="paragraph" w:styleId="Bibliografie">
    <w:name w:val="Bibliography"/>
    <w:basedOn w:val="Odstavec1"/>
    <w:next w:val="Normln"/>
    <w:uiPriority w:val="37"/>
    <w:unhideWhenUsed/>
    <w:rsid w:val="0037037F"/>
    <w:pPr>
      <w:tabs>
        <w:tab w:val="left" w:pos="384"/>
      </w:tabs>
      <w:spacing w:after="240" w:line="240" w:lineRule="atLeast"/>
      <w:ind w:left="384" w:hanging="384"/>
      <w:jc w:val="left"/>
    </w:pPr>
  </w:style>
  <w:style w:type="character" w:customStyle="1" w:styleId="Pklad-textChar">
    <w:name w:val="Příklad - text Char"/>
    <w:basedOn w:val="Odstavec1Char"/>
    <w:link w:val="Pklad-text"/>
    <w:uiPriority w:val="70"/>
    <w:rsid w:val="001B43CD"/>
    <w:rPr>
      <w:rFonts w:ascii="Cambria" w:hAnsi="Cambria"/>
      <w:sz w:val="24"/>
      <w:szCs w:val="24"/>
    </w:rPr>
  </w:style>
  <w:style w:type="numbering" w:customStyle="1" w:styleId="Vcerovovseznam">
    <w:name w:val="Víceúrovňový seznam"/>
    <w:uiPriority w:val="99"/>
    <w:rsid w:val="00427DF1"/>
    <w:pPr>
      <w:numPr>
        <w:numId w:val="13"/>
      </w:numPr>
    </w:pPr>
  </w:style>
  <w:style w:type="table" w:styleId="Prosttabulka5">
    <w:name w:val="Plain Table 5"/>
    <w:basedOn w:val="Normlntabulka"/>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lodstavceEN">
    <w:name w:val="Další odstavce EN"/>
    <w:basedOn w:val="Dalodstavce"/>
    <w:rsid w:val="002E2753"/>
    <w:rPr>
      <w:lang w:val="en-GB"/>
    </w:rPr>
  </w:style>
  <w:style w:type="paragraph" w:customStyle="1" w:styleId="Odstavec1EN">
    <w:name w:val="Odstavec 1 EN"/>
    <w:basedOn w:val="Odstavec1"/>
    <w:next w:val="DalodstavceEN"/>
    <w:rsid w:val="002E2753"/>
    <w:rPr>
      <w:lang w:val="en-GB"/>
    </w:rPr>
  </w:style>
  <w:style w:type="paragraph" w:customStyle="1" w:styleId="Titulektabulky">
    <w:name w:val="Titulek tabulky"/>
    <w:basedOn w:val="Titulek"/>
    <w:rsid w:val="00953CD9"/>
    <w:pPr>
      <w:keepNext/>
      <w:spacing w:before="240"/>
    </w:pPr>
  </w:style>
  <w:style w:type="paragraph" w:customStyle="1" w:styleId="Popisobrzku">
    <w:name w:val="Popis obrázku"/>
    <w:basedOn w:val="Odstavec1"/>
    <w:next w:val="Odstavec1"/>
    <w:rsid w:val="00655A3C"/>
    <w:pPr>
      <w:spacing w:after="240" w:line="260" w:lineRule="atLeast"/>
    </w:pPr>
    <w:rPr>
      <w:sz w:val="20"/>
      <w:szCs w:val="20"/>
      <w:lang w:eastAsia="sk-SK"/>
    </w:rPr>
  </w:style>
  <w:style w:type="paragraph" w:customStyle="1" w:styleId="Titulekpedpopisem">
    <w:name w:val="Titulek před popisem"/>
    <w:basedOn w:val="Titulek"/>
    <w:rsid w:val="00F97990"/>
    <w:pPr>
      <w:keepNext/>
      <w:spacing w:after="0"/>
    </w:pPr>
  </w:style>
  <w:style w:type="paragraph" w:customStyle="1" w:styleId="Zdrojobrzku">
    <w:name w:val="Zdroj obrázku"/>
    <w:basedOn w:val="Popisobrzku"/>
    <w:next w:val="Odstavec1"/>
    <w:rsid w:val="00130C24"/>
    <w:pPr>
      <w:jc w:val="left"/>
    </w:pPr>
    <w:rPr>
      <w:i/>
    </w:rPr>
  </w:style>
  <w:style w:type="paragraph" w:customStyle="1" w:styleId="Poezie">
    <w:name w:val="Poezie"/>
    <w:basedOn w:val="Citt"/>
    <w:link w:val="PoezieChar"/>
    <w:uiPriority w:val="32"/>
    <w:qFormat/>
    <w:rsid w:val="00BB15FA"/>
    <w:pPr>
      <w:ind w:left="958" w:right="958"/>
      <w:contextualSpacing w:val="0"/>
      <w:jc w:val="left"/>
    </w:pPr>
  </w:style>
  <w:style w:type="paragraph" w:customStyle="1" w:styleId="Kdprogramu">
    <w:name w:val="Kód programu"/>
    <w:basedOn w:val="Normln"/>
    <w:link w:val="KdprogramuChar"/>
    <w:uiPriority w:val="74"/>
    <w:qFormat/>
    <w:rsid w:val="0032701E"/>
    <w:pPr>
      <w:spacing w:before="240" w:after="240"/>
      <w:contextualSpacing/>
    </w:pPr>
    <w:rPr>
      <w:rFonts w:ascii="Courier New" w:hAnsi="Courier New" w:cs="Courier New"/>
      <w:noProof/>
      <w:sz w:val="22"/>
      <w:szCs w:val="22"/>
    </w:rPr>
  </w:style>
  <w:style w:type="character" w:customStyle="1" w:styleId="PoezieChar">
    <w:name w:val="Poezie Char"/>
    <w:basedOn w:val="CittChar"/>
    <w:link w:val="Poezie"/>
    <w:uiPriority w:val="32"/>
    <w:rsid w:val="00656B43"/>
    <w:rPr>
      <w:i/>
    </w:rPr>
  </w:style>
  <w:style w:type="character" w:customStyle="1" w:styleId="KdprogramuChar">
    <w:name w:val="Kód programu Char"/>
    <w:basedOn w:val="Standardnpsmoodstavce"/>
    <w:link w:val="Kdprogramu"/>
    <w:uiPriority w:val="74"/>
    <w:rsid w:val="0032701E"/>
    <w:rPr>
      <w:rFonts w:ascii="Courier New" w:hAnsi="Courier New" w:cs="Courier New"/>
      <w:noProof/>
      <w:sz w:val="22"/>
      <w:szCs w:val="22"/>
    </w:rPr>
  </w:style>
  <w:style w:type="paragraph" w:customStyle="1" w:styleId="7C5D38C841C7463A9DD7C17FE250AFA711">
    <w:name w:val="7C5D38C841C7463A9DD7C17FE250AFA711"/>
    <w:rsid w:val="00032EBD"/>
    <w:pPr>
      <w:keepNext/>
      <w:keepLines/>
      <w:pageBreakBefore/>
      <w:numPr>
        <w:numId w:val="17"/>
      </w:numPr>
      <w:suppressAutoHyphens/>
      <w:spacing w:after="280" w:line="480" w:lineRule="atLeast"/>
      <w:ind w:left="360" w:hanging="360"/>
      <w:outlineLvl w:val="0"/>
    </w:pPr>
    <w:rPr>
      <w:rFonts w:asciiTheme="majorHAnsi" w:hAnsiTheme="majorHAnsi" w:cs="Arial"/>
      <w:b/>
      <w:bCs/>
      <w:kern w:val="32"/>
      <w:sz w:val="40"/>
      <w:szCs w:val="32"/>
      <w:lang w:val="sk-SK"/>
    </w:rPr>
  </w:style>
  <w:style w:type="paragraph" w:customStyle="1" w:styleId="8A8A910B8AA34CD7A42465204528F8A3">
    <w:name w:val="8A8A910B8AA34CD7A42465204528F8A3"/>
    <w:rsid w:val="00032EBD"/>
    <w:pPr>
      <w:keepNext/>
      <w:keepLines/>
      <w:numPr>
        <w:ilvl w:val="1"/>
        <w:numId w:val="17"/>
      </w:numPr>
      <w:tabs>
        <w:tab w:val="clear" w:pos="1440"/>
      </w:tabs>
      <w:suppressAutoHyphens/>
      <w:spacing w:before="460" w:after="300" w:line="360" w:lineRule="exact"/>
      <w:ind w:left="720"/>
      <w:outlineLvl w:val="1"/>
    </w:pPr>
    <w:rPr>
      <w:rFonts w:ascii="Arial" w:hAnsi="Arial" w:cs="Arial"/>
      <w:iCs/>
      <w:color w:val="0000DC"/>
      <w:sz w:val="28"/>
      <w:szCs w:val="28"/>
    </w:rPr>
  </w:style>
  <w:style w:type="numbering" w:customStyle="1" w:styleId="Ptirovovsmenseznam">
    <w:name w:val="Pětiúrovňový smíšený seznam"/>
    <w:uiPriority w:val="99"/>
    <w:rsid w:val="00D716C2"/>
    <w:pPr>
      <w:numPr>
        <w:numId w:val="14"/>
      </w:numPr>
    </w:pPr>
  </w:style>
  <w:style w:type="numbering" w:customStyle="1" w:styleId="Decimlnslovn">
    <w:name w:val="Decimální číslování"/>
    <w:uiPriority w:val="99"/>
    <w:rsid w:val="00AB0BEE"/>
    <w:pPr>
      <w:numPr>
        <w:numId w:val="15"/>
      </w:numPr>
    </w:pPr>
  </w:style>
  <w:style w:type="paragraph" w:customStyle="1" w:styleId="inZPPodpisypublikace">
    <w:name w:val="inZP: Podpisy publikace"/>
    <w:basedOn w:val="inZPPodpisprohlen"/>
    <w:link w:val="inZPPodpisypublikaceChar"/>
    <w:rsid w:val="00274587"/>
    <w:pPr>
      <w:tabs>
        <w:tab w:val="center" w:pos="2155"/>
      </w:tabs>
      <w:spacing w:before="600"/>
      <w:contextualSpacing/>
    </w:pPr>
  </w:style>
  <w:style w:type="character" w:customStyle="1" w:styleId="inZPPodpisprohlenChar">
    <w:name w:val="inZP: Podpis prohlášení Char"/>
    <w:basedOn w:val="ZPZkladChar"/>
    <w:link w:val="inZPPodpisprohlen"/>
    <w:rsid w:val="00274587"/>
    <w:rPr>
      <w:rFonts w:ascii="Cambria" w:hAnsi="Cambria"/>
      <w:sz w:val="24"/>
      <w:szCs w:val="24"/>
    </w:rPr>
  </w:style>
  <w:style w:type="character" w:customStyle="1" w:styleId="inZPPodpisypublikaceChar">
    <w:name w:val="inZP: Podpisy publikace Char"/>
    <w:basedOn w:val="inZPPodpisprohlenChar"/>
    <w:link w:val="inZPPodpisypublikace"/>
    <w:rsid w:val="00274587"/>
    <w:rPr>
      <w:rFonts w:ascii="Cambria" w:hAnsi="Cambria"/>
      <w:sz w:val="24"/>
      <w:szCs w:val="24"/>
    </w:rPr>
  </w:style>
  <w:style w:type="paragraph" w:customStyle="1" w:styleId="ZPNadpis4">
    <w:name w:val="ZP Nadpis 4"/>
    <w:basedOn w:val="inZPNadpisy"/>
    <w:next w:val="Odstavec1"/>
    <w:link w:val="ZPNadpis4Char"/>
    <w:rsid w:val="006B7FF0"/>
    <w:rPr>
      <w:b w:val="0"/>
      <w:color w:val="0000DC"/>
    </w:rPr>
  </w:style>
  <w:style w:type="character" w:customStyle="1" w:styleId="ZPNadpis4Char">
    <w:name w:val="ZP Nadpis 4 Char"/>
    <w:basedOn w:val="inZPNadpisyChar"/>
    <w:link w:val="ZPNadpis4"/>
    <w:rsid w:val="006B7FF0"/>
    <w:rPr>
      <w:rFonts w:asciiTheme="majorHAnsi" w:hAnsiTheme="majorHAnsi"/>
      <w:b w:val="0"/>
      <w:color w:val="0000DC"/>
      <w:kern w:val="32"/>
      <w:sz w:val="24"/>
      <w:szCs w:val="24"/>
      <w:lang w:val="sk-SK"/>
    </w:rPr>
  </w:style>
  <w:style w:type="paragraph" w:customStyle="1" w:styleId="ZPSeznamploh">
    <w:name w:val="ZP: Seznam příloh"/>
    <w:basedOn w:val="ZPSeznamzkratek"/>
    <w:rsid w:val="006964D9"/>
    <w:pPr>
      <w:tabs>
        <w:tab w:val="clear" w:pos="1985"/>
        <w:tab w:val="clear" w:pos="2268"/>
        <w:tab w:val="left" w:pos="1134"/>
        <w:tab w:val="right" w:pos="8505"/>
      </w:tabs>
      <w:ind w:left="1134" w:hanging="1134"/>
    </w:pPr>
  </w:style>
  <w:style w:type="character" w:styleId="Nevyeenzmnka">
    <w:name w:val="Unresolved Mention"/>
    <w:basedOn w:val="Standardnpsmoodstavce"/>
    <w:uiPriority w:val="99"/>
    <w:semiHidden/>
    <w:unhideWhenUsed/>
    <w:rsid w:val="000D7EF4"/>
    <w:rPr>
      <w:color w:val="605E5C"/>
      <w:shd w:val="clear" w:color="auto" w:fill="E1DFDD"/>
    </w:rPr>
  </w:style>
  <w:style w:type="character" w:styleId="Sledovanodkaz">
    <w:name w:val="FollowedHyperlink"/>
    <w:basedOn w:val="Standardnpsmoodstavce"/>
    <w:uiPriority w:val="99"/>
    <w:rsid w:val="0062183D"/>
    <w:rPr>
      <w:color w:val="954F72" w:themeColor="followedHyperlink"/>
      <w:u w:val="single"/>
    </w:rPr>
  </w:style>
  <w:style w:type="character" w:styleId="Odkaznakoment">
    <w:name w:val="annotation reference"/>
    <w:basedOn w:val="Standardnpsmoodstavce"/>
    <w:uiPriority w:val="99"/>
    <w:rsid w:val="00212F01"/>
    <w:rPr>
      <w:sz w:val="16"/>
      <w:szCs w:val="16"/>
    </w:rPr>
  </w:style>
  <w:style w:type="paragraph" w:styleId="Textkomente">
    <w:name w:val="annotation text"/>
    <w:basedOn w:val="Normln"/>
    <w:link w:val="TextkomenteChar"/>
    <w:uiPriority w:val="99"/>
    <w:rsid w:val="00212F01"/>
    <w:rPr>
      <w:sz w:val="20"/>
      <w:szCs w:val="20"/>
    </w:rPr>
  </w:style>
  <w:style w:type="character" w:customStyle="1" w:styleId="TextkomenteChar">
    <w:name w:val="Text komentáře Char"/>
    <w:basedOn w:val="Standardnpsmoodstavce"/>
    <w:link w:val="Textkomente"/>
    <w:uiPriority w:val="99"/>
    <w:rsid w:val="00212F01"/>
    <w:rPr>
      <w:sz w:val="20"/>
      <w:szCs w:val="20"/>
    </w:rPr>
  </w:style>
  <w:style w:type="paragraph" w:styleId="Pedmtkomente">
    <w:name w:val="annotation subject"/>
    <w:basedOn w:val="Textkomente"/>
    <w:next w:val="Textkomente"/>
    <w:link w:val="PedmtkomenteChar"/>
    <w:uiPriority w:val="99"/>
    <w:rsid w:val="00212F01"/>
    <w:rPr>
      <w:b/>
      <w:bCs/>
    </w:rPr>
  </w:style>
  <w:style w:type="character" w:customStyle="1" w:styleId="PedmtkomenteChar">
    <w:name w:val="Předmět komentáře Char"/>
    <w:basedOn w:val="TextkomenteChar"/>
    <w:link w:val="Pedmtkomente"/>
    <w:uiPriority w:val="99"/>
    <w:rsid w:val="00212F01"/>
    <w:rPr>
      <w:b/>
      <w:bCs/>
      <w:sz w:val="20"/>
      <w:szCs w:val="20"/>
    </w:rPr>
  </w:style>
  <w:style w:type="paragraph" w:styleId="Textvysvtlivek">
    <w:name w:val="endnote text"/>
    <w:basedOn w:val="Normln"/>
    <w:link w:val="TextvysvtlivekChar"/>
    <w:uiPriority w:val="99"/>
    <w:rsid w:val="00025650"/>
    <w:rPr>
      <w:sz w:val="20"/>
      <w:szCs w:val="20"/>
    </w:rPr>
  </w:style>
  <w:style w:type="character" w:customStyle="1" w:styleId="TextvysvtlivekChar">
    <w:name w:val="Text vysvětlivek Char"/>
    <w:basedOn w:val="Standardnpsmoodstavce"/>
    <w:link w:val="Textvysvtlivek"/>
    <w:uiPriority w:val="99"/>
    <w:rsid w:val="00025650"/>
    <w:rPr>
      <w:sz w:val="20"/>
      <w:szCs w:val="20"/>
    </w:rPr>
  </w:style>
  <w:style w:type="character" w:styleId="Odkaznavysvtlivky">
    <w:name w:val="endnote reference"/>
    <w:basedOn w:val="Standardnpsmoodstavce"/>
    <w:uiPriority w:val="99"/>
    <w:rsid w:val="00025650"/>
    <w:rPr>
      <w:vertAlign w:val="superscript"/>
    </w:rPr>
  </w:style>
  <w:style w:type="paragraph" w:styleId="Revize">
    <w:name w:val="Revision"/>
    <w:hidden/>
    <w:uiPriority w:val="99"/>
    <w:semiHidden/>
    <w:rsid w:val="00583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18511846">
      <w:bodyDiv w:val="1"/>
      <w:marLeft w:val="0"/>
      <w:marRight w:val="0"/>
      <w:marTop w:val="0"/>
      <w:marBottom w:val="0"/>
      <w:divBdr>
        <w:top w:val="none" w:sz="0" w:space="0" w:color="auto"/>
        <w:left w:val="none" w:sz="0" w:space="0" w:color="auto"/>
        <w:bottom w:val="none" w:sz="0" w:space="0" w:color="auto"/>
        <w:right w:val="none" w:sz="0" w:space="0" w:color="auto"/>
      </w:divBdr>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26226531">
      <w:bodyDiv w:val="1"/>
      <w:marLeft w:val="0"/>
      <w:marRight w:val="0"/>
      <w:marTop w:val="0"/>
      <w:marBottom w:val="0"/>
      <w:divBdr>
        <w:top w:val="none" w:sz="0" w:space="0" w:color="auto"/>
        <w:left w:val="none" w:sz="0" w:space="0" w:color="auto"/>
        <w:bottom w:val="none" w:sz="0" w:space="0" w:color="auto"/>
        <w:right w:val="none" w:sz="0" w:space="0" w:color="auto"/>
      </w:divBdr>
    </w:div>
    <w:div w:id="31465477">
      <w:bodyDiv w:val="1"/>
      <w:marLeft w:val="0"/>
      <w:marRight w:val="0"/>
      <w:marTop w:val="0"/>
      <w:marBottom w:val="0"/>
      <w:divBdr>
        <w:top w:val="none" w:sz="0" w:space="0" w:color="auto"/>
        <w:left w:val="none" w:sz="0" w:space="0" w:color="auto"/>
        <w:bottom w:val="none" w:sz="0" w:space="0" w:color="auto"/>
        <w:right w:val="none" w:sz="0" w:space="0" w:color="auto"/>
      </w:divBdr>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5492137">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71631486">
      <w:bodyDiv w:val="1"/>
      <w:marLeft w:val="0"/>
      <w:marRight w:val="0"/>
      <w:marTop w:val="0"/>
      <w:marBottom w:val="0"/>
      <w:divBdr>
        <w:top w:val="none" w:sz="0" w:space="0" w:color="auto"/>
        <w:left w:val="none" w:sz="0" w:space="0" w:color="auto"/>
        <w:bottom w:val="none" w:sz="0" w:space="0" w:color="auto"/>
        <w:right w:val="none" w:sz="0" w:space="0" w:color="auto"/>
      </w:divBdr>
      <w:divsChild>
        <w:div w:id="748040652">
          <w:marLeft w:val="0"/>
          <w:marRight w:val="0"/>
          <w:marTop w:val="0"/>
          <w:marBottom w:val="0"/>
          <w:divBdr>
            <w:top w:val="none" w:sz="0" w:space="0" w:color="auto"/>
            <w:left w:val="none" w:sz="0" w:space="0" w:color="auto"/>
            <w:bottom w:val="none" w:sz="0" w:space="0" w:color="auto"/>
            <w:right w:val="none" w:sz="0" w:space="0" w:color="auto"/>
          </w:divBdr>
          <w:divsChild>
            <w:div w:id="1066994743">
              <w:marLeft w:val="0"/>
              <w:marRight w:val="0"/>
              <w:marTop w:val="0"/>
              <w:marBottom w:val="0"/>
              <w:divBdr>
                <w:top w:val="none" w:sz="0" w:space="0" w:color="auto"/>
                <w:left w:val="none" w:sz="0" w:space="0" w:color="auto"/>
                <w:bottom w:val="none" w:sz="0" w:space="0" w:color="auto"/>
                <w:right w:val="none" w:sz="0" w:space="0" w:color="auto"/>
              </w:divBdr>
              <w:divsChild>
                <w:div w:id="1124731753">
                  <w:marLeft w:val="0"/>
                  <w:marRight w:val="0"/>
                  <w:marTop w:val="0"/>
                  <w:marBottom w:val="0"/>
                  <w:divBdr>
                    <w:top w:val="none" w:sz="0" w:space="0" w:color="auto"/>
                    <w:left w:val="none" w:sz="0" w:space="0" w:color="auto"/>
                    <w:bottom w:val="none" w:sz="0" w:space="0" w:color="auto"/>
                    <w:right w:val="none" w:sz="0" w:space="0" w:color="auto"/>
                  </w:divBdr>
                  <w:divsChild>
                    <w:div w:id="863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1274">
      <w:bodyDiv w:val="1"/>
      <w:marLeft w:val="0"/>
      <w:marRight w:val="0"/>
      <w:marTop w:val="0"/>
      <w:marBottom w:val="0"/>
      <w:divBdr>
        <w:top w:val="none" w:sz="0" w:space="0" w:color="auto"/>
        <w:left w:val="none" w:sz="0" w:space="0" w:color="auto"/>
        <w:bottom w:val="none" w:sz="0" w:space="0" w:color="auto"/>
        <w:right w:val="none" w:sz="0" w:space="0" w:color="auto"/>
      </w:divBdr>
    </w:div>
    <w:div w:id="96562370">
      <w:bodyDiv w:val="1"/>
      <w:marLeft w:val="0"/>
      <w:marRight w:val="0"/>
      <w:marTop w:val="0"/>
      <w:marBottom w:val="0"/>
      <w:divBdr>
        <w:top w:val="none" w:sz="0" w:space="0" w:color="auto"/>
        <w:left w:val="none" w:sz="0" w:space="0" w:color="auto"/>
        <w:bottom w:val="none" w:sz="0" w:space="0" w:color="auto"/>
        <w:right w:val="none" w:sz="0" w:space="0" w:color="auto"/>
      </w:divBdr>
    </w:div>
    <w:div w:id="111287537">
      <w:bodyDiv w:val="1"/>
      <w:marLeft w:val="0"/>
      <w:marRight w:val="0"/>
      <w:marTop w:val="0"/>
      <w:marBottom w:val="0"/>
      <w:divBdr>
        <w:top w:val="none" w:sz="0" w:space="0" w:color="auto"/>
        <w:left w:val="none" w:sz="0" w:space="0" w:color="auto"/>
        <w:bottom w:val="none" w:sz="0" w:space="0" w:color="auto"/>
        <w:right w:val="none" w:sz="0" w:space="0" w:color="auto"/>
      </w:divBdr>
    </w:div>
    <w:div w:id="132020259">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61821159">
      <w:bodyDiv w:val="1"/>
      <w:marLeft w:val="0"/>
      <w:marRight w:val="0"/>
      <w:marTop w:val="0"/>
      <w:marBottom w:val="0"/>
      <w:divBdr>
        <w:top w:val="none" w:sz="0" w:space="0" w:color="auto"/>
        <w:left w:val="none" w:sz="0" w:space="0" w:color="auto"/>
        <w:bottom w:val="none" w:sz="0" w:space="0" w:color="auto"/>
        <w:right w:val="none" w:sz="0" w:space="0" w:color="auto"/>
      </w:divBdr>
      <w:divsChild>
        <w:div w:id="957761231">
          <w:marLeft w:val="0"/>
          <w:marRight w:val="0"/>
          <w:marTop w:val="0"/>
          <w:marBottom w:val="0"/>
          <w:divBdr>
            <w:top w:val="none" w:sz="0" w:space="0" w:color="auto"/>
            <w:left w:val="none" w:sz="0" w:space="0" w:color="auto"/>
            <w:bottom w:val="none" w:sz="0" w:space="0" w:color="auto"/>
            <w:right w:val="none" w:sz="0" w:space="0" w:color="auto"/>
          </w:divBdr>
          <w:divsChild>
            <w:div w:id="482502575">
              <w:marLeft w:val="0"/>
              <w:marRight w:val="0"/>
              <w:marTop w:val="0"/>
              <w:marBottom w:val="0"/>
              <w:divBdr>
                <w:top w:val="none" w:sz="0" w:space="0" w:color="auto"/>
                <w:left w:val="none" w:sz="0" w:space="0" w:color="auto"/>
                <w:bottom w:val="none" w:sz="0" w:space="0" w:color="auto"/>
                <w:right w:val="none" w:sz="0" w:space="0" w:color="auto"/>
              </w:divBdr>
              <w:divsChild>
                <w:div w:id="1455096633">
                  <w:marLeft w:val="0"/>
                  <w:marRight w:val="0"/>
                  <w:marTop w:val="0"/>
                  <w:marBottom w:val="0"/>
                  <w:divBdr>
                    <w:top w:val="none" w:sz="0" w:space="0" w:color="auto"/>
                    <w:left w:val="none" w:sz="0" w:space="0" w:color="auto"/>
                    <w:bottom w:val="none" w:sz="0" w:space="0" w:color="auto"/>
                    <w:right w:val="none" w:sz="0" w:space="0" w:color="auto"/>
                  </w:divBdr>
                  <w:divsChild>
                    <w:div w:id="800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0333">
      <w:bodyDiv w:val="1"/>
      <w:marLeft w:val="0"/>
      <w:marRight w:val="0"/>
      <w:marTop w:val="0"/>
      <w:marBottom w:val="0"/>
      <w:divBdr>
        <w:top w:val="none" w:sz="0" w:space="0" w:color="auto"/>
        <w:left w:val="none" w:sz="0" w:space="0" w:color="auto"/>
        <w:bottom w:val="none" w:sz="0" w:space="0" w:color="auto"/>
        <w:right w:val="none" w:sz="0" w:space="0" w:color="auto"/>
      </w:divBdr>
    </w:div>
    <w:div w:id="163060607">
      <w:bodyDiv w:val="1"/>
      <w:marLeft w:val="0"/>
      <w:marRight w:val="0"/>
      <w:marTop w:val="0"/>
      <w:marBottom w:val="0"/>
      <w:divBdr>
        <w:top w:val="none" w:sz="0" w:space="0" w:color="auto"/>
        <w:left w:val="none" w:sz="0" w:space="0" w:color="auto"/>
        <w:bottom w:val="none" w:sz="0" w:space="0" w:color="auto"/>
        <w:right w:val="none" w:sz="0" w:space="0" w:color="auto"/>
      </w:divBdr>
    </w:div>
    <w:div w:id="168302141">
      <w:bodyDiv w:val="1"/>
      <w:marLeft w:val="0"/>
      <w:marRight w:val="0"/>
      <w:marTop w:val="0"/>
      <w:marBottom w:val="0"/>
      <w:divBdr>
        <w:top w:val="none" w:sz="0" w:space="0" w:color="auto"/>
        <w:left w:val="none" w:sz="0" w:space="0" w:color="auto"/>
        <w:bottom w:val="none" w:sz="0" w:space="0" w:color="auto"/>
        <w:right w:val="none" w:sz="0" w:space="0" w:color="auto"/>
      </w:divBdr>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1166291">
      <w:bodyDiv w:val="1"/>
      <w:marLeft w:val="0"/>
      <w:marRight w:val="0"/>
      <w:marTop w:val="0"/>
      <w:marBottom w:val="0"/>
      <w:divBdr>
        <w:top w:val="none" w:sz="0" w:space="0" w:color="auto"/>
        <w:left w:val="none" w:sz="0" w:space="0" w:color="auto"/>
        <w:bottom w:val="none" w:sz="0" w:space="0" w:color="auto"/>
        <w:right w:val="none" w:sz="0" w:space="0" w:color="auto"/>
      </w:divBdr>
      <w:divsChild>
        <w:div w:id="307443776">
          <w:marLeft w:val="0"/>
          <w:marRight w:val="0"/>
          <w:marTop w:val="0"/>
          <w:marBottom w:val="0"/>
          <w:divBdr>
            <w:top w:val="none" w:sz="0" w:space="0" w:color="auto"/>
            <w:left w:val="none" w:sz="0" w:space="0" w:color="auto"/>
            <w:bottom w:val="none" w:sz="0" w:space="0" w:color="auto"/>
            <w:right w:val="none" w:sz="0" w:space="0" w:color="auto"/>
          </w:divBdr>
          <w:divsChild>
            <w:div w:id="1431395185">
              <w:marLeft w:val="0"/>
              <w:marRight w:val="0"/>
              <w:marTop w:val="0"/>
              <w:marBottom w:val="0"/>
              <w:divBdr>
                <w:top w:val="none" w:sz="0" w:space="0" w:color="auto"/>
                <w:left w:val="none" w:sz="0" w:space="0" w:color="auto"/>
                <w:bottom w:val="none" w:sz="0" w:space="0" w:color="auto"/>
                <w:right w:val="none" w:sz="0" w:space="0" w:color="auto"/>
              </w:divBdr>
              <w:divsChild>
                <w:div w:id="2005232613">
                  <w:marLeft w:val="0"/>
                  <w:marRight w:val="0"/>
                  <w:marTop w:val="0"/>
                  <w:marBottom w:val="0"/>
                  <w:divBdr>
                    <w:top w:val="none" w:sz="0" w:space="0" w:color="auto"/>
                    <w:left w:val="none" w:sz="0" w:space="0" w:color="auto"/>
                    <w:bottom w:val="none" w:sz="0" w:space="0" w:color="auto"/>
                    <w:right w:val="none" w:sz="0" w:space="0" w:color="auto"/>
                  </w:divBdr>
                  <w:divsChild>
                    <w:div w:id="12401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191654508">
      <w:bodyDiv w:val="1"/>
      <w:marLeft w:val="0"/>
      <w:marRight w:val="0"/>
      <w:marTop w:val="0"/>
      <w:marBottom w:val="0"/>
      <w:divBdr>
        <w:top w:val="none" w:sz="0" w:space="0" w:color="auto"/>
        <w:left w:val="none" w:sz="0" w:space="0" w:color="auto"/>
        <w:bottom w:val="none" w:sz="0" w:space="0" w:color="auto"/>
        <w:right w:val="none" w:sz="0" w:space="0" w:color="auto"/>
      </w:divBdr>
    </w:div>
    <w:div w:id="213196548">
      <w:bodyDiv w:val="1"/>
      <w:marLeft w:val="0"/>
      <w:marRight w:val="0"/>
      <w:marTop w:val="0"/>
      <w:marBottom w:val="0"/>
      <w:divBdr>
        <w:top w:val="none" w:sz="0" w:space="0" w:color="auto"/>
        <w:left w:val="none" w:sz="0" w:space="0" w:color="auto"/>
        <w:bottom w:val="none" w:sz="0" w:space="0" w:color="auto"/>
        <w:right w:val="none" w:sz="0" w:space="0" w:color="auto"/>
      </w:divBdr>
    </w:div>
    <w:div w:id="240482678">
      <w:bodyDiv w:val="1"/>
      <w:marLeft w:val="0"/>
      <w:marRight w:val="0"/>
      <w:marTop w:val="0"/>
      <w:marBottom w:val="0"/>
      <w:divBdr>
        <w:top w:val="none" w:sz="0" w:space="0" w:color="auto"/>
        <w:left w:val="none" w:sz="0" w:space="0" w:color="auto"/>
        <w:bottom w:val="none" w:sz="0" w:space="0" w:color="auto"/>
        <w:right w:val="none" w:sz="0" w:space="0" w:color="auto"/>
      </w:divBdr>
    </w:div>
    <w:div w:id="250505664">
      <w:bodyDiv w:val="1"/>
      <w:marLeft w:val="0"/>
      <w:marRight w:val="0"/>
      <w:marTop w:val="0"/>
      <w:marBottom w:val="0"/>
      <w:divBdr>
        <w:top w:val="none" w:sz="0" w:space="0" w:color="auto"/>
        <w:left w:val="none" w:sz="0" w:space="0" w:color="auto"/>
        <w:bottom w:val="none" w:sz="0" w:space="0" w:color="auto"/>
        <w:right w:val="none" w:sz="0" w:space="0" w:color="auto"/>
      </w:divBdr>
    </w:div>
    <w:div w:id="262494843">
      <w:bodyDiv w:val="1"/>
      <w:marLeft w:val="0"/>
      <w:marRight w:val="0"/>
      <w:marTop w:val="0"/>
      <w:marBottom w:val="0"/>
      <w:divBdr>
        <w:top w:val="none" w:sz="0" w:space="0" w:color="auto"/>
        <w:left w:val="none" w:sz="0" w:space="0" w:color="auto"/>
        <w:bottom w:val="none" w:sz="0" w:space="0" w:color="auto"/>
        <w:right w:val="none" w:sz="0" w:space="0" w:color="auto"/>
      </w:divBdr>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21470259">
      <w:bodyDiv w:val="1"/>
      <w:marLeft w:val="0"/>
      <w:marRight w:val="0"/>
      <w:marTop w:val="0"/>
      <w:marBottom w:val="0"/>
      <w:divBdr>
        <w:top w:val="none" w:sz="0" w:space="0" w:color="auto"/>
        <w:left w:val="none" w:sz="0" w:space="0" w:color="auto"/>
        <w:bottom w:val="none" w:sz="0" w:space="0" w:color="auto"/>
        <w:right w:val="none" w:sz="0" w:space="0" w:color="auto"/>
      </w:divBdr>
    </w:div>
    <w:div w:id="322703979">
      <w:bodyDiv w:val="1"/>
      <w:marLeft w:val="0"/>
      <w:marRight w:val="0"/>
      <w:marTop w:val="0"/>
      <w:marBottom w:val="0"/>
      <w:divBdr>
        <w:top w:val="none" w:sz="0" w:space="0" w:color="auto"/>
        <w:left w:val="none" w:sz="0" w:space="0" w:color="auto"/>
        <w:bottom w:val="none" w:sz="0" w:space="0" w:color="auto"/>
        <w:right w:val="none" w:sz="0" w:space="0" w:color="auto"/>
      </w:divBdr>
    </w:div>
    <w:div w:id="327558930">
      <w:bodyDiv w:val="1"/>
      <w:marLeft w:val="0"/>
      <w:marRight w:val="0"/>
      <w:marTop w:val="0"/>
      <w:marBottom w:val="0"/>
      <w:divBdr>
        <w:top w:val="none" w:sz="0" w:space="0" w:color="auto"/>
        <w:left w:val="none" w:sz="0" w:space="0" w:color="auto"/>
        <w:bottom w:val="none" w:sz="0" w:space="0" w:color="auto"/>
        <w:right w:val="none" w:sz="0" w:space="0" w:color="auto"/>
      </w:divBdr>
    </w:div>
    <w:div w:id="328142488">
      <w:bodyDiv w:val="1"/>
      <w:marLeft w:val="0"/>
      <w:marRight w:val="0"/>
      <w:marTop w:val="0"/>
      <w:marBottom w:val="0"/>
      <w:divBdr>
        <w:top w:val="none" w:sz="0" w:space="0" w:color="auto"/>
        <w:left w:val="none" w:sz="0" w:space="0" w:color="auto"/>
        <w:bottom w:val="none" w:sz="0" w:space="0" w:color="auto"/>
        <w:right w:val="none" w:sz="0" w:space="0" w:color="auto"/>
      </w:divBdr>
      <w:divsChild>
        <w:div w:id="30889152">
          <w:marLeft w:val="360"/>
          <w:marRight w:val="0"/>
          <w:marTop w:val="200"/>
          <w:marBottom w:val="0"/>
          <w:divBdr>
            <w:top w:val="none" w:sz="0" w:space="0" w:color="auto"/>
            <w:left w:val="none" w:sz="0" w:space="0" w:color="auto"/>
            <w:bottom w:val="none" w:sz="0" w:space="0" w:color="auto"/>
            <w:right w:val="none" w:sz="0" w:space="0" w:color="auto"/>
          </w:divBdr>
        </w:div>
        <w:div w:id="44259218">
          <w:marLeft w:val="360"/>
          <w:marRight w:val="0"/>
          <w:marTop w:val="200"/>
          <w:marBottom w:val="0"/>
          <w:divBdr>
            <w:top w:val="none" w:sz="0" w:space="0" w:color="auto"/>
            <w:left w:val="none" w:sz="0" w:space="0" w:color="auto"/>
            <w:bottom w:val="none" w:sz="0" w:space="0" w:color="auto"/>
            <w:right w:val="none" w:sz="0" w:space="0" w:color="auto"/>
          </w:divBdr>
        </w:div>
        <w:div w:id="1196850382">
          <w:marLeft w:val="360"/>
          <w:marRight w:val="0"/>
          <w:marTop w:val="200"/>
          <w:marBottom w:val="0"/>
          <w:divBdr>
            <w:top w:val="none" w:sz="0" w:space="0" w:color="auto"/>
            <w:left w:val="none" w:sz="0" w:space="0" w:color="auto"/>
            <w:bottom w:val="none" w:sz="0" w:space="0" w:color="auto"/>
            <w:right w:val="none" w:sz="0" w:space="0" w:color="auto"/>
          </w:divBdr>
        </w:div>
        <w:div w:id="1272858963">
          <w:marLeft w:val="360"/>
          <w:marRight w:val="0"/>
          <w:marTop w:val="200"/>
          <w:marBottom w:val="0"/>
          <w:divBdr>
            <w:top w:val="none" w:sz="0" w:space="0" w:color="auto"/>
            <w:left w:val="none" w:sz="0" w:space="0" w:color="auto"/>
            <w:bottom w:val="none" w:sz="0" w:space="0" w:color="auto"/>
            <w:right w:val="none" w:sz="0" w:space="0" w:color="auto"/>
          </w:divBdr>
        </w:div>
      </w:divsChild>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54775609">
      <w:bodyDiv w:val="1"/>
      <w:marLeft w:val="0"/>
      <w:marRight w:val="0"/>
      <w:marTop w:val="0"/>
      <w:marBottom w:val="0"/>
      <w:divBdr>
        <w:top w:val="none" w:sz="0" w:space="0" w:color="auto"/>
        <w:left w:val="none" w:sz="0" w:space="0" w:color="auto"/>
        <w:bottom w:val="none" w:sz="0" w:space="0" w:color="auto"/>
        <w:right w:val="none" w:sz="0" w:space="0" w:color="auto"/>
      </w:divBdr>
    </w:div>
    <w:div w:id="364528971">
      <w:bodyDiv w:val="1"/>
      <w:marLeft w:val="0"/>
      <w:marRight w:val="0"/>
      <w:marTop w:val="0"/>
      <w:marBottom w:val="0"/>
      <w:divBdr>
        <w:top w:val="none" w:sz="0" w:space="0" w:color="auto"/>
        <w:left w:val="none" w:sz="0" w:space="0" w:color="auto"/>
        <w:bottom w:val="none" w:sz="0" w:space="0" w:color="auto"/>
        <w:right w:val="none" w:sz="0" w:space="0" w:color="auto"/>
      </w:divBdr>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35364868">
      <w:bodyDiv w:val="1"/>
      <w:marLeft w:val="0"/>
      <w:marRight w:val="0"/>
      <w:marTop w:val="0"/>
      <w:marBottom w:val="0"/>
      <w:divBdr>
        <w:top w:val="none" w:sz="0" w:space="0" w:color="auto"/>
        <w:left w:val="none" w:sz="0" w:space="0" w:color="auto"/>
        <w:bottom w:val="none" w:sz="0" w:space="0" w:color="auto"/>
        <w:right w:val="none" w:sz="0" w:space="0" w:color="auto"/>
      </w:divBdr>
      <w:divsChild>
        <w:div w:id="1579095456">
          <w:marLeft w:val="150"/>
          <w:marRight w:val="0"/>
          <w:marTop w:val="0"/>
          <w:marBottom w:val="0"/>
          <w:divBdr>
            <w:top w:val="none" w:sz="0" w:space="0" w:color="auto"/>
            <w:left w:val="none" w:sz="0" w:space="0" w:color="auto"/>
            <w:bottom w:val="none" w:sz="0" w:space="0" w:color="auto"/>
            <w:right w:val="none" w:sz="0" w:space="0" w:color="auto"/>
          </w:divBdr>
          <w:divsChild>
            <w:div w:id="462117924">
              <w:marLeft w:val="0"/>
              <w:marRight w:val="0"/>
              <w:marTop w:val="225"/>
              <w:marBottom w:val="0"/>
              <w:divBdr>
                <w:top w:val="none" w:sz="0" w:space="0" w:color="auto"/>
                <w:left w:val="none" w:sz="0" w:space="0" w:color="auto"/>
                <w:bottom w:val="none" w:sz="0" w:space="0" w:color="auto"/>
                <w:right w:val="none" w:sz="0" w:space="0" w:color="auto"/>
              </w:divBdr>
              <w:divsChild>
                <w:div w:id="302582417">
                  <w:marLeft w:val="0"/>
                  <w:marRight w:val="0"/>
                  <w:marTop w:val="0"/>
                  <w:marBottom w:val="0"/>
                  <w:divBdr>
                    <w:top w:val="none" w:sz="0" w:space="0" w:color="auto"/>
                    <w:left w:val="none" w:sz="0" w:space="0" w:color="auto"/>
                    <w:bottom w:val="none" w:sz="0" w:space="0" w:color="auto"/>
                    <w:right w:val="none" w:sz="0" w:space="0" w:color="auto"/>
                  </w:divBdr>
                </w:div>
                <w:div w:id="1631204470">
                  <w:marLeft w:val="0"/>
                  <w:marRight w:val="0"/>
                  <w:marTop w:val="0"/>
                  <w:marBottom w:val="0"/>
                  <w:divBdr>
                    <w:top w:val="none" w:sz="0" w:space="0" w:color="auto"/>
                    <w:left w:val="none" w:sz="0" w:space="0" w:color="auto"/>
                    <w:bottom w:val="none" w:sz="0" w:space="0" w:color="auto"/>
                    <w:right w:val="none" w:sz="0" w:space="0" w:color="auto"/>
                  </w:divBdr>
                </w:div>
              </w:divsChild>
            </w:div>
            <w:div w:id="543828809">
              <w:marLeft w:val="0"/>
              <w:marRight w:val="0"/>
              <w:marTop w:val="225"/>
              <w:marBottom w:val="0"/>
              <w:divBdr>
                <w:top w:val="none" w:sz="0" w:space="0" w:color="auto"/>
                <w:left w:val="none" w:sz="0" w:space="0" w:color="auto"/>
                <w:bottom w:val="none" w:sz="0" w:space="0" w:color="auto"/>
                <w:right w:val="none" w:sz="0" w:space="0" w:color="auto"/>
              </w:divBdr>
              <w:divsChild>
                <w:div w:id="430123996">
                  <w:marLeft w:val="0"/>
                  <w:marRight w:val="0"/>
                  <w:marTop w:val="0"/>
                  <w:marBottom w:val="0"/>
                  <w:divBdr>
                    <w:top w:val="none" w:sz="0" w:space="0" w:color="auto"/>
                    <w:left w:val="none" w:sz="0" w:space="0" w:color="auto"/>
                    <w:bottom w:val="none" w:sz="0" w:space="0" w:color="auto"/>
                    <w:right w:val="none" w:sz="0" w:space="0" w:color="auto"/>
                  </w:divBdr>
                </w:div>
                <w:div w:id="596795603">
                  <w:marLeft w:val="0"/>
                  <w:marRight w:val="0"/>
                  <w:marTop w:val="0"/>
                  <w:marBottom w:val="0"/>
                  <w:divBdr>
                    <w:top w:val="none" w:sz="0" w:space="0" w:color="auto"/>
                    <w:left w:val="none" w:sz="0" w:space="0" w:color="auto"/>
                    <w:bottom w:val="none" w:sz="0" w:space="0" w:color="auto"/>
                    <w:right w:val="none" w:sz="0" w:space="0" w:color="auto"/>
                  </w:divBdr>
                </w:div>
              </w:divsChild>
            </w:div>
            <w:div w:id="675424740">
              <w:marLeft w:val="0"/>
              <w:marRight w:val="0"/>
              <w:marTop w:val="0"/>
              <w:marBottom w:val="0"/>
              <w:divBdr>
                <w:top w:val="none" w:sz="0" w:space="0" w:color="auto"/>
                <w:left w:val="none" w:sz="0" w:space="0" w:color="auto"/>
                <w:bottom w:val="none" w:sz="0" w:space="0" w:color="auto"/>
                <w:right w:val="none" w:sz="0" w:space="0" w:color="auto"/>
              </w:divBdr>
              <w:divsChild>
                <w:div w:id="1636834723">
                  <w:marLeft w:val="0"/>
                  <w:marRight w:val="0"/>
                  <w:marTop w:val="0"/>
                  <w:marBottom w:val="0"/>
                  <w:divBdr>
                    <w:top w:val="none" w:sz="0" w:space="0" w:color="auto"/>
                    <w:left w:val="none" w:sz="0" w:space="0" w:color="auto"/>
                    <w:bottom w:val="none" w:sz="0" w:space="0" w:color="auto"/>
                    <w:right w:val="none" w:sz="0" w:space="0" w:color="auto"/>
                  </w:divBdr>
                </w:div>
                <w:div w:id="2003005929">
                  <w:marLeft w:val="0"/>
                  <w:marRight w:val="0"/>
                  <w:marTop w:val="0"/>
                  <w:marBottom w:val="0"/>
                  <w:divBdr>
                    <w:top w:val="none" w:sz="0" w:space="0" w:color="auto"/>
                    <w:left w:val="none" w:sz="0" w:space="0" w:color="auto"/>
                    <w:bottom w:val="none" w:sz="0" w:space="0" w:color="auto"/>
                    <w:right w:val="none" w:sz="0" w:space="0" w:color="auto"/>
                  </w:divBdr>
                </w:div>
              </w:divsChild>
            </w:div>
            <w:div w:id="1377971262">
              <w:marLeft w:val="0"/>
              <w:marRight w:val="0"/>
              <w:marTop w:val="225"/>
              <w:marBottom w:val="0"/>
              <w:divBdr>
                <w:top w:val="none" w:sz="0" w:space="0" w:color="auto"/>
                <w:left w:val="none" w:sz="0" w:space="0" w:color="auto"/>
                <w:bottom w:val="none" w:sz="0" w:space="0" w:color="auto"/>
                <w:right w:val="none" w:sz="0" w:space="0" w:color="auto"/>
              </w:divBdr>
              <w:divsChild>
                <w:div w:id="19674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56004">
      <w:bodyDiv w:val="1"/>
      <w:marLeft w:val="0"/>
      <w:marRight w:val="0"/>
      <w:marTop w:val="0"/>
      <w:marBottom w:val="0"/>
      <w:divBdr>
        <w:top w:val="none" w:sz="0" w:space="0" w:color="auto"/>
        <w:left w:val="none" w:sz="0" w:space="0" w:color="auto"/>
        <w:bottom w:val="none" w:sz="0" w:space="0" w:color="auto"/>
        <w:right w:val="none" w:sz="0" w:space="0" w:color="auto"/>
      </w:divBdr>
    </w:div>
    <w:div w:id="481775083">
      <w:bodyDiv w:val="1"/>
      <w:marLeft w:val="0"/>
      <w:marRight w:val="0"/>
      <w:marTop w:val="0"/>
      <w:marBottom w:val="0"/>
      <w:divBdr>
        <w:top w:val="none" w:sz="0" w:space="0" w:color="auto"/>
        <w:left w:val="none" w:sz="0" w:space="0" w:color="auto"/>
        <w:bottom w:val="none" w:sz="0" w:space="0" w:color="auto"/>
        <w:right w:val="none" w:sz="0" w:space="0" w:color="auto"/>
      </w:divBdr>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489252564">
      <w:bodyDiv w:val="1"/>
      <w:marLeft w:val="0"/>
      <w:marRight w:val="0"/>
      <w:marTop w:val="0"/>
      <w:marBottom w:val="0"/>
      <w:divBdr>
        <w:top w:val="none" w:sz="0" w:space="0" w:color="auto"/>
        <w:left w:val="none" w:sz="0" w:space="0" w:color="auto"/>
        <w:bottom w:val="none" w:sz="0" w:space="0" w:color="auto"/>
        <w:right w:val="none" w:sz="0" w:space="0" w:color="auto"/>
      </w:divBdr>
    </w:div>
    <w:div w:id="515266265">
      <w:bodyDiv w:val="1"/>
      <w:marLeft w:val="0"/>
      <w:marRight w:val="0"/>
      <w:marTop w:val="0"/>
      <w:marBottom w:val="0"/>
      <w:divBdr>
        <w:top w:val="none" w:sz="0" w:space="0" w:color="auto"/>
        <w:left w:val="none" w:sz="0" w:space="0" w:color="auto"/>
        <w:bottom w:val="none" w:sz="0" w:space="0" w:color="auto"/>
        <w:right w:val="none" w:sz="0" w:space="0" w:color="auto"/>
      </w:divBdr>
    </w:div>
    <w:div w:id="522787825">
      <w:bodyDiv w:val="1"/>
      <w:marLeft w:val="0"/>
      <w:marRight w:val="0"/>
      <w:marTop w:val="0"/>
      <w:marBottom w:val="0"/>
      <w:divBdr>
        <w:top w:val="none" w:sz="0" w:space="0" w:color="auto"/>
        <w:left w:val="none" w:sz="0" w:space="0" w:color="auto"/>
        <w:bottom w:val="none" w:sz="0" w:space="0" w:color="auto"/>
        <w:right w:val="none" w:sz="0" w:space="0" w:color="auto"/>
      </w:divBdr>
    </w:div>
    <w:div w:id="539128825">
      <w:bodyDiv w:val="1"/>
      <w:marLeft w:val="0"/>
      <w:marRight w:val="0"/>
      <w:marTop w:val="0"/>
      <w:marBottom w:val="0"/>
      <w:divBdr>
        <w:top w:val="none" w:sz="0" w:space="0" w:color="auto"/>
        <w:left w:val="none" w:sz="0" w:space="0" w:color="auto"/>
        <w:bottom w:val="none" w:sz="0" w:space="0" w:color="auto"/>
        <w:right w:val="none" w:sz="0" w:space="0" w:color="auto"/>
      </w:divBdr>
    </w:div>
    <w:div w:id="541942426">
      <w:bodyDiv w:val="1"/>
      <w:marLeft w:val="0"/>
      <w:marRight w:val="0"/>
      <w:marTop w:val="0"/>
      <w:marBottom w:val="0"/>
      <w:divBdr>
        <w:top w:val="none" w:sz="0" w:space="0" w:color="auto"/>
        <w:left w:val="none" w:sz="0" w:space="0" w:color="auto"/>
        <w:bottom w:val="none" w:sz="0" w:space="0" w:color="auto"/>
        <w:right w:val="none" w:sz="0" w:space="0" w:color="auto"/>
      </w:divBdr>
    </w:div>
    <w:div w:id="562955288">
      <w:bodyDiv w:val="1"/>
      <w:marLeft w:val="0"/>
      <w:marRight w:val="0"/>
      <w:marTop w:val="0"/>
      <w:marBottom w:val="0"/>
      <w:divBdr>
        <w:top w:val="none" w:sz="0" w:space="0" w:color="auto"/>
        <w:left w:val="none" w:sz="0" w:space="0" w:color="auto"/>
        <w:bottom w:val="none" w:sz="0" w:space="0" w:color="auto"/>
        <w:right w:val="none" w:sz="0" w:space="0" w:color="auto"/>
      </w:divBdr>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49209917">
      <w:bodyDiv w:val="1"/>
      <w:marLeft w:val="0"/>
      <w:marRight w:val="0"/>
      <w:marTop w:val="0"/>
      <w:marBottom w:val="0"/>
      <w:divBdr>
        <w:top w:val="none" w:sz="0" w:space="0" w:color="auto"/>
        <w:left w:val="none" w:sz="0" w:space="0" w:color="auto"/>
        <w:bottom w:val="none" w:sz="0" w:space="0" w:color="auto"/>
        <w:right w:val="none" w:sz="0" w:space="0" w:color="auto"/>
      </w:divBdr>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707993975">
      <w:bodyDiv w:val="1"/>
      <w:marLeft w:val="0"/>
      <w:marRight w:val="0"/>
      <w:marTop w:val="0"/>
      <w:marBottom w:val="0"/>
      <w:divBdr>
        <w:top w:val="none" w:sz="0" w:space="0" w:color="auto"/>
        <w:left w:val="none" w:sz="0" w:space="0" w:color="auto"/>
        <w:bottom w:val="none" w:sz="0" w:space="0" w:color="auto"/>
        <w:right w:val="none" w:sz="0" w:space="0" w:color="auto"/>
      </w:divBdr>
    </w:div>
    <w:div w:id="716317691">
      <w:bodyDiv w:val="1"/>
      <w:marLeft w:val="0"/>
      <w:marRight w:val="0"/>
      <w:marTop w:val="0"/>
      <w:marBottom w:val="0"/>
      <w:divBdr>
        <w:top w:val="none" w:sz="0" w:space="0" w:color="auto"/>
        <w:left w:val="none" w:sz="0" w:space="0" w:color="auto"/>
        <w:bottom w:val="none" w:sz="0" w:space="0" w:color="auto"/>
        <w:right w:val="none" w:sz="0" w:space="0" w:color="auto"/>
      </w:divBdr>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50003897">
      <w:bodyDiv w:val="1"/>
      <w:marLeft w:val="0"/>
      <w:marRight w:val="0"/>
      <w:marTop w:val="0"/>
      <w:marBottom w:val="0"/>
      <w:divBdr>
        <w:top w:val="none" w:sz="0" w:space="0" w:color="auto"/>
        <w:left w:val="none" w:sz="0" w:space="0" w:color="auto"/>
        <w:bottom w:val="none" w:sz="0" w:space="0" w:color="auto"/>
        <w:right w:val="none" w:sz="0" w:space="0" w:color="auto"/>
      </w:divBdr>
    </w:div>
    <w:div w:id="754088646">
      <w:bodyDiv w:val="1"/>
      <w:marLeft w:val="0"/>
      <w:marRight w:val="0"/>
      <w:marTop w:val="0"/>
      <w:marBottom w:val="0"/>
      <w:divBdr>
        <w:top w:val="none" w:sz="0" w:space="0" w:color="auto"/>
        <w:left w:val="none" w:sz="0" w:space="0" w:color="auto"/>
        <w:bottom w:val="none" w:sz="0" w:space="0" w:color="auto"/>
        <w:right w:val="none" w:sz="0" w:space="0" w:color="auto"/>
      </w:divBdr>
    </w:div>
    <w:div w:id="756559996">
      <w:bodyDiv w:val="1"/>
      <w:marLeft w:val="0"/>
      <w:marRight w:val="0"/>
      <w:marTop w:val="0"/>
      <w:marBottom w:val="0"/>
      <w:divBdr>
        <w:top w:val="none" w:sz="0" w:space="0" w:color="auto"/>
        <w:left w:val="none" w:sz="0" w:space="0" w:color="auto"/>
        <w:bottom w:val="none" w:sz="0" w:space="0" w:color="auto"/>
        <w:right w:val="none" w:sz="0" w:space="0" w:color="auto"/>
      </w:divBdr>
    </w:div>
    <w:div w:id="762801377">
      <w:bodyDiv w:val="1"/>
      <w:marLeft w:val="0"/>
      <w:marRight w:val="0"/>
      <w:marTop w:val="0"/>
      <w:marBottom w:val="0"/>
      <w:divBdr>
        <w:top w:val="none" w:sz="0" w:space="0" w:color="auto"/>
        <w:left w:val="none" w:sz="0" w:space="0" w:color="auto"/>
        <w:bottom w:val="none" w:sz="0" w:space="0" w:color="auto"/>
        <w:right w:val="none" w:sz="0" w:space="0" w:color="auto"/>
      </w:divBdr>
    </w:div>
    <w:div w:id="776877108">
      <w:bodyDiv w:val="1"/>
      <w:marLeft w:val="0"/>
      <w:marRight w:val="0"/>
      <w:marTop w:val="0"/>
      <w:marBottom w:val="0"/>
      <w:divBdr>
        <w:top w:val="none" w:sz="0" w:space="0" w:color="auto"/>
        <w:left w:val="none" w:sz="0" w:space="0" w:color="auto"/>
        <w:bottom w:val="none" w:sz="0" w:space="0" w:color="auto"/>
        <w:right w:val="none" w:sz="0" w:space="0" w:color="auto"/>
      </w:divBdr>
    </w:div>
    <w:div w:id="778991824">
      <w:bodyDiv w:val="1"/>
      <w:marLeft w:val="0"/>
      <w:marRight w:val="0"/>
      <w:marTop w:val="0"/>
      <w:marBottom w:val="0"/>
      <w:divBdr>
        <w:top w:val="none" w:sz="0" w:space="0" w:color="auto"/>
        <w:left w:val="none" w:sz="0" w:space="0" w:color="auto"/>
        <w:bottom w:val="none" w:sz="0" w:space="0" w:color="auto"/>
        <w:right w:val="none" w:sz="0" w:space="0" w:color="auto"/>
      </w:divBdr>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87552555">
      <w:bodyDiv w:val="1"/>
      <w:marLeft w:val="0"/>
      <w:marRight w:val="0"/>
      <w:marTop w:val="0"/>
      <w:marBottom w:val="0"/>
      <w:divBdr>
        <w:top w:val="none" w:sz="0" w:space="0" w:color="auto"/>
        <w:left w:val="none" w:sz="0" w:space="0" w:color="auto"/>
        <w:bottom w:val="none" w:sz="0" w:space="0" w:color="auto"/>
        <w:right w:val="none" w:sz="0" w:space="0" w:color="auto"/>
      </w:divBdr>
    </w:div>
    <w:div w:id="789473971">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814641656">
      <w:bodyDiv w:val="1"/>
      <w:marLeft w:val="0"/>
      <w:marRight w:val="0"/>
      <w:marTop w:val="0"/>
      <w:marBottom w:val="0"/>
      <w:divBdr>
        <w:top w:val="none" w:sz="0" w:space="0" w:color="auto"/>
        <w:left w:val="none" w:sz="0" w:space="0" w:color="auto"/>
        <w:bottom w:val="none" w:sz="0" w:space="0" w:color="auto"/>
        <w:right w:val="none" w:sz="0" w:space="0" w:color="auto"/>
      </w:divBdr>
    </w:div>
    <w:div w:id="820344059">
      <w:bodyDiv w:val="1"/>
      <w:marLeft w:val="0"/>
      <w:marRight w:val="0"/>
      <w:marTop w:val="0"/>
      <w:marBottom w:val="0"/>
      <w:divBdr>
        <w:top w:val="none" w:sz="0" w:space="0" w:color="auto"/>
        <w:left w:val="none" w:sz="0" w:space="0" w:color="auto"/>
        <w:bottom w:val="none" w:sz="0" w:space="0" w:color="auto"/>
        <w:right w:val="none" w:sz="0" w:space="0" w:color="auto"/>
      </w:divBdr>
    </w:div>
    <w:div w:id="839782405">
      <w:bodyDiv w:val="1"/>
      <w:marLeft w:val="0"/>
      <w:marRight w:val="0"/>
      <w:marTop w:val="0"/>
      <w:marBottom w:val="0"/>
      <w:divBdr>
        <w:top w:val="none" w:sz="0" w:space="0" w:color="auto"/>
        <w:left w:val="none" w:sz="0" w:space="0" w:color="auto"/>
        <w:bottom w:val="none" w:sz="0" w:space="0" w:color="auto"/>
        <w:right w:val="none" w:sz="0" w:space="0" w:color="auto"/>
      </w:divBdr>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9117204">
      <w:bodyDiv w:val="1"/>
      <w:marLeft w:val="0"/>
      <w:marRight w:val="0"/>
      <w:marTop w:val="0"/>
      <w:marBottom w:val="0"/>
      <w:divBdr>
        <w:top w:val="none" w:sz="0" w:space="0" w:color="auto"/>
        <w:left w:val="none" w:sz="0" w:space="0" w:color="auto"/>
        <w:bottom w:val="none" w:sz="0" w:space="0" w:color="auto"/>
        <w:right w:val="none" w:sz="0" w:space="0" w:color="auto"/>
      </w:divBdr>
      <w:divsChild>
        <w:div w:id="1276399653">
          <w:marLeft w:val="734"/>
          <w:marRight w:val="0"/>
          <w:marTop w:val="91"/>
          <w:marBottom w:val="0"/>
          <w:divBdr>
            <w:top w:val="none" w:sz="0" w:space="0" w:color="auto"/>
            <w:left w:val="none" w:sz="0" w:space="0" w:color="auto"/>
            <w:bottom w:val="none" w:sz="0" w:space="0" w:color="auto"/>
            <w:right w:val="none" w:sz="0" w:space="0" w:color="auto"/>
          </w:divBdr>
        </w:div>
      </w:divsChild>
    </w:div>
    <w:div w:id="929200082">
      <w:bodyDiv w:val="1"/>
      <w:marLeft w:val="0"/>
      <w:marRight w:val="0"/>
      <w:marTop w:val="0"/>
      <w:marBottom w:val="0"/>
      <w:divBdr>
        <w:top w:val="none" w:sz="0" w:space="0" w:color="auto"/>
        <w:left w:val="none" w:sz="0" w:space="0" w:color="auto"/>
        <w:bottom w:val="none" w:sz="0" w:space="0" w:color="auto"/>
        <w:right w:val="none" w:sz="0" w:space="0" w:color="auto"/>
      </w:divBdr>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54597713">
      <w:bodyDiv w:val="1"/>
      <w:marLeft w:val="0"/>
      <w:marRight w:val="0"/>
      <w:marTop w:val="0"/>
      <w:marBottom w:val="0"/>
      <w:divBdr>
        <w:top w:val="none" w:sz="0" w:space="0" w:color="auto"/>
        <w:left w:val="none" w:sz="0" w:space="0" w:color="auto"/>
        <w:bottom w:val="none" w:sz="0" w:space="0" w:color="auto"/>
        <w:right w:val="none" w:sz="0" w:space="0" w:color="auto"/>
      </w:divBdr>
    </w:div>
    <w:div w:id="957566358">
      <w:bodyDiv w:val="1"/>
      <w:marLeft w:val="0"/>
      <w:marRight w:val="0"/>
      <w:marTop w:val="0"/>
      <w:marBottom w:val="0"/>
      <w:divBdr>
        <w:top w:val="none" w:sz="0" w:space="0" w:color="auto"/>
        <w:left w:val="none" w:sz="0" w:space="0" w:color="auto"/>
        <w:bottom w:val="none" w:sz="0" w:space="0" w:color="auto"/>
        <w:right w:val="none" w:sz="0" w:space="0" w:color="auto"/>
      </w:divBdr>
    </w:div>
    <w:div w:id="964576605">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87249442">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52117683">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63219989">
      <w:bodyDiv w:val="1"/>
      <w:marLeft w:val="0"/>
      <w:marRight w:val="0"/>
      <w:marTop w:val="0"/>
      <w:marBottom w:val="0"/>
      <w:divBdr>
        <w:top w:val="none" w:sz="0" w:space="0" w:color="auto"/>
        <w:left w:val="none" w:sz="0" w:space="0" w:color="auto"/>
        <w:bottom w:val="none" w:sz="0" w:space="0" w:color="auto"/>
        <w:right w:val="none" w:sz="0" w:space="0" w:color="auto"/>
      </w:divBdr>
      <w:divsChild>
        <w:div w:id="928851472">
          <w:marLeft w:val="150"/>
          <w:marRight w:val="0"/>
          <w:marTop w:val="0"/>
          <w:marBottom w:val="0"/>
          <w:divBdr>
            <w:top w:val="none" w:sz="0" w:space="0" w:color="auto"/>
            <w:left w:val="none" w:sz="0" w:space="0" w:color="auto"/>
            <w:bottom w:val="none" w:sz="0" w:space="0" w:color="auto"/>
            <w:right w:val="none" w:sz="0" w:space="0" w:color="auto"/>
          </w:divBdr>
          <w:divsChild>
            <w:div w:id="705375259">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
                <w:div w:id="1962034028">
                  <w:marLeft w:val="0"/>
                  <w:marRight w:val="0"/>
                  <w:marTop w:val="0"/>
                  <w:marBottom w:val="0"/>
                  <w:divBdr>
                    <w:top w:val="none" w:sz="0" w:space="0" w:color="auto"/>
                    <w:left w:val="none" w:sz="0" w:space="0" w:color="auto"/>
                    <w:bottom w:val="none" w:sz="0" w:space="0" w:color="auto"/>
                    <w:right w:val="none" w:sz="0" w:space="0" w:color="auto"/>
                  </w:divBdr>
                </w:div>
              </w:divsChild>
            </w:div>
            <w:div w:id="968557214">
              <w:marLeft w:val="0"/>
              <w:marRight w:val="0"/>
              <w:marTop w:val="225"/>
              <w:marBottom w:val="0"/>
              <w:divBdr>
                <w:top w:val="none" w:sz="0" w:space="0" w:color="auto"/>
                <w:left w:val="none" w:sz="0" w:space="0" w:color="auto"/>
                <w:bottom w:val="none" w:sz="0" w:space="0" w:color="auto"/>
                <w:right w:val="none" w:sz="0" w:space="0" w:color="auto"/>
              </w:divBdr>
              <w:divsChild>
                <w:div w:id="6760365">
                  <w:marLeft w:val="0"/>
                  <w:marRight w:val="0"/>
                  <w:marTop w:val="0"/>
                  <w:marBottom w:val="0"/>
                  <w:divBdr>
                    <w:top w:val="none" w:sz="0" w:space="0" w:color="auto"/>
                    <w:left w:val="none" w:sz="0" w:space="0" w:color="auto"/>
                    <w:bottom w:val="none" w:sz="0" w:space="0" w:color="auto"/>
                    <w:right w:val="none" w:sz="0" w:space="0" w:color="auto"/>
                  </w:divBdr>
                </w:div>
                <w:div w:id="638925574">
                  <w:marLeft w:val="0"/>
                  <w:marRight w:val="0"/>
                  <w:marTop w:val="0"/>
                  <w:marBottom w:val="0"/>
                  <w:divBdr>
                    <w:top w:val="none" w:sz="0" w:space="0" w:color="auto"/>
                    <w:left w:val="none" w:sz="0" w:space="0" w:color="auto"/>
                    <w:bottom w:val="none" w:sz="0" w:space="0" w:color="auto"/>
                    <w:right w:val="none" w:sz="0" w:space="0" w:color="auto"/>
                  </w:divBdr>
                </w:div>
              </w:divsChild>
            </w:div>
            <w:div w:id="1036658242">
              <w:marLeft w:val="0"/>
              <w:marRight w:val="0"/>
              <w:marTop w:val="225"/>
              <w:marBottom w:val="0"/>
              <w:divBdr>
                <w:top w:val="none" w:sz="0" w:space="0" w:color="auto"/>
                <w:left w:val="none" w:sz="0" w:space="0" w:color="auto"/>
                <w:bottom w:val="none" w:sz="0" w:space="0" w:color="auto"/>
                <w:right w:val="none" w:sz="0" w:space="0" w:color="auto"/>
              </w:divBdr>
              <w:divsChild>
                <w:div w:id="507864006">
                  <w:marLeft w:val="0"/>
                  <w:marRight w:val="0"/>
                  <w:marTop w:val="0"/>
                  <w:marBottom w:val="0"/>
                  <w:divBdr>
                    <w:top w:val="none" w:sz="0" w:space="0" w:color="auto"/>
                    <w:left w:val="none" w:sz="0" w:space="0" w:color="auto"/>
                    <w:bottom w:val="none" w:sz="0" w:space="0" w:color="auto"/>
                    <w:right w:val="none" w:sz="0" w:space="0" w:color="auto"/>
                  </w:divBdr>
                </w:div>
                <w:div w:id="1638418394">
                  <w:marLeft w:val="0"/>
                  <w:marRight w:val="0"/>
                  <w:marTop w:val="0"/>
                  <w:marBottom w:val="0"/>
                  <w:divBdr>
                    <w:top w:val="none" w:sz="0" w:space="0" w:color="auto"/>
                    <w:left w:val="none" w:sz="0" w:space="0" w:color="auto"/>
                    <w:bottom w:val="none" w:sz="0" w:space="0" w:color="auto"/>
                    <w:right w:val="none" w:sz="0" w:space="0" w:color="auto"/>
                  </w:divBdr>
                </w:div>
              </w:divsChild>
            </w:div>
            <w:div w:id="2104911847">
              <w:marLeft w:val="0"/>
              <w:marRight w:val="0"/>
              <w:marTop w:val="225"/>
              <w:marBottom w:val="0"/>
              <w:divBdr>
                <w:top w:val="none" w:sz="0" w:space="0" w:color="auto"/>
                <w:left w:val="none" w:sz="0" w:space="0" w:color="auto"/>
                <w:bottom w:val="none" w:sz="0" w:space="0" w:color="auto"/>
                <w:right w:val="none" w:sz="0" w:space="0" w:color="auto"/>
              </w:divBdr>
              <w:divsChild>
                <w:div w:id="13018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097139277">
      <w:bodyDiv w:val="1"/>
      <w:marLeft w:val="0"/>
      <w:marRight w:val="0"/>
      <w:marTop w:val="0"/>
      <w:marBottom w:val="0"/>
      <w:divBdr>
        <w:top w:val="none" w:sz="0" w:space="0" w:color="auto"/>
        <w:left w:val="none" w:sz="0" w:space="0" w:color="auto"/>
        <w:bottom w:val="none" w:sz="0" w:space="0" w:color="auto"/>
        <w:right w:val="none" w:sz="0" w:space="0" w:color="auto"/>
      </w:divBdr>
    </w:div>
    <w:div w:id="1116676168">
      <w:bodyDiv w:val="1"/>
      <w:marLeft w:val="0"/>
      <w:marRight w:val="0"/>
      <w:marTop w:val="0"/>
      <w:marBottom w:val="0"/>
      <w:divBdr>
        <w:top w:val="none" w:sz="0" w:space="0" w:color="auto"/>
        <w:left w:val="none" w:sz="0" w:space="0" w:color="auto"/>
        <w:bottom w:val="none" w:sz="0" w:space="0" w:color="auto"/>
        <w:right w:val="none" w:sz="0" w:space="0" w:color="auto"/>
      </w:divBdr>
      <w:divsChild>
        <w:div w:id="212237129">
          <w:marLeft w:val="0"/>
          <w:marRight w:val="0"/>
          <w:marTop w:val="0"/>
          <w:marBottom w:val="0"/>
          <w:divBdr>
            <w:top w:val="none" w:sz="0" w:space="0" w:color="auto"/>
            <w:left w:val="none" w:sz="0" w:space="0" w:color="auto"/>
            <w:bottom w:val="none" w:sz="0" w:space="0" w:color="auto"/>
            <w:right w:val="none" w:sz="0" w:space="0" w:color="auto"/>
          </w:divBdr>
          <w:divsChild>
            <w:div w:id="1716388307">
              <w:marLeft w:val="0"/>
              <w:marRight w:val="0"/>
              <w:marTop w:val="0"/>
              <w:marBottom w:val="0"/>
              <w:divBdr>
                <w:top w:val="none" w:sz="0" w:space="0" w:color="auto"/>
                <w:left w:val="none" w:sz="0" w:space="0" w:color="auto"/>
                <w:bottom w:val="none" w:sz="0" w:space="0" w:color="auto"/>
                <w:right w:val="none" w:sz="0" w:space="0" w:color="auto"/>
              </w:divBdr>
              <w:divsChild>
                <w:div w:id="1181624953">
                  <w:marLeft w:val="0"/>
                  <w:marRight w:val="0"/>
                  <w:marTop w:val="0"/>
                  <w:marBottom w:val="0"/>
                  <w:divBdr>
                    <w:top w:val="none" w:sz="0" w:space="0" w:color="auto"/>
                    <w:left w:val="none" w:sz="0" w:space="0" w:color="auto"/>
                    <w:bottom w:val="none" w:sz="0" w:space="0" w:color="auto"/>
                    <w:right w:val="none" w:sz="0" w:space="0" w:color="auto"/>
                  </w:divBdr>
                  <w:divsChild>
                    <w:div w:id="113895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03441315">
      <w:bodyDiv w:val="1"/>
      <w:marLeft w:val="0"/>
      <w:marRight w:val="0"/>
      <w:marTop w:val="0"/>
      <w:marBottom w:val="0"/>
      <w:divBdr>
        <w:top w:val="none" w:sz="0" w:space="0" w:color="auto"/>
        <w:left w:val="none" w:sz="0" w:space="0" w:color="auto"/>
        <w:bottom w:val="none" w:sz="0" w:space="0" w:color="auto"/>
        <w:right w:val="none" w:sz="0" w:space="0" w:color="auto"/>
      </w:divBdr>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292248473">
      <w:bodyDiv w:val="1"/>
      <w:marLeft w:val="0"/>
      <w:marRight w:val="0"/>
      <w:marTop w:val="0"/>
      <w:marBottom w:val="0"/>
      <w:divBdr>
        <w:top w:val="none" w:sz="0" w:space="0" w:color="auto"/>
        <w:left w:val="none" w:sz="0" w:space="0" w:color="auto"/>
        <w:bottom w:val="none" w:sz="0" w:space="0" w:color="auto"/>
        <w:right w:val="none" w:sz="0" w:space="0" w:color="auto"/>
      </w:divBdr>
    </w:div>
    <w:div w:id="1293708398">
      <w:bodyDiv w:val="1"/>
      <w:marLeft w:val="0"/>
      <w:marRight w:val="0"/>
      <w:marTop w:val="0"/>
      <w:marBottom w:val="0"/>
      <w:divBdr>
        <w:top w:val="none" w:sz="0" w:space="0" w:color="auto"/>
        <w:left w:val="none" w:sz="0" w:space="0" w:color="auto"/>
        <w:bottom w:val="none" w:sz="0" w:space="0" w:color="auto"/>
        <w:right w:val="none" w:sz="0" w:space="0" w:color="auto"/>
      </w:divBdr>
    </w:div>
    <w:div w:id="1388604309">
      <w:bodyDiv w:val="1"/>
      <w:marLeft w:val="0"/>
      <w:marRight w:val="0"/>
      <w:marTop w:val="0"/>
      <w:marBottom w:val="0"/>
      <w:divBdr>
        <w:top w:val="none" w:sz="0" w:space="0" w:color="auto"/>
        <w:left w:val="none" w:sz="0" w:space="0" w:color="auto"/>
        <w:bottom w:val="none" w:sz="0" w:space="0" w:color="auto"/>
        <w:right w:val="none" w:sz="0" w:space="0" w:color="auto"/>
      </w:divBdr>
    </w:div>
    <w:div w:id="1403408230">
      <w:bodyDiv w:val="1"/>
      <w:marLeft w:val="0"/>
      <w:marRight w:val="0"/>
      <w:marTop w:val="0"/>
      <w:marBottom w:val="0"/>
      <w:divBdr>
        <w:top w:val="none" w:sz="0" w:space="0" w:color="auto"/>
        <w:left w:val="none" w:sz="0" w:space="0" w:color="auto"/>
        <w:bottom w:val="none" w:sz="0" w:space="0" w:color="auto"/>
        <w:right w:val="none" w:sz="0" w:space="0" w:color="auto"/>
      </w:divBdr>
    </w:div>
    <w:div w:id="1407072280">
      <w:bodyDiv w:val="1"/>
      <w:marLeft w:val="0"/>
      <w:marRight w:val="0"/>
      <w:marTop w:val="0"/>
      <w:marBottom w:val="0"/>
      <w:divBdr>
        <w:top w:val="none" w:sz="0" w:space="0" w:color="auto"/>
        <w:left w:val="none" w:sz="0" w:space="0" w:color="auto"/>
        <w:bottom w:val="none" w:sz="0" w:space="0" w:color="auto"/>
        <w:right w:val="none" w:sz="0" w:space="0" w:color="auto"/>
      </w:divBdr>
    </w:div>
    <w:div w:id="1413354752">
      <w:bodyDiv w:val="1"/>
      <w:marLeft w:val="0"/>
      <w:marRight w:val="0"/>
      <w:marTop w:val="0"/>
      <w:marBottom w:val="0"/>
      <w:divBdr>
        <w:top w:val="none" w:sz="0" w:space="0" w:color="auto"/>
        <w:left w:val="none" w:sz="0" w:space="0" w:color="auto"/>
        <w:bottom w:val="none" w:sz="0" w:space="0" w:color="auto"/>
        <w:right w:val="none" w:sz="0" w:space="0" w:color="auto"/>
      </w:divBdr>
      <w:divsChild>
        <w:div w:id="59181265">
          <w:marLeft w:val="0"/>
          <w:marRight w:val="0"/>
          <w:marTop w:val="0"/>
          <w:marBottom w:val="0"/>
          <w:divBdr>
            <w:top w:val="none" w:sz="0" w:space="0" w:color="auto"/>
            <w:left w:val="none" w:sz="0" w:space="0" w:color="auto"/>
            <w:bottom w:val="none" w:sz="0" w:space="0" w:color="auto"/>
            <w:right w:val="none" w:sz="0" w:space="0" w:color="auto"/>
          </w:divBdr>
          <w:divsChild>
            <w:div w:id="1469863692">
              <w:marLeft w:val="0"/>
              <w:marRight w:val="0"/>
              <w:marTop w:val="0"/>
              <w:marBottom w:val="0"/>
              <w:divBdr>
                <w:top w:val="none" w:sz="0" w:space="0" w:color="auto"/>
                <w:left w:val="none" w:sz="0" w:space="0" w:color="auto"/>
                <w:bottom w:val="none" w:sz="0" w:space="0" w:color="auto"/>
                <w:right w:val="none" w:sz="0" w:space="0" w:color="auto"/>
              </w:divBdr>
              <w:divsChild>
                <w:div w:id="2011444123">
                  <w:marLeft w:val="0"/>
                  <w:marRight w:val="0"/>
                  <w:marTop w:val="0"/>
                  <w:marBottom w:val="0"/>
                  <w:divBdr>
                    <w:top w:val="none" w:sz="0" w:space="0" w:color="auto"/>
                    <w:left w:val="none" w:sz="0" w:space="0" w:color="auto"/>
                    <w:bottom w:val="none" w:sz="0" w:space="0" w:color="auto"/>
                    <w:right w:val="none" w:sz="0" w:space="0" w:color="auto"/>
                  </w:divBdr>
                  <w:divsChild>
                    <w:div w:id="19493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33208">
      <w:bodyDiv w:val="1"/>
      <w:marLeft w:val="0"/>
      <w:marRight w:val="0"/>
      <w:marTop w:val="0"/>
      <w:marBottom w:val="0"/>
      <w:divBdr>
        <w:top w:val="none" w:sz="0" w:space="0" w:color="auto"/>
        <w:left w:val="none" w:sz="0" w:space="0" w:color="auto"/>
        <w:bottom w:val="none" w:sz="0" w:space="0" w:color="auto"/>
        <w:right w:val="none" w:sz="0" w:space="0" w:color="auto"/>
      </w:divBdr>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80684205">
      <w:bodyDiv w:val="1"/>
      <w:marLeft w:val="0"/>
      <w:marRight w:val="0"/>
      <w:marTop w:val="0"/>
      <w:marBottom w:val="0"/>
      <w:divBdr>
        <w:top w:val="none" w:sz="0" w:space="0" w:color="auto"/>
        <w:left w:val="none" w:sz="0" w:space="0" w:color="auto"/>
        <w:bottom w:val="none" w:sz="0" w:space="0" w:color="auto"/>
        <w:right w:val="none" w:sz="0" w:space="0" w:color="auto"/>
      </w:divBdr>
    </w:div>
    <w:div w:id="1484353505">
      <w:bodyDiv w:val="1"/>
      <w:marLeft w:val="0"/>
      <w:marRight w:val="0"/>
      <w:marTop w:val="0"/>
      <w:marBottom w:val="0"/>
      <w:divBdr>
        <w:top w:val="none" w:sz="0" w:space="0" w:color="auto"/>
        <w:left w:val="none" w:sz="0" w:space="0" w:color="auto"/>
        <w:bottom w:val="none" w:sz="0" w:space="0" w:color="auto"/>
        <w:right w:val="none" w:sz="0" w:space="0" w:color="auto"/>
      </w:divBdr>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492213060">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22738554">
      <w:bodyDiv w:val="1"/>
      <w:marLeft w:val="0"/>
      <w:marRight w:val="0"/>
      <w:marTop w:val="0"/>
      <w:marBottom w:val="0"/>
      <w:divBdr>
        <w:top w:val="none" w:sz="0" w:space="0" w:color="auto"/>
        <w:left w:val="none" w:sz="0" w:space="0" w:color="auto"/>
        <w:bottom w:val="none" w:sz="0" w:space="0" w:color="auto"/>
        <w:right w:val="none" w:sz="0" w:space="0" w:color="auto"/>
      </w:divBdr>
    </w:div>
    <w:div w:id="1524976764">
      <w:bodyDiv w:val="1"/>
      <w:marLeft w:val="0"/>
      <w:marRight w:val="0"/>
      <w:marTop w:val="0"/>
      <w:marBottom w:val="0"/>
      <w:divBdr>
        <w:top w:val="none" w:sz="0" w:space="0" w:color="auto"/>
        <w:left w:val="none" w:sz="0" w:space="0" w:color="auto"/>
        <w:bottom w:val="none" w:sz="0" w:space="0" w:color="auto"/>
        <w:right w:val="none" w:sz="0" w:space="0" w:color="auto"/>
      </w:divBdr>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578435437">
      <w:bodyDiv w:val="1"/>
      <w:marLeft w:val="0"/>
      <w:marRight w:val="0"/>
      <w:marTop w:val="0"/>
      <w:marBottom w:val="0"/>
      <w:divBdr>
        <w:top w:val="none" w:sz="0" w:space="0" w:color="auto"/>
        <w:left w:val="none" w:sz="0" w:space="0" w:color="auto"/>
        <w:bottom w:val="none" w:sz="0" w:space="0" w:color="auto"/>
        <w:right w:val="none" w:sz="0" w:space="0" w:color="auto"/>
      </w:divBdr>
    </w:div>
    <w:div w:id="1586300987">
      <w:bodyDiv w:val="1"/>
      <w:marLeft w:val="0"/>
      <w:marRight w:val="0"/>
      <w:marTop w:val="0"/>
      <w:marBottom w:val="0"/>
      <w:divBdr>
        <w:top w:val="none" w:sz="0" w:space="0" w:color="auto"/>
        <w:left w:val="none" w:sz="0" w:space="0" w:color="auto"/>
        <w:bottom w:val="none" w:sz="0" w:space="0" w:color="auto"/>
        <w:right w:val="none" w:sz="0" w:space="0" w:color="auto"/>
      </w:divBdr>
    </w:div>
    <w:div w:id="1595934830">
      <w:bodyDiv w:val="1"/>
      <w:marLeft w:val="0"/>
      <w:marRight w:val="0"/>
      <w:marTop w:val="0"/>
      <w:marBottom w:val="0"/>
      <w:divBdr>
        <w:top w:val="none" w:sz="0" w:space="0" w:color="auto"/>
        <w:left w:val="none" w:sz="0" w:space="0" w:color="auto"/>
        <w:bottom w:val="none" w:sz="0" w:space="0" w:color="auto"/>
        <w:right w:val="none" w:sz="0" w:space="0" w:color="auto"/>
      </w:divBdr>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17985249">
      <w:bodyDiv w:val="1"/>
      <w:marLeft w:val="0"/>
      <w:marRight w:val="0"/>
      <w:marTop w:val="0"/>
      <w:marBottom w:val="0"/>
      <w:divBdr>
        <w:top w:val="none" w:sz="0" w:space="0" w:color="auto"/>
        <w:left w:val="none" w:sz="0" w:space="0" w:color="auto"/>
        <w:bottom w:val="none" w:sz="0" w:space="0" w:color="auto"/>
        <w:right w:val="none" w:sz="0" w:space="0" w:color="auto"/>
      </w:divBdr>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42419076">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53753495">
      <w:bodyDiv w:val="1"/>
      <w:marLeft w:val="0"/>
      <w:marRight w:val="0"/>
      <w:marTop w:val="0"/>
      <w:marBottom w:val="0"/>
      <w:divBdr>
        <w:top w:val="none" w:sz="0" w:space="0" w:color="auto"/>
        <w:left w:val="none" w:sz="0" w:space="0" w:color="auto"/>
        <w:bottom w:val="none" w:sz="0" w:space="0" w:color="auto"/>
        <w:right w:val="none" w:sz="0" w:space="0" w:color="auto"/>
      </w:divBdr>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66129545">
      <w:bodyDiv w:val="1"/>
      <w:marLeft w:val="0"/>
      <w:marRight w:val="0"/>
      <w:marTop w:val="0"/>
      <w:marBottom w:val="0"/>
      <w:divBdr>
        <w:top w:val="none" w:sz="0" w:space="0" w:color="auto"/>
        <w:left w:val="none" w:sz="0" w:space="0" w:color="auto"/>
        <w:bottom w:val="none" w:sz="0" w:space="0" w:color="auto"/>
        <w:right w:val="none" w:sz="0" w:space="0" w:color="auto"/>
      </w:divBdr>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725326687">
      <w:bodyDiv w:val="1"/>
      <w:marLeft w:val="0"/>
      <w:marRight w:val="0"/>
      <w:marTop w:val="0"/>
      <w:marBottom w:val="0"/>
      <w:divBdr>
        <w:top w:val="none" w:sz="0" w:space="0" w:color="auto"/>
        <w:left w:val="none" w:sz="0" w:space="0" w:color="auto"/>
        <w:bottom w:val="none" w:sz="0" w:space="0" w:color="auto"/>
        <w:right w:val="none" w:sz="0" w:space="0" w:color="auto"/>
      </w:divBdr>
    </w:div>
    <w:div w:id="1729647935">
      <w:bodyDiv w:val="1"/>
      <w:marLeft w:val="0"/>
      <w:marRight w:val="0"/>
      <w:marTop w:val="0"/>
      <w:marBottom w:val="0"/>
      <w:divBdr>
        <w:top w:val="none" w:sz="0" w:space="0" w:color="auto"/>
        <w:left w:val="none" w:sz="0" w:space="0" w:color="auto"/>
        <w:bottom w:val="none" w:sz="0" w:space="0" w:color="auto"/>
        <w:right w:val="none" w:sz="0" w:space="0" w:color="auto"/>
      </w:divBdr>
    </w:div>
    <w:div w:id="1731612707">
      <w:bodyDiv w:val="1"/>
      <w:marLeft w:val="0"/>
      <w:marRight w:val="0"/>
      <w:marTop w:val="0"/>
      <w:marBottom w:val="0"/>
      <w:divBdr>
        <w:top w:val="none" w:sz="0" w:space="0" w:color="auto"/>
        <w:left w:val="none" w:sz="0" w:space="0" w:color="auto"/>
        <w:bottom w:val="none" w:sz="0" w:space="0" w:color="auto"/>
        <w:right w:val="none" w:sz="0" w:space="0" w:color="auto"/>
      </w:divBdr>
    </w:div>
    <w:div w:id="1767581484">
      <w:bodyDiv w:val="1"/>
      <w:marLeft w:val="0"/>
      <w:marRight w:val="0"/>
      <w:marTop w:val="0"/>
      <w:marBottom w:val="0"/>
      <w:divBdr>
        <w:top w:val="none" w:sz="0" w:space="0" w:color="auto"/>
        <w:left w:val="none" w:sz="0" w:space="0" w:color="auto"/>
        <w:bottom w:val="none" w:sz="0" w:space="0" w:color="auto"/>
        <w:right w:val="none" w:sz="0" w:space="0" w:color="auto"/>
      </w:divBdr>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791780494">
      <w:bodyDiv w:val="1"/>
      <w:marLeft w:val="0"/>
      <w:marRight w:val="0"/>
      <w:marTop w:val="0"/>
      <w:marBottom w:val="0"/>
      <w:divBdr>
        <w:top w:val="none" w:sz="0" w:space="0" w:color="auto"/>
        <w:left w:val="none" w:sz="0" w:space="0" w:color="auto"/>
        <w:bottom w:val="none" w:sz="0" w:space="0" w:color="auto"/>
        <w:right w:val="none" w:sz="0" w:space="0" w:color="auto"/>
      </w:divBdr>
    </w:div>
    <w:div w:id="1793985758">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10973120">
      <w:bodyDiv w:val="1"/>
      <w:marLeft w:val="0"/>
      <w:marRight w:val="0"/>
      <w:marTop w:val="0"/>
      <w:marBottom w:val="0"/>
      <w:divBdr>
        <w:top w:val="none" w:sz="0" w:space="0" w:color="auto"/>
        <w:left w:val="none" w:sz="0" w:space="0" w:color="auto"/>
        <w:bottom w:val="none" w:sz="0" w:space="0" w:color="auto"/>
        <w:right w:val="none" w:sz="0" w:space="0" w:color="auto"/>
      </w:divBdr>
    </w:div>
    <w:div w:id="1813207286">
      <w:bodyDiv w:val="1"/>
      <w:marLeft w:val="0"/>
      <w:marRight w:val="0"/>
      <w:marTop w:val="0"/>
      <w:marBottom w:val="0"/>
      <w:divBdr>
        <w:top w:val="none" w:sz="0" w:space="0" w:color="auto"/>
        <w:left w:val="none" w:sz="0" w:space="0" w:color="auto"/>
        <w:bottom w:val="none" w:sz="0" w:space="0" w:color="auto"/>
        <w:right w:val="none" w:sz="0" w:space="0" w:color="auto"/>
      </w:divBdr>
    </w:div>
    <w:div w:id="1830637904">
      <w:bodyDiv w:val="1"/>
      <w:marLeft w:val="0"/>
      <w:marRight w:val="0"/>
      <w:marTop w:val="0"/>
      <w:marBottom w:val="0"/>
      <w:divBdr>
        <w:top w:val="none" w:sz="0" w:space="0" w:color="auto"/>
        <w:left w:val="none" w:sz="0" w:space="0" w:color="auto"/>
        <w:bottom w:val="none" w:sz="0" w:space="0" w:color="auto"/>
        <w:right w:val="none" w:sz="0" w:space="0" w:color="auto"/>
      </w:divBdr>
      <w:divsChild>
        <w:div w:id="24603006">
          <w:marLeft w:val="0"/>
          <w:marRight w:val="0"/>
          <w:marTop w:val="0"/>
          <w:marBottom w:val="0"/>
          <w:divBdr>
            <w:top w:val="none" w:sz="0" w:space="0" w:color="auto"/>
            <w:left w:val="none" w:sz="0" w:space="0" w:color="auto"/>
            <w:bottom w:val="none" w:sz="0" w:space="0" w:color="auto"/>
            <w:right w:val="none" w:sz="0" w:space="0" w:color="auto"/>
          </w:divBdr>
        </w:div>
        <w:div w:id="29378357">
          <w:marLeft w:val="0"/>
          <w:marRight w:val="0"/>
          <w:marTop w:val="0"/>
          <w:marBottom w:val="0"/>
          <w:divBdr>
            <w:top w:val="none" w:sz="0" w:space="0" w:color="auto"/>
            <w:left w:val="none" w:sz="0" w:space="0" w:color="auto"/>
            <w:bottom w:val="none" w:sz="0" w:space="0" w:color="auto"/>
            <w:right w:val="none" w:sz="0" w:space="0" w:color="auto"/>
          </w:divBdr>
        </w:div>
        <w:div w:id="41710874">
          <w:marLeft w:val="0"/>
          <w:marRight w:val="0"/>
          <w:marTop w:val="0"/>
          <w:marBottom w:val="0"/>
          <w:divBdr>
            <w:top w:val="none" w:sz="0" w:space="0" w:color="auto"/>
            <w:left w:val="none" w:sz="0" w:space="0" w:color="auto"/>
            <w:bottom w:val="none" w:sz="0" w:space="0" w:color="auto"/>
            <w:right w:val="none" w:sz="0" w:space="0" w:color="auto"/>
          </w:divBdr>
        </w:div>
        <w:div w:id="109445357">
          <w:marLeft w:val="0"/>
          <w:marRight w:val="0"/>
          <w:marTop w:val="0"/>
          <w:marBottom w:val="0"/>
          <w:divBdr>
            <w:top w:val="none" w:sz="0" w:space="0" w:color="auto"/>
            <w:left w:val="none" w:sz="0" w:space="0" w:color="auto"/>
            <w:bottom w:val="none" w:sz="0" w:space="0" w:color="auto"/>
            <w:right w:val="none" w:sz="0" w:space="0" w:color="auto"/>
          </w:divBdr>
        </w:div>
        <w:div w:id="158615883">
          <w:marLeft w:val="0"/>
          <w:marRight w:val="0"/>
          <w:marTop w:val="0"/>
          <w:marBottom w:val="0"/>
          <w:divBdr>
            <w:top w:val="none" w:sz="0" w:space="0" w:color="auto"/>
            <w:left w:val="none" w:sz="0" w:space="0" w:color="auto"/>
            <w:bottom w:val="none" w:sz="0" w:space="0" w:color="auto"/>
            <w:right w:val="none" w:sz="0" w:space="0" w:color="auto"/>
          </w:divBdr>
        </w:div>
        <w:div w:id="215095360">
          <w:marLeft w:val="0"/>
          <w:marRight w:val="0"/>
          <w:marTop w:val="0"/>
          <w:marBottom w:val="0"/>
          <w:divBdr>
            <w:top w:val="none" w:sz="0" w:space="0" w:color="auto"/>
            <w:left w:val="none" w:sz="0" w:space="0" w:color="auto"/>
            <w:bottom w:val="none" w:sz="0" w:space="0" w:color="auto"/>
            <w:right w:val="none" w:sz="0" w:space="0" w:color="auto"/>
          </w:divBdr>
        </w:div>
        <w:div w:id="321541053">
          <w:marLeft w:val="0"/>
          <w:marRight w:val="0"/>
          <w:marTop w:val="0"/>
          <w:marBottom w:val="0"/>
          <w:divBdr>
            <w:top w:val="none" w:sz="0" w:space="0" w:color="auto"/>
            <w:left w:val="none" w:sz="0" w:space="0" w:color="auto"/>
            <w:bottom w:val="none" w:sz="0" w:space="0" w:color="auto"/>
            <w:right w:val="none" w:sz="0" w:space="0" w:color="auto"/>
          </w:divBdr>
        </w:div>
        <w:div w:id="384644628">
          <w:marLeft w:val="0"/>
          <w:marRight w:val="0"/>
          <w:marTop w:val="0"/>
          <w:marBottom w:val="0"/>
          <w:divBdr>
            <w:top w:val="none" w:sz="0" w:space="0" w:color="auto"/>
            <w:left w:val="none" w:sz="0" w:space="0" w:color="auto"/>
            <w:bottom w:val="none" w:sz="0" w:space="0" w:color="auto"/>
            <w:right w:val="none" w:sz="0" w:space="0" w:color="auto"/>
          </w:divBdr>
        </w:div>
        <w:div w:id="385373835">
          <w:marLeft w:val="0"/>
          <w:marRight w:val="0"/>
          <w:marTop w:val="0"/>
          <w:marBottom w:val="0"/>
          <w:divBdr>
            <w:top w:val="none" w:sz="0" w:space="0" w:color="auto"/>
            <w:left w:val="none" w:sz="0" w:space="0" w:color="auto"/>
            <w:bottom w:val="none" w:sz="0" w:space="0" w:color="auto"/>
            <w:right w:val="none" w:sz="0" w:space="0" w:color="auto"/>
          </w:divBdr>
        </w:div>
        <w:div w:id="387191398">
          <w:marLeft w:val="0"/>
          <w:marRight w:val="0"/>
          <w:marTop w:val="0"/>
          <w:marBottom w:val="0"/>
          <w:divBdr>
            <w:top w:val="none" w:sz="0" w:space="0" w:color="auto"/>
            <w:left w:val="none" w:sz="0" w:space="0" w:color="auto"/>
            <w:bottom w:val="none" w:sz="0" w:space="0" w:color="auto"/>
            <w:right w:val="none" w:sz="0" w:space="0" w:color="auto"/>
          </w:divBdr>
        </w:div>
        <w:div w:id="434638205">
          <w:marLeft w:val="0"/>
          <w:marRight w:val="0"/>
          <w:marTop w:val="0"/>
          <w:marBottom w:val="0"/>
          <w:divBdr>
            <w:top w:val="none" w:sz="0" w:space="0" w:color="auto"/>
            <w:left w:val="none" w:sz="0" w:space="0" w:color="auto"/>
            <w:bottom w:val="none" w:sz="0" w:space="0" w:color="auto"/>
            <w:right w:val="none" w:sz="0" w:space="0" w:color="auto"/>
          </w:divBdr>
        </w:div>
        <w:div w:id="559245287">
          <w:marLeft w:val="0"/>
          <w:marRight w:val="0"/>
          <w:marTop w:val="0"/>
          <w:marBottom w:val="0"/>
          <w:divBdr>
            <w:top w:val="none" w:sz="0" w:space="0" w:color="auto"/>
            <w:left w:val="none" w:sz="0" w:space="0" w:color="auto"/>
            <w:bottom w:val="none" w:sz="0" w:space="0" w:color="auto"/>
            <w:right w:val="none" w:sz="0" w:space="0" w:color="auto"/>
          </w:divBdr>
        </w:div>
        <w:div w:id="642584752">
          <w:marLeft w:val="0"/>
          <w:marRight w:val="0"/>
          <w:marTop w:val="0"/>
          <w:marBottom w:val="0"/>
          <w:divBdr>
            <w:top w:val="none" w:sz="0" w:space="0" w:color="auto"/>
            <w:left w:val="none" w:sz="0" w:space="0" w:color="auto"/>
            <w:bottom w:val="none" w:sz="0" w:space="0" w:color="auto"/>
            <w:right w:val="none" w:sz="0" w:space="0" w:color="auto"/>
          </w:divBdr>
        </w:div>
        <w:div w:id="769424560">
          <w:marLeft w:val="0"/>
          <w:marRight w:val="0"/>
          <w:marTop w:val="0"/>
          <w:marBottom w:val="0"/>
          <w:divBdr>
            <w:top w:val="none" w:sz="0" w:space="0" w:color="auto"/>
            <w:left w:val="none" w:sz="0" w:space="0" w:color="auto"/>
            <w:bottom w:val="none" w:sz="0" w:space="0" w:color="auto"/>
            <w:right w:val="none" w:sz="0" w:space="0" w:color="auto"/>
          </w:divBdr>
        </w:div>
        <w:div w:id="859663048">
          <w:marLeft w:val="0"/>
          <w:marRight w:val="0"/>
          <w:marTop w:val="0"/>
          <w:marBottom w:val="0"/>
          <w:divBdr>
            <w:top w:val="none" w:sz="0" w:space="0" w:color="auto"/>
            <w:left w:val="none" w:sz="0" w:space="0" w:color="auto"/>
            <w:bottom w:val="none" w:sz="0" w:space="0" w:color="auto"/>
            <w:right w:val="none" w:sz="0" w:space="0" w:color="auto"/>
          </w:divBdr>
        </w:div>
        <w:div w:id="905796320">
          <w:marLeft w:val="0"/>
          <w:marRight w:val="0"/>
          <w:marTop w:val="0"/>
          <w:marBottom w:val="0"/>
          <w:divBdr>
            <w:top w:val="none" w:sz="0" w:space="0" w:color="auto"/>
            <w:left w:val="none" w:sz="0" w:space="0" w:color="auto"/>
            <w:bottom w:val="none" w:sz="0" w:space="0" w:color="auto"/>
            <w:right w:val="none" w:sz="0" w:space="0" w:color="auto"/>
          </w:divBdr>
        </w:div>
        <w:div w:id="908921157">
          <w:marLeft w:val="0"/>
          <w:marRight w:val="0"/>
          <w:marTop w:val="0"/>
          <w:marBottom w:val="0"/>
          <w:divBdr>
            <w:top w:val="none" w:sz="0" w:space="0" w:color="auto"/>
            <w:left w:val="none" w:sz="0" w:space="0" w:color="auto"/>
            <w:bottom w:val="none" w:sz="0" w:space="0" w:color="auto"/>
            <w:right w:val="none" w:sz="0" w:space="0" w:color="auto"/>
          </w:divBdr>
        </w:div>
        <w:div w:id="918490699">
          <w:marLeft w:val="0"/>
          <w:marRight w:val="0"/>
          <w:marTop w:val="0"/>
          <w:marBottom w:val="0"/>
          <w:divBdr>
            <w:top w:val="none" w:sz="0" w:space="0" w:color="auto"/>
            <w:left w:val="none" w:sz="0" w:space="0" w:color="auto"/>
            <w:bottom w:val="none" w:sz="0" w:space="0" w:color="auto"/>
            <w:right w:val="none" w:sz="0" w:space="0" w:color="auto"/>
          </w:divBdr>
        </w:div>
        <w:div w:id="1010374784">
          <w:marLeft w:val="0"/>
          <w:marRight w:val="0"/>
          <w:marTop w:val="0"/>
          <w:marBottom w:val="0"/>
          <w:divBdr>
            <w:top w:val="none" w:sz="0" w:space="0" w:color="auto"/>
            <w:left w:val="none" w:sz="0" w:space="0" w:color="auto"/>
            <w:bottom w:val="none" w:sz="0" w:space="0" w:color="auto"/>
            <w:right w:val="none" w:sz="0" w:space="0" w:color="auto"/>
          </w:divBdr>
        </w:div>
        <w:div w:id="1014771031">
          <w:marLeft w:val="0"/>
          <w:marRight w:val="0"/>
          <w:marTop w:val="0"/>
          <w:marBottom w:val="0"/>
          <w:divBdr>
            <w:top w:val="none" w:sz="0" w:space="0" w:color="auto"/>
            <w:left w:val="none" w:sz="0" w:space="0" w:color="auto"/>
            <w:bottom w:val="none" w:sz="0" w:space="0" w:color="auto"/>
            <w:right w:val="none" w:sz="0" w:space="0" w:color="auto"/>
          </w:divBdr>
        </w:div>
        <w:div w:id="1019815440">
          <w:marLeft w:val="0"/>
          <w:marRight w:val="0"/>
          <w:marTop w:val="0"/>
          <w:marBottom w:val="0"/>
          <w:divBdr>
            <w:top w:val="none" w:sz="0" w:space="0" w:color="auto"/>
            <w:left w:val="none" w:sz="0" w:space="0" w:color="auto"/>
            <w:bottom w:val="none" w:sz="0" w:space="0" w:color="auto"/>
            <w:right w:val="none" w:sz="0" w:space="0" w:color="auto"/>
          </w:divBdr>
        </w:div>
        <w:div w:id="1051728134">
          <w:marLeft w:val="0"/>
          <w:marRight w:val="0"/>
          <w:marTop w:val="0"/>
          <w:marBottom w:val="0"/>
          <w:divBdr>
            <w:top w:val="none" w:sz="0" w:space="0" w:color="auto"/>
            <w:left w:val="none" w:sz="0" w:space="0" w:color="auto"/>
            <w:bottom w:val="none" w:sz="0" w:space="0" w:color="auto"/>
            <w:right w:val="none" w:sz="0" w:space="0" w:color="auto"/>
          </w:divBdr>
        </w:div>
        <w:div w:id="1145269879">
          <w:marLeft w:val="0"/>
          <w:marRight w:val="0"/>
          <w:marTop w:val="0"/>
          <w:marBottom w:val="0"/>
          <w:divBdr>
            <w:top w:val="none" w:sz="0" w:space="0" w:color="auto"/>
            <w:left w:val="none" w:sz="0" w:space="0" w:color="auto"/>
            <w:bottom w:val="none" w:sz="0" w:space="0" w:color="auto"/>
            <w:right w:val="none" w:sz="0" w:space="0" w:color="auto"/>
          </w:divBdr>
        </w:div>
        <w:div w:id="1207176696">
          <w:marLeft w:val="0"/>
          <w:marRight w:val="0"/>
          <w:marTop w:val="0"/>
          <w:marBottom w:val="0"/>
          <w:divBdr>
            <w:top w:val="none" w:sz="0" w:space="0" w:color="auto"/>
            <w:left w:val="none" w:sz="0" w:space="0" w:color="auto"/>
            <w:bottom w:val="none" w:sz="0" w:space="0" w:color="auto"/>
            <w:right w:val="none" w:sz="0" w:space="0" w:color="auto"/>
          </w:divBdr>
        </w:div>
        <w:div w:id="1317147113">
          <w:marLeft w:val="0"/>
          <w:marRight w:val="0"/>
          <w:marTop w:val="0"/>
          <w:marBottom w:val="0"/>
          <w:divBdr>
            <w:top w:val="none" w:sz="0" w:space="0" w:color="auto"/>
            <w:left w:val="none" w:sz="0" w:space="0" w:color="auto"/>
            <w:bottom w:val="none" w:sz="0" w:space="0" w:color="auto"/>
            <w:right w:val="none" w:sz="0" w:space="0" w:color="auto"/>
          </w:divBdr>
        </w:div>
        <w:div w:id="1430782534">
          <w:marLeft w:val="0"/>
          <w:marRight w:val="0"/>
          <w:marTop w:val="0"/>
          <w:marBottom w:val="0"/>
          <w:divBdr>
            <w:top w:val="none" w:sz="0" w:space="0" w:color="auto"/>
            <w:left w:val="none" w:sz="0" w:space="0" w:color="auto"/>
            <w:bottom w:val="none" w:sz="0" w:space="0" w:color="auto"/>
            <w:right w:val="none" w:sz="0" w:space="0" w:color="auto"/>
          </w:divBdr>
        </w:div>
        <w:div w:id="1613636022">
          <w:marLeft w:val="0"/>
          <w:marRight w:val="0"/>
          <w:marTop w:val="0"/>
          <w:marBottom w:val="0"/>
          <w:divBdr>
            <w:top w:val="none" w:sz="0" w:space="0" w:color="auto"/>
            <w:left w:val="none" w:sz="0" w:space="0" w:color="auto"/>
            <w:bottom w:val="none" w:sz="0" w:space="0" w:color="auto"/>
            <w:right w:val="none" w:sz="0" w:space="0" w:color="auto"/>
          </w:divBdr>
        </w:div>
        <w:div w:id="1703313402">
          <w:marLeft w:val="0"/>
          <w:marRight w:val="0"/>
          <w:marTop w:val="0"/>
          <w:marBottom w:val="0"/>
          <w:divBdr>
            <w:top w:val="none" w:sz="0" w:space="0" w:color="auto"/>
            <w:left w:val="none" w:sz="0" w:space="0" w:color="auto"/>
            <w:bottom w:val="none" w:sz="0" w:space="0" w:color="auto"/>
            <w:right w:val="none" w:sz="0" w:space="0" w:color="auto"/>
          </w:divBdr>
        </w:div>
        <w:div w:id="1741520398">
          <w:marLeft w:val="0"/>
          <w:marRight w:val="0"/>
          <w:marTop w:val="0"/>
          <w:marBottom w:val="0"/>
          <w:divBdr>
            <w:top w:val="none" w:sz="0" w:space="0" w:color="auto"/>
            <w:left w:val="none" w:sz="0" w:space="0" w:color="auto"/>
            <w:bottom w:val="none" w:sz="0" w:space="0" w:color="auto"/>
            <w:right w:val="none" w:sz="0" w:space="0" w:color="auto"/>
          </w:divBdr>
        </w:div>
        <w:div w:id="1787433269">
          <w:marLeft w:val="0"/>
          <w:marRight w:val="0"/>
          <w:marTop w:val="0"/>
          <w:marBottom w:val="0"/>
          <w:divBdr>
            <w:top w:val="none" w:sz="0" w:space="0" w:color="auto"/>
            <w:left w:val="none" w:sz="0" w:space="0" w:color="auto"/>
            <w:bottom w:val="none" w:sz="0" w:space="0" w:color="auto"/>
            <w:right w:val="none" w:sz="0" w:space="0" w:color="auto"/>
          </w:divBdr>
        </w:div>
        <w:div w:id="2020765676">
          <w:marLeft w:val="0"/>
          <w:marRight w:val="0"/>
          <w:marTop w:val="0"/>
          <w:marBottom w:val="0"/>
          <w:divBdr>
            <w:top w:val="none" w:sz="0" w:space="0" w:color="auto"/>
            <w:left w:val="none" w:sz="0" w:space="0" w:color="auto"/>
            <w:bottom w:val="none" w:sz="0" w:space="0" w:color="auto"/>
            <w:right w:val="none" w:sz="0" w:space="0" w:color="auto"/>
          </w:divBdr>
        </w:div>
        <w:div w:id="2079012462">
          <w:marLeft w:val="0"/>
          <w:marRight w:val="0"/>
          <w:marTop w:val="0"/>
          <w:marBottom w:val="0"/>
          <w:divBdr>
            <w:top w:val="none" w:sz="0" w:space="0" w:color="auto"/>
            <w:left w:val="none" w:sz="0" w:space="0" w:color="auto"/>
            <w:bottom w:val="none" w:sz="0" w:space="0" w:color="auto"/>
            <w:right w:val="none" w:sz="0" w:space="0" w:color="auto"/>
          </w:divBdr>
        </w:div>
        <w:div w:id="2092727032">
          <w:marLeft w:val="0"/>
          <w:marRight w:val="0"/>
          <w:marTop w:val="0"/>
          <w:marBottom w:val="0"/>
          <w:divBdr>
            <w:top w:val="none" w:sz="0" w:space="0" w:color="auto"/>
            <w:left w:val="none" w:sz="0" w:space="0" w:color="auto"/>
            <w:bottom w:val="none" w:sz="0" w:space="0" w:color="auto"/>
            <w:right w:val="none" w:sz="0" w:space="0" w:color="auto"/>
          </w:divBdr>
        </w:div>
      </w:divsChild>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42507257">
      <w:bodyDiv w:val="1"/>
      <w:marLeft w:val="0"/>
      <w:marRight w:val="0"/>
      <w:marTop w:val="0"/>
      <w:marBottom w:val="0"/>
      <w:divBdr>
        <w:top w:val="none" w:sz="0" w:space="0" w:color="auto"/>
        <w:left w:val="none" w:sz="0" w:space="0" w:color="auto"/>
        <w:bottom w:val="none" w:sz="0" w:space="0" w:color="auto"/>
        <w:right w:val="none" w:sz="0" w:space="0" w:color="auto"/>
      </w:divBdr>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33010386">
      <w:bodyDiv w:val="1"/>
      <w:marLeft w:val="0"/>
      <w:marRight w:val="0"/>
      <w:marTop w:val="0"/>
      <w:marBottom w:val="0"/>
      <w:divBdr>
        <w:top w:val="none" w:sz="0" w:space="0" w:color="auto"/>
        <w:left w:val="none" w:sz="0" w:space="0" w:color="auto"/>
        <w:bottom w:val="none" w:sz="0" w:space="0" w:color="auto"/>
        <w:right w:val="none" w:sz="0" w:space="0" w:color="auto"/>
      </w:divBdr>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2028407158">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 w:id="2057923530">
      <w:bodyDiv w:val="1"/>
      <w:marLeft w:val="0"/>
      <w:marRight w:val="0"/>
      <w:marTop w:val="0"/>
      <w:marBottom w:val="0"/>
      <w:divBdr>
        <w:top w:val="none" w:sz="0" w:space="0" w:color="auto"/>
        <w:left w:val="none" w:sz="0" w:space="0" w:color="auto"/>
        <w:bottom w:val="none" w:sz="0" w:space="0" w:color="auto"/>
        <w:right w:val="none" w:sz="0" w:space="0" w:color="auto"/>
      </w:divBdr>
      <w:divsChild>
        <w:div w:id="918489709">
          <w:marLeft w:val="0"/>
          <w:marRight w:val="0"/>
          <w:marTop w:val="0"/>
          <w:marBottom w:val="0"/>
          <w:divBdr>
            <w:top w:val="none" w:sz="0" w:space="0" w:color="auto"/>
            <w:left w:val="none" w:sz="0" w:space="0" w:color="auto"/>
            <w:bottom w:val="none" w:sz="0" w:space="0" w:color="auto"/>
            <w:right w:val="none" w:sz="0" w:space="0" w:color="auto"/>
          </w:divBdr>
          <w:divsChild>
            <w:div w:id="635529054">
              <w:marLeft w:val="0"/>
              <w:marRight w:val="0"/>
              <w:marTop w:val="0"/>
              <w:marBottom w:val="0"/>
              <w:divBdr>
                <w:top w:val="none" w:sz="0" w:space="0" w:color="auto"/>
                <w:left w:val="none" w:sz="0" w:space="0" w:color="auto"/>
                <w:bottom w:val="none" w:sz="0" w:space="0" w:color="auto"/>
                <w:right w:val="none" w:sz="0" w:space="0" w:color="auto"/>
              </w:divBdr>
              <w:divsChild>
                <w:div w:id="143861904">
                  <w:marLeft w:val="0"/>
                  <w:marRight w:val="0"/>
                  <w:marTop w:val="0"/>
                  <w:marBottom w:val="0"/>
                  <w:divBdr>
                    <w:top w:val="none" w:sz="0" w:space="0" w:color="auto"/>
                    <w:left w:val="none" w:sz="0" w:space="0" w:color="auto"/>
                    <w:bottom w:val="none" w:sz="0" w:space="0" w:color="auto"/>
                    <w:right w:val="none" w:sz="0" w:space="0" w:color="auto"/>
                  </w:divBdr>
                  <w:divsChild>
                    <w:div w:id="16800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5646">
      <w:bodyDiv w:val="1"/>
      <w:marLeft w:val="0"/>
      <w:marRight w:val="0"/>
      <w:marTop w:val="0"/>
      <w:marBottom w:val="0"/>
      <w:divBdr>
        <w:top w:val="none" w:sz="0" w:space="0" w:color="auto"/>
        <w:left w:val="none" w:sz="0" w:space="0" w:color="auto"/>
        <w:bottom w:val="none" w:sz="0" w:space="0" w:color="auto"/>
        <w:right w:val="none" w:sz="0" w:space="0" w:color="auto"/>
      </w:divBdr>
      <w:divsChild>
        <w:div w:id="177426194">
          <w:marLeft w:val="0"/>
          <w:marRight w:val="0"/>
          <w:marTop w:val="0"/>
          <w:marBottom w:val="0"/>
          <w:divBdr>
            <w:top w:val="none" w:sz="0" w:space="0" w:color="auto"/>
            <w:left w:val="none" w:sz="0" w:space="0" w:color="auto"/>
            <w:bottom w:val="none" w:sz="0" w:space="0" w:color="auto"/>
            <w:right w:val="none" w:sz="0" w:space="0" w:color="auto"/>
          </w:divBdr>
          <w:divsChild>
            <w:div w:id="1064135601">
              <w:marLeft w:val="0"/>
              <w:marRight w:val="0"/>
              <w:marTop w:val="0"/>
              <w:marBottom w:val="0"/>
              <w:divBdr>
                <w:top w:val="none" w:sz="0" w:space="0" w:color="auto"/>
                <w:left w:val="none" w:sz="0" w:space="0" w:color="auto"/>
                <w:bottom w:val="none" w:sz="0" w:space="0" w:color="auto"/>
                <w:right w:val="none" w:sz="0" w:space="0" w:color="auto"/>
              </w:divBdr>
              <w:divsChild>
                <w:div w:id="560873725">
                  <w:marLeft w:val="0"/>
                  <w:marRight w:val="0"/>
                  <w:marTop w:val="0"/>
                  <w:marBottom w:val="0"/>
                  <w:divBdr>
                    <w:top w:val="none" w:sz="0" w:space="0" w:color="auto"/>
                    <w:left w:val="none" w:sz="0" w:space="0" w:color="auto"/>
                    <w:bottom w:val="none" w:sz="0" w:space="0" w:color="auto"/>
                    <w:right w:val="none" w:sz="0" w:space="0" w:color="auto"/>
                  </w:divBdr>
                  <w:divsChild>
                    <w:div w:id="985011235">
                      <w:marLeft w:val="0"/>
                      <w:marRight w:val="0"/>
                      <w:marTop w:val="0"/>
                      <w:marBottom w:val="0"/>
                      <w:divBdr>
                        <w:top w:val="none" w:sz="0" w:space="0" w:color="auto"/>
                        <w:left w:val="none" w:sz="0" w:space="0" w:color="auto"/>
                        <w:bottom w:val="none" w:sz="0" w:space="0" w:color="auto"/>
                        <w:right w:val="none" w:sz="0" w:space="0" w:color="auto"/>
                      </w:divBdr>
                      <w:divsChild>
                        <w:div w:id="1865628971">
                          <w:marLeft w:val="0"/>
                          <w:marRight w:val="0"/>
                          <w:marTop w:val="0"/>
                          <w:marBottom w:val="0"/>
                          <w:divBdr>
                            <w:top w:val="none" w:sz="0" w:space="0" w:color="auto"/>
                            <w:left w:val="none" w:sz="0" w:space="0" w:color="auto"/>
                            <w:bottom w:val="none" w:sz="0" w:space="0" w:color="auto"/>
                            <w:right w:val="none" w:sz="0" w:space="0" w:color="auto"/>
                          </w:divBdr>
                          <w:divsChild>
                            <w:div w:id="1750037522">
                              <w:marLeft w:val="0"/>
                              <w:marRight w:val="0"/>
                              <w:marTop w:val="0"/>
                              <w:marBottom w:val="0"/>
                              <w:divBdr>
                                <w:top w:val="none" w:sz="0" w:space="0" w:color="auto"/>
                                <w:left w:val="none" w:sz="0" w:space="0" w:color="auto"/>
                                <w:bottom w:val="none" w:sz="0" w:space="0" w:color="auto"/>
                                <w:right w:val="none" w:sz="0" w:space="0" w:color="auto"/>
                              </w:divBdr>
                              <w:divsChild>
                                <w:div w:id="543060272">
                                  <w:marLeft w:val="0"/>
                                  <w:marRight w:val="0"/>
                                  <w:marTop w:val="0"/>
                                  <w:marBottom w:val="0"/>
                                  <w:divBdr>
                                    <w:top w:val="none" w:sz="0" w:space="0" w:color="auto"/>
                                    <w:left w:val="none" w:sz="0" w:space="0" w:color="auto"/>
                                    <w:bottom w:val="none" w:sz="0" w:space="0" w:color="auto"/>
                                    <w:right w:val="none" w:sz="0" w:space="0" w:color="auto"/>
                                  </w:divBdr>
                                  <w:divsChild>
                                    <w:div w:id="419252573">
                                      <w:marLeft w:val="0"/>
                                      <w:marRight w:val="0"/>
                                      <w:marTop w:val="0"/>
                                      <w:marBottom w:val="0"/>
                                      <w:divBdr>
                                        <w:top w:val="none" w:sz="0" w:space="0" w:color="auto"/>
                                        <w:left w:val="none" w:sz="0" w:space="0" w:color="auto"/>
                                        <w:bottom w:val="none" w:sz="0" w:space="0" w:color="auto"/>
                                        <w:right w:val="none" w:sz="0" w:space="0" w:color="auto"/>
                                      </w:divBdr>
                                      <w:divsChild>
                                        <w:div w:id="1526753868">
                                          <w:marLeft w:val="0"/>
                                          <w:marRight w:val="0"/>
                                          <w:marTop w:val="0"/>
                                          <w:marBottom w:val="0"/>
                                          <w:divBdr>
                                            <w:top w:val="none" w:sz="0" w:space="0" w:color="auto"/>
                                            <w:left w:val="none" w:sz="0" w:space="0" w:color="auto"/>
                                            <w:bottom w:val="none" w:sz="0" w:space="0" w:color="auto"/>
                                            <w:right w:val="none" w:sz="0" w:space="0" w:color="auto"/>
                                          </w:divBdr>
                                          <w:divsChild>
                                            <w:div w:id="126431985">
                                              <w:marLeft w:val="0"/>
                                              <w:marRight w:val="0"/>
                                              <w:marTop w:val="0"/>
                                              <w:marBottom w:val="0"/>
                                              <w:divBdr>
                                                <w:top w:val="none" w:sz="0" w:space="0" w:color="auto"/>
                                                <w:left w:val="none" w:sz="0" w:space="0" w:color="auto"/>
                                                <w:bottom w:val="none" w:sz="0" w:space="0" w:color="auto"/>
                                                <w:right w:val="none" w:sz="0" w:space="0" w:color="auto"/>
                                              </w:divBdr>
                                              <w:divsChild>
                                                <w:div w:id="1640068922">
                                                  <w:marLeft w:val="0"/>
                                                  <w:marRight w:val="0"/>
                                                  <w:marTop w:val="0"/>
                                                  <w:marBottom w:val="0"/>
                                                  <w:divBdr>
                                                    <w:top w:val="none" w:sz="0" w:space="0" w:color="auto"/>
                                                    <w:left w:val="none" w:sz="0" w:space="0" w:color="auto"/>
                                                    <w:bottom w:val="none" w:sz="0" w:space="0" w:color="auto"/>
                                                    <w:right w:val="none" w:sz="0" w:space="0" w:color="auto"/>
                                                  </w:divBdr>
                                                  <w:divsChild>
                                                    <w:div w:id="13143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5142336">
          <w:marLeft w:val="0"/>
          <w:marRight w:val="0"/>
          <w:marTop w:val="0"/>
          <w:marBottom w:val="0"/>
          <w:divBdr>
            <w:top w:val="none" w:sz="0" w:space="0" w:color="auto"/>
            <w:left w:val="none" w:sz="0" w:space="0" w:color="auto"/>
            <w:bottom w:val="none" w:sz="0" w:space="0" w:color="auto"/>
            <w:right w:val="none" w:sz="0" w:space="0" w:color="auto"/>
          </w:divBdr>
          <w:divsChild>
            <w:div w:id="200091359">
              <w:marLeft w:val="0"/>
              <w:marRight w:val="0"/>
              <w:marTop w:val="0"/>
              <w:marBottom w:val="0"/>
              <w:divBdr>
                <w:top w:val="none" w:sz="0" w:space="0" w:color="auto"/>
                <w:left w:val="none" w:sz="0" w:space="0" w:color="auto"/>
                <w:bottom w:val="none" w:sz="0" w:space="0" w:color="auto"/>
                <w:right w:val="none" w:sz="0" w:space="0" w:color="auto"/>
              </w:divBdr>
              <w:divsChild>
                <w:div w:id="2111926817">
                  <w:marLeft w:val="0"/>
                  <w:marRight w:val="0"/>
                  <w:marTop w:val="0"/>
                  <w:marBottom w:val="0"/>
                  <w:divBdr>
                    <w:top w:val="none" w:sz="0" w:space="0" w:color="auto"/>
                    <w:left w:val="none" w:sz="0" w:space="0" w:color="auto"/>
                    <w:bottom w:val="none" w:sz="0" w:space="0" w:color="auto"/>
                    <w:right w:val="none" w:sz="0" w:space="0" w:color="auto"/>
                  </w:divBdr>
                  <w:divsChild>
                    <w:div w:id="772163766">
                      <w:marLeft w:val="0"/>
                      <w:marRight w:val="0"/>
                      <w:marTop w:val="0"/>
                      <w:marBottom w:val="0"/>
                      <w:divBdr>
                        <w:top w:val="single" w:sz="2" w:space="9" w:color="auto"/>
                        <w:left w:val="single" w:sz="2" w:space="9" w:color="auto"/>
                        <w:bottom w:val="single" w:sz="2" w:space="9" w:color="auto"/>
                        <w:right w:val="single" w:sz="2" w:space="9" w:color="auto"/>
                      </w:divBdr>
                      <w:divsChild>
                        <w:div w:id="1950503863">
                          <w:marLeft w:val="0"/>
                          <w:marRight w:val="0"/>
                          <w:marTop w:val="0"/>
                          <w:marBottom w:val="0"/>
                          <w:divBdr>
                            <w:top w:val="none" w:sz="0" w:space="0" w:color="auto"/>
                            <w:left w:val="none" w:sz="0" w:space="0" w:color="auto"/>
                            <w:bottom w:val="none" w:sz="0" w:space="0" w:color="auto"/>
                            <w:right w:val="none" w:sz="0" w:space="0" w:color="auto"/>
                          </w:divBdr>
                          <w:divsChild>
                            <w:div w:id="1834760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99171867">
                      <w:marLeft w:val="0"/>
                      <w:marRight w:val="0"/>
                      <w:marTop w:val="0"/>
                      <w:marBottom w:val="0"/>
                      <w:divBdr>
                        <w:top w:val="none" w:sz="0" w:space="0" w:color="auto"/>
                        <w:left w:val="none" w:sz="0" w:space="0" w:color="auto"/>
                        <w:bottom w:val="none" w:sz="0" w:space="0" w:color="auto"/>
                        <w:right w:val="none" w:sz="0" w:space="0" w:color="auto"/>
                      </w:divBdr>
                      <w:divsChild>
                        <w:div w:id="1442607749">
                          <w:marLeft w:val="0"/>
                          <w:marRight w:val="0"/>
                          <w:marTop w:val="0"/>
                          <w:marBottom w:val="0"/>
                          <w:divBdr>
                            <w:top w:val="none" w:sz="0" w:space="0" w:color="auto"/>
                            <w:left w:val="none" w:sz="0" w:space="0" w:color="auto"/>
                            <w:bottom w:val="none" w:sz="0" w:space="0" w:color="auto"/>
                            <w:right w:val="none" w:sz="0" w:space="0" w:color="auto"/>
                          </w:divBdr>
                          <w:divsChild>
                            <w:div w:id="1779176842">
                              <w:marLeft w:val="0"/>
                              <w:marRight w:val="0"/>
                              <w:marTop w:val="0"/>
                              <w:marBottom w:val="0"/>
                              <w:divBdr>
                                <w:top w:val="none" w:sz="0" w:space="0" w:color="auto"/>
                                <w:left w:val="none" w:sz="0" w:space="0" w:color="auto"/>
                                <w:bottom w:val="none" w:sz="0" w:space="0" w:color="auto"/>
                                <w:right w:val="none" w:sz="0" w:space="0" w:color="auto"/>
                              </w:divBdr>
                              <w:divsChild>
                                <w:div w:id="522128784">
                                  <w:marLeft w:val="0"/>
                                  <w:marRight w:val="0"/>
                                  <w:marTop w:val="0"/>
                                  <w:marBottom w:val="0"/>
                                  <w:divBdr>
                                    <w:top w:val="none" w:sz="0" w:space="0" w:color="auto"/>
                                    <w:left w:val="none" w:sz="0" w:space="0" w:color="auto"/>
                                    <w:bottom w:val="none" w:sz="0" w:space="0" w:color="auto"/>
                                    <w:right w:val="none" w:sz="0" w:space="0" w:color="auto"/>
                                  </w:divBdr>
                                  <w:divsChild>
                                    <w:div w:id="792022189">
                                      <w:marLeft w:val="0"/>
                                      <w:marRight w:val="0"/>
                                      <w:marTop w:val="0"/>
                                      <w:marBottom w:val="0"/>
                                      <w:divBdr>
                                        <w:top w:val="none" w:sz="0" w:space="0" w:color="auto"/>
                                        <w:left w:val="none" w:sz="0" w:space="0" w:color="auto"/>
                                        <w:bottom w:val="none" w:sz="0" w:space="0" w:color="auto"/>
                                        <w:right w:val="none" w:sz="0" w:space="0" w:color="auto"/>
                                      </w:divBdr>
                                      <w:divsChild>
                                        <w:div w:id="1013848173">
                                          <w:marLeft w:val="0"/>
                                          <w:marRight w:val="0"/>
                                          <w:marTop w:val="0"/>
                                          <w:marBottom w:val="0"/>
                                          <w:divBdr>
                                            <w:top w:val="none" w:sz="0" w:space="0" w:color="auto"/>
                                            <w:left w:val="none" w:sz="0" w:space="0" w:color="auto"/>
                                            <w:bottom w:val="none" w:sz="0" w:space="0" w:color="auto"/>
                                            <w:right w:val="none" w:sz="0" w:space="0" w:color="auto"/>
                                          </w:divBdr>
                                          <w:divsChild>
                                            <w:div w:id="323818182">
                                              <w:marLeft w:val="0"/>
                                              <w:marRight w:val="0"/>
                                              <w:marTop w:val="0"/>
                                              <w:marBottom w:val="0"/>
                                              <w:divBdr>
                                                <w:top w:val="none" w:sz="0" w:space="0" w:color="auto"/>
                                                <w:left w:val="none" w:sz="0" w:space="0" w:color="auto"/>
                                                <w:bottom w:val="none" w:sz="0" w:space="0" w:color="auto"/>
                                                <w:right w:val="none" w:sz="0" w:space="0" w:color="auto"/>
                                              </w:divBdr>
                                              <w:divsChild>
                                                <w:div w:id="856427474">
                                                  <w:marLeft w:val="0"/>
                                                  <w:marRight w:val="0"/>
                                                  <w:marTop w:val="0"/>
                                                  <w:marBottom w:val="0"/>
                                                  <w:divBdr>
                                                    <w:top w:val="none" w:sz="0" w:space="0" w:color="auto"/>
                                                    <w:left w:val="none" w:sz="0" w:space="0" w:color="auto"/>
                                                    <w:bottom w:val="none" w:sz="0" w:space="0" w:color="auto"/>
                                                    <w:right w:val="none" w:sz="0" w:space="0" w:color="auto"/>
                                                  </w:divBdr>
                                                  <w:divsChild>
                                                    <w:div w:id="66763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4636534">
          <w:marLeft w:val="0"/>
          <w:marRight w:val="0"/>
          <w:marTop w:val="0"/>
          <w:marBottom w:val="0"/>
          <w:divBdr>
            <w:top w:val="none" w:sz="0" w:space="0" w:color="auto"/>
            <w:left w:val="none" w:sz="0" w:space="0" w:color="auto"/>
            <w:bottom w:val="none" w:sz="0" w:space="0" w:color="auto"/>
            <w:right w:val="none" w:sz="0" w:space="0" w:color="auto"/>
          </w:divBdr>
          <w:divsChild>
            <w:div w:id="120808814">
              <w:marLeft w:val="0"/>
              <w:marRight w:val="0"/>
              <w:marTop w:val="0"/>
              <w:marBottom w:val="0"/>
              <w:divBdr>
                <w:top w:val="none" w:sz="0" w:space="0" w:color="auto"/>
                <w:left w:val="none" w:sz="0" w:space="0" w:color="auto"/>
                <w:bottom w:val="none" w:sz="0" w:space="0" w:color="auto"/>
                <w:right w:val="none" w:sz="0" w:space="0" w:color="auto"/>
              </w:divBdr>
              <w:divsChild>
                <w:div w:id="239750683">
                  <w:marLeft w:val="0"/>
                  <w:marRight w:val="0"/>
                  <w:marTop w:val="0"/>
                  <w:marBottom w:val="0"/>
                  <w:divBdr>
                    <w:top w:val="none" w:sz="0" w:space="0" w:color="auto"/>
                    <w:left w:val="none" w:sz="0" w:space="0" w:color="auto"/>
                    <w:bottom w:val="none" w:sz="0" w:space="0" w:color="auto"/>
                    <w:right w:val="none" w:sz="0" w:space="0" w:color="auto"/>
                  </w:divBdr>
                  <w:divsChild>
                    <w:div w:id="118494442">
                      <w:marLeft w:val="0"/>
                      <w:marRight w:val="0"/>
                      <w:marTop w:val="0"/>
                      <w:marBottom w:val="0"/>
                      <w:divBdr>
                        <w:top w:val="none" w:sz="0" w:space="0" w:color="auto"/>
                        <w:left w:val="none" w:sz="0" w:space="0" w:color="auto"/>
                        <w:bottom w:val="none" w:sz="0" w:space="0" w:color="auto"/>
                        <w:right w:val="none" w:sz="0" w:space="0" w:color="auto"/>
                      </w:divBdr>
                      <w:divsChild>
                        <w:div w:id="549194192">
                          <w:marLeft w:val="0"/>
                          <w:marRight w:val="0"/>
                          <w:marTop w:val="0"/>
                          <w:marBottom w:val="0"/>
                          <w:divBdr>
                            <w:top w:val="none" w:sz="0" w:space="0" w:color="auto"/>
                            <w:left w:val="none" w:sz="0" w:space="0" w:color="auto"/>
                            <w:bottom w:val="none" w:sz="0" w:space="0" w:color="auto"/>
                            <w:right w:val="none" w:sz="0" w:space="0" w:color="auto"/>
                          </w:divBdr>
                          <w:divsChild>
                            <w:div w:id="721902963">
                              <w:marLeft w:val="0"/>
                              <w:marRight w:val="0"/>
                              <w:marTop w:val="0"/>
                              <w:marBottom w:val="0"/>
                              <w:divBdr>
                                <w:top w:val="none" w:sz="0" w:space="0" w:color="auto"/>
                                <w:left w:val="none" w:sz="0" w:space="0" w:color="auto"/>
                                <w:bottom w:val="none" w:sz="0" w:space="0" w:color="auto"/>
                                <w:right w:val="none" w:sz="0" w:space="0" w:color="auto"/>
                              </w:divBdr>
                              <w:divsChild>
                                <w:div w:id="1836258640">
                                  <w:marLeft w:val="0"/>
                                  <w:marRight w:val="0"/>
                                  <w:marTop w:val="0"/>
                                  <w:marBottom w:val="0"/>
                                  <w:divBdr>
                                    <w:top w:val="none" w:sz="0" w:space="0" w:color="auto"/>
                                    <w:left w:val="none" w:sz="0" w:space="0" w:color="auto"/>
                                    <w:bottom w:val="none" w:sz="0" w:space="0" w:color="auto"/>
                                    <w:right w:val="none" w:sz="0" w:space="0" w:color="auto"/>
                                  </w:divBdr>
                                  <w:divsChild>
                                    <w:div w:id="1555655844">
                                      <w:marLeft w:val="0"/>
                                      <w:marRight w:val="0"/>
                                      <w:marTop w:val="0"/>
                                      <w:marBottom w:val="0"/>
                                      <w:divBdr>
                                        <w:top w:val="none" w:sz="0" w:space="0" w:color="auto"/>
                                        <w:left w:val="none" w:sz="0" w:space="0" w:color="auto"/>
                                        <w:bottom w:val="none" w:sz="0" w:space="0" w:color="auto"/>
                                        <w:right w:val="none" w:sz="0" w:space="0" w:color="auto"/>
                                      </w:divBdr>
                                      <w:divsChild>
                                        <w:div w:id="1569732804">
                                          <w:marLeft w:val="0"/>
                                          <w:marRight w:val="0"/>
                                          <w:marTop w:val="0"/>
                                          <w:marBottom w:val="0"/>
                                          <w:divBdr>
                                            <w:top w:val="none" w:sz="0" w:space="0" w:color="auto"/>
                                            <w:left w:val="none" w:sz="0" w:space="0" w:color="auto"/>
                                            <w:bottom w:val="none" w:sz="0" w:space="0" w:color="auto"/>
                                            <w:right w:val="none" w:sz="0" w:space="0" w:color="auto"/>
                                          </w:divBdr>
                                          <w:divsChild>
                                            <w:div w:id="1195340954">
                                              <w:marLeft w:val="0"/>
                                              <w:marRight w:val="0"/>
                                              <w:marTop w:val="0"/>
                                              <w:marBottom w:val="0"/>
                                              <w:divBdr>
                                                <w:top w:val="none" w:sz="0" w:space="0" w:color="auto"/>
                                                <w:left w:val="none" w:sz="0" w:space="0" w:color="auto"/>
                                                <w:bottom w:val="none" w:sz="0" w:space="0" w:color="auto"/>
                                                <w:right w:val="none" w:sz="0" w:space="0" w:color="auto"/>
                                              </w:divBdr>
                                              <w:divsChild>
                                                <w:div w:id="105007635">
                                                  <w:marLeft w:val="0"/>
                                                  <w:marRight w:val="0"/>
                                                  <w:marTop w:val="0"/>
                                                  <w:marBottom w:val="0"/>
                                                  <w:divBdr>
                                                    <w:top w:val="none" w:sz="0" w:space="0" w:color="auto"/>
                                                    <w:left w:val="none" w:sz="0" w:space="0" w:color="auto"/>
                                                    <w:bottom w:val="none" w:sz="0" w:space="0" w:color="auto"/>
                                                    <w:right w:val="none" w:sz="0" w:space="0" w:color="auto"/>
                                                  </w:divBdr>
                                                  <w:divsChild>
                                                    <w:div w:id="19940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742349">
                      <w:marLeft w:val="0"/>
                      <w:marRight w:val="0"/>
                      <w:marTop w:val="0"/>
                      <w:marBottom w:val="0"/>
                      <w:divBdr>
                        <w:top w:val="single" w:sz="2" w:space="9" w:color="auto"/>
                        <w:left w:val="single" w:sz="2" w:space="9" w:color="auto"/>
                        <w:bottom w:val="single" w:sz="2" w:space="9" w:color="auto"/>
                        <w:right w:val="single" w:sz="2" w:space="9" w:color="auto"/>
                      </w:divBdr>
                      <w:divsChild>
                        <w:div w:id="658581011">
                          <w:marLeft w:val="0"/>
                          <w:marRight w:val="0"/>
                          <w:marTop w:val="0"/>
                          <w:marBottom w:val="0"/>
                          <w:divBdr>
                            <w:top w:val="none" w:sz="0" w:space="0" w:color="auto"/>
                            <w:left w:val="none" w:sz="0" w:space="0" w:color="auto"/>
                            <w:bottom w:val="none" w:sz="0" w:space="0" w:color="auto"/>
                            <w:right w:val="none" w:sz="0" w:space="0" w:color="auto"/>
                          </w:divBdr>
                          <w:divsChild>
                            <w:div w:id="18736855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483238">
      <w:bodyDiv w:val="1"/>
      <w:marLeft w:val="0"/>
      <w:marRight w:val="0"/>
      <w:marTop w:val="0"/>
      <w:marBottom w:val="0"/>
      <w:divBdr>
        <w:top w:val="none" w:sz="0" w:space="0" w:color="auto"/>
        <w:left w:val="none" w:sz="0" w:space="0" w:color="auto"/>
        <w:bottom w:val="none" w:sz="0" w:space="0" w:color="auto"/>
        <w:right w:val="none" w:sz="0" w:space="0" w:color="auto"/>
      </w:divBdr>
    </w:div>
    <w:div w:id="2143956699">
      <w:bodyDiv w:val="1"/>
      <w:marLeft w:val="0"/>
      <w:marRight w:val="0"/>
      <w:marTop w:val="0"/>
      <w:marBottom w:val="0"/>
      <w:divBdr>
        <w:top w:val="none" w:sz="0" w:space="0" w:color="auto"/>
        <w:left w:val="none" w:sz="0" w:space="0" w:color="auto"/>
        <w:bottom w:val="none" w:sz="0" w:space="0" w:color="auto"/>
        <w:right w:val="none" w:sz="0" w:space="0" w:color="auto"/>
      </w:divBdr>
    </w:div>
    <w:div w:id="2146779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5.xm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32.png"/><Relationship Id="rId68" Type="http://schemas.openxmlformats.org/officeDocument/2006/relationships/image" Target="media/image36.png"/><Relationship Id="rId84" Type="http://schemas.openxmlformats.org/officeDocument/2006/relationships/hyperlink" Target="https://www.elogistika.info/krize-ceskeho-a-slovenskeho-automobiloveho-prumyslu/" TargetMode="External"/><Relationship Id="rId89" Type="http://schemas.openxmlformats.org/officeDocument/2006/relationships/header" Target="header6.xml"/><Relationship Id="rId16" Type="http://schemas.openxmlformats.org/officeDocument/2006/relationships/header" Target="header3.xml"/><Relationship Id="rId11" Type="http://schemas.openxmlformats.org/officeDocument/2006/relationships/image" Target="media/image1.emf"/><Relationship Id="rId32" Type="http://schemas.openxmlformats.org/officeDocument/2006/relationships/image" Target="media/image10.png"/><Relationship Id="rId37" Type="http://schemas.openxmlformats.org/officeDocument/2006/relationships/image" Target="media/image15.emf"/><Relationship Id="rId53" Type="http://schemas.openxmlformats.org/officeDocument/2006/relationships/chart" Target="charts/chart7.xml"/><Relationship Id="rId58" Type="http://schemas.openxmlformats.org/officeDocument/2006/relationships/image" Target="media/image29.emf"/><Relationship Id="rId74" Type="http://schemas.openxmlformats.org/officeDocument/2006/relationships/chart" Target="charts/chart13.xml"/><Relationship Id="rId79" Type="http://schemas.openxmlformats.org/officeDocument/2006/relationships/hyperlink" Target="https://www.engelbert-strauss.cz/" TargetMode="External"/><Relationship Id="rId5" Type="http://schemas.openxmlformats.org/officeDocument/2006/relationships/numbering" Target="numbering.xml"/><Relationship Id="rId90" Type="http://schemas.openxmlformats.org/officeDocument/2006/relationships/header" Target="header7.xml"/><Relationship Id="rId95" Type="http://schemas.openxmlformats.org/officeDocument/2006/relationships/theme" Target="theme/theme1.xml"/><Relationship Id="rId22" Type="http://schemas.openxmlformats.org/officeDocument/2006/relationships/footer" Target="footer5.xml"/><Relationship Id="rId27" Type="http://schemas.openxmlformats.org/officeDocument/2006/relationships/chart" Target="charts/chart1.xml"/><Relationship Id="rId43" Type="http://schemas.openxmlformats.org/officeDocument/2006/relationships/image" Target="media/image21.emf"/><Relationship Id="rId48" Type="http://schemas.openxmlformats.org/officeDocument/2006/relationships/chart" Target="charts/chart2.xml"/><Relationship Id="rId64" Type="http://schemas.openxmlformats.org/officeDocument/2006/relationships/chart" Target="charts/chart11.xml"/><Relationship Id="rId69"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chart" Target="charts/chart5.xml"/><Relationship Id="rId72" Type="http://schemas.openxmlformats.org/officeDocument/2006/relationships/chart" Target="charts/chart12.xml"/><Relationship Id="rId80" Type="http://schemas.openxmlformats.org/officeDocument/2006/relationships/hyperlink" Target="https://www.smartmen.cz/fr/profesni-odevy/vyroba-a-prumysl" TargetMode="External"/><Relationship Id="rId85" Type="http://schemas.openxmlformats.org/officeDocument/2006/relationships/hyperlink" Target="https://www.e15.cz/byznys/prumysl-a-energetika/rizikem-pro-ekonomiku-je-vyvoj-automobiloveho-prumyslu-1354335"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disting.cz/vyvojove-stredisko/" TargetMode="External"/><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0.png"/><Relationship Id="rId67" Type="http://schemas.openxmlformats.org/officeDocument/2006/relationships/image" Target="media/image35.png"/><Relationship Id="rId20" Type="http://schemas.openxmlformats.org/officeDocument/2006/relationships/header" Target="header4.xml"/><Relationship Id="rId41" Type="http://schemas.openxmlformats.org/officeDocument/2006/relationships/image" Target="media/image19.emf"/><Relationship Id="rId54" Type="http://schemas.openxmlformats.org/officeDocument/2006/relationships/chart" Target="charts/chart8.xml"/><Relationship Id="rId62" Type="http://schemas.openxmlformats.org/officeDocument/2006/relationships/chart" Target="charts/chart10.xml"/><Relationship Id="rId70" Type="http://schemas.openxmlformats.org/officeDocument/2006/relationships/image" Target="media/image38.png"/><Relationship Id="rId75" Type="http://schemas.openxmlformats.org/officeDocument/2006/relationships/image" Target="media/image41.emf"/><Relationship Id="rId83" Type="http://schemas.openxmlformats.org/officeDocument/2006/relationships/hyperlink" Target="https://www.irozhlas.cz/ekonomika/krize-automobilovy-prumysl-produkce-trh-elektroauta-ferdinand-dudenhoffer_2006121228_aur" TargetMode="External"/><Relationship Id="rId88" Type="http://schemas.openxmlformats.org/officeDocument/2006/relationships/hyperlink" Target="https://invenio.nusl.cz/record/407088/files/vestnik_UPV_201802.pdf" TargetMode="Externa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4.emf"/><Relationship Id="rId49" Type="http://schemas.openxmlformats.org/officeDocument/2006/relationships/chart" Target="charts/chart3.xml"/><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emf"/><Relationship Id="rId52" Type="http://schemas.openxmlformats.org/officeDocument/2006/relationships/chart" Target="charts/chart6.xml"/><Relationship Id="rId60" Type="http://schemas.openxmlformats.org/officeDocument/2006/relationships/image" Target="media/image31.png"/><Relationship Id="rId65" Type="http://schemas.openxmlformats.org/officeDocument/2006/relationships/image" Target="media/image33.png"/><Relationship Id="rId73" Type="http://schemas.openxmlformats.org/officeDocument/2006/relationships/image" Target="media/image40.emf"/><Relationship Id="rId78" Type="http://schemas.openxmlformats.org/officeDocument/2006/relationships/hyperlink" Target="https://www.tomiscz.cz/" TargetMode="External"/><Relationship Id="rId81" Type="http://schemas.openxmlformats.org/officeDocument/2006/relationships/hyperlink" Target="https://www.tmt.cz/novinky/automaticka-linka-pro-montaz-autodilu/" TargetMode="External"/><Relationship Id="rId86" Type="http://schemas.openxmlformats.org/officeDocument/2006/relationships/hyperlink" Target="https://invenio.nusl.cz/record/407088/files/vestnik_UPV_201802.pdf"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chart" Target="charts/chart4.xml"/><Relationship Id="rId55" Type="http://schemas.openxmlformats.org/officeDocument/2006/relationships/image" Target="media/image26.emf"/><Relationship Id="rId76" Type="http://schemas.openxmlformats.org/officeDocument/2006/relationships/hyperlink" Target="https://www.grand.cz/vyroba-odevu.php" TargetMode="External"/><Relationship Id="rId7" Type="http://schemas.openxmlformats.org/officeDocument/2006/relationships/settings" Target="settings.xml"/><Relationship Id="rId71" Type="http://schemas.openxmlformats.org/officeDocument/2006/relationships/image" Target="media/image39.emf"/><Relationship Id="rId92"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4.jpeg"/><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image" Target="media/image34.emf"/><Relationship Id="rId87" Type="http://schemas.openxmlformats.org/officeDocument/2006/relationships/hyperlink" Target="http://fincentrum.idnes.cz/fi_osobni.asp?r=fi_osobni&amp;c=A060220_110634_fi_osobni_vra" TargetMode="External"/><Relationship Id="rId61" Type="http://schemas.openxmlformats.org/officeDocument/2006/relationships/chart" Target="charts/chart9.xml"/><Relationship Id="rId82" Type="http://schemas.openxmlformats.org/officeDocument/2006/relationships/hyperlink" Target="https://autosap.cz/zakladni-prehledy-automotive/obecne-zakladni-prehledy/" TargetMode="External"/><Relationship Id="rId19" Type="http://schemas.openxmlformats.org/officeDocument/2006/relationships/footer" Target="footer4.xml"/><Relationship Id="rId14" Type="http://schemas.openxmlformats.org/officeDocument/2006/relationships/image" Target="media/image2.emf"/><Relationship Id="rId30" Type="http://schemas.openxmlformats.org/officeDocument/2006/relationships/image" Target="media/image8.png"/><Relationship Id="rId35" Type="http://schemas.openxmlformats.org/officeDocument/2006/relationships/image" Target="media/image13.emf"/><Relationship Id="rId56" Type="http://schemas.openxmlformats.org/officeDocument/2006/relationships/image" Target="media/image27.emf"/><Relationship Id="rId77" Type="http://schemas.openxmlformats.org/officeDocument/2006/relationships/hyperlink" Target="https://www.profimex.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rozhlas.cz/ekonomika/krize-automobilovy-prumysl-produkce-trh-elektroauta-ferdinand-dudenhoffer_2006121228_aur" TargetMode="External"/><Relationship Id="rId13" Type="http://schemas.openxmlformats.org/officeDocument/2006/relationships/hyperlink" Target="https://invenio.nusl.cz/record/407088/files/vestnik_UPV_201802.pdf" TargetMode="External"/><Relationship Id="rId3" Type="http://schemas.openxmlformats.org/officeDocument/2006/relationships/hyperlink" Target="https://www.tomiscz.cz/" TargetMode="External"/><Relationship Id="rId7" Type="http://schemas.openxmlformats.org/officeDocument/2006/relationships/hyperlink" Target="https://autosap.cz/zakladni-prehledy-automotive/obecne-zakladni-prehledy/" TargetMode="External"/><Relationship Id="rId12" Type="http://schemas.openxmlformats.org/officeDocument/2006/relationships/hyperlink" Target="http://fincentrum.idnes.cz/fi_osobni.asp?r=fi_osobni&amp;c=A060220_110634_fi_osobni_vra" TargetMode="External"/><Relationship Id="rId2" Type="http://schemas.openxmlformats.org/officeDocument/2006/relationships/hyperlink" Target="https://www.profimex.cz/" TargetMode="External"/><Relationship Id="rId1" Type="http://schemas.openxmlformats.org/officeDocument/2006/relationships/hyperlink" Target="https://www.grand.cz/vyroba-odevu.php" TargetMode="External"/><Relationship Id="rId6" Type="http://schemas.openxmlformats.org/officeDocument/2006/relationships/hyperlink" Target="https://www.tmt.cz/novinky/automaticka-linka-pro-montaz-autodilu/" TargetMode="External"/><Relationship Id="rId11" Type="http://schemas.openxmlformats.org/officeDocument/2006/relationships/hyperlink" Target="https://invenio.nusl.cz/record/407088/files/vestnik_UPV_201802.pdf" TargetMode="External"/><Relationship Id="rId5" Type="http://schemas.openxmlformats.org/officeDocument/2006/relationships/hyperlink" Target="https://www.smartmen.cz/fr/profesni-odevy/vyroba-a-prumysl" TargetMode="External"/><Relationship Id="rId10" Type="http://schemas.openxmlformats.org/officeDocument/2006/relationships/hyperlink" Target="https://www.e15.cz/byznys/prumysl-a-energetika/rizikem-pro-ekonomiku-je-vyvoj-automobiloveho-prumyslu-1354335" TargetMode="External"/><Relationship Id="rId4" Type="http://schemas.openxmlformats.org/officeDocument/2006/relationships/hyperlink" Target="https://www.engelbert-strauss.cz/" TargetMode="External"/><Relationship Id="rId9" Type="http://schemas.openxmlformats.org/officeDocument/2006/relationships/hyperlink" Target="https://www.elogistika.info/krize-ceskeho-a-slovenskeho-automobiloveho-prumysl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cnmuni-my.sharepoint.com/personal/496301_muni_cz/Documents/2.%20semestr%20NMgr/FMAN%20Finan&#269;n&#237;%20management/DISTING,%20S.R.O/fstmt%20-%20z&#225;v&#283;rky%202021-%202002.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cnmuni-my.sharepoint.com/personal/495861_muni_cz/Documents/FMAN%20after%20VLA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cnmuni-my.sharepoint.com/personal/495861_muni_cz/Documents/FMAN%20after%20VLAK.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cnmuni-my.sharepoint.com/personal/495861_muni_cz/Documents/FMAN%20after%20VLAK.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cnmuni-my.sharepoint.com/personal/495861_muni_cz/Documents/FMAN%20after%20VLAK.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ucnmuni-my.sharepoint.com/personal/496301_muni_cz/Documents/2.%20semestr%20NMgr/FMAN%20Finan&#269;n&#237;%20management/FMAN%20VE%20VLAK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cnmuni-my.sharepoint.com/personal/496301_muni_cz/Documents/2.%20semestr%20NMgr/FMAN%20Finan&#269;n&#237;%20management/FMAN%20VE%20VLAK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cnmuni-my.sharepoint.com/personal/496301_muni_cz/Documents/2.%20semestr%20NMgr/FMAN%20Finan&#269;n&#237;%20management/FMAN%20VE%20VLAK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cnmuni-my.sharepoint.com/personal/496301_muni_cz/Documents/2.%20semestr%20NMgr/FMAN%20Finan&#269;n&#237;%20management/FMAN%20VE%20VLAK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cnmuni-my.sharepoint.com/personal/496301_muni_cz/Documents/2.%20semestr%20NMgr/FMAN%20Finan&#269;n&#237;%20management/FMAN%20VE%20VLAKU.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cnmuni-my.sharepoint.com/personal/496301_muni_cz/Documents/2.%20semestr%20NMgr/FMAN%20Finan&#269;n&#237;%20management/FMAN%20VE%20VLAKU.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cnmuni-my.sharepoint.com/personal/496301_muni_cz/Documents/2.%20semestr%20NMgr/FMAN%20Finan&#269;n&#237;%20management/FMAN%20VE%20VLAKU.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cnmuni-my.sharepoint.com/personal/495861_muni_cz/Documents/FMAN%20after%20VLA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cs-CZ" sz="1200"/>
              <a:t>Vývoj počtu zaměstnanců ve společnosti Disting s.r.o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List2!$E$20</c:f>
              <c:strCache>
                <c:ptCount val="1"/>
                <c:pt idx="0">
                  <c:v>počet zaměstnanců</c:v>
                </c:pt>
              </c:strCache>
            </c:strRef>
          </c:tx>
          <c:spPr>
            <a:solidFill>
              <a:schemeClr val="accent1"/>
            </a:solidFill>
            <a:ln>
              <a:noFill/>
            </a:ln>
            <a:effectLst/>
          </c:spPr>
          <c:invertIfNegative val="0"/>
          <c:cat>
            <c:numRef>
              <c:f>List2!$D$21:$D$38</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List2!$E$21:$E$38</c:f>
              <c:numCache>
                <c:formatCode>General</c:formatCode>
                <c:ptCount val="18"/>
                <c:pt idx="0">
                  <c:v>89</c:v>
                </c:pt>
                <c:pt idx="1">
                  <c:v>93</c:v>
                </c:pt>
                <c:pt idx="2">
                  <c:v>70</c:v>
                </c:pt>
                <c:pt idx="3">
                  <c:v>74</c:v>
                </c:pt>
                <c:pt idx="4">
                  <c:v>74</c:v>
                </c:pt>
                <c:pt idx="5">
                  <c:v>0</c:v>
                </c:pt>
                <c:pt idx="6">
                  <c:v>31</c:v>
                </c:pt>
                <c:pt idx="7">
                  <c:v>67</c:v>
                </c:pt>
                <c:pt idx="8">
                  <c:v>63</c:v>
                </c:pt>
                <c:pt idx="9">
                  <c:v>0</c:v>
                </c:pt>
                <c:pt idx="10">
                  <c:v>75</c:v>
                </c:pt>
                <c:pt idx="11">
                  <c:v>0</c:v>
                </c:pt>
                <c:pt idx="12">
                  <c:v>77</c:v>
                </c:pt>
                <c:pt idx="13">
                  <c:v>85</c:v>
                </c:pt>
                <c:pt idx="14">
                  <c:v>93</c:v>
                </c:pt>
                <c:pt idx="15">
                  <c:v>105</c:v>
                </c:pt>
                <c:pt idx="16">
                  <c:v>119</c:v>
                </c:pt>
                <c:pt idx="17">
                  <c:v>121</c:v>
                </c:pt>
              </c:numCache>
            </c:numRef>
          </c:val>
          <c:extLst>
            <c:ext xmlns:c16="http://schemas.microsoft.com/office/drawing/2014/chart" uri="{C3380CC4-5D6E-409C-BE32-E72D297353CC}">
              <c16:uniqueId val="{00000000-0B37-4457-9EDC-5302E0D1DA3E}"/>
            </c:ext>
          </c:extLst>
        </c:ser>
        <c:dLbls>
          <c:showLegendKey val="0"/>
          <c:showVal val="0"/>
          <c:showCatName val="0"/>
          <c:showSerName val="0"/>
          <c:showPercent val="0"/>
          <c:showBubbleSize val="0"/>
        </c:dLbls>
        <c:gapWidth val="219"/>
        <c:overlap val="-27"/>
        <c:axId val="1691465168"/>
        <c:axId val="1691051024"/>
      </c:barChart>
      <c:catAx>
        <c:axId val="169146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91051024"/>
        <c:crosses val="autoZero"/>
        <c:auto val="1"/>
        <c:lblAlgn val="ctr"/>
        <c:lblOffset val="100"/>
        <c:noMultiLvlLbl val="0"/>
      </c:catAx>
      <c:valAx>
        <c:axId val="169105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9146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Index finanční páky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PÁKY!$A$12</c:f>
              <c:strCache>
                <c:ptCount val="1"/>
                <c:pt idx="0">
                  <c:v>Index finanční páky</c:v>
                </c:pt>
              </c:strCache>
            </c:strRef>
          </c:tx>
          <c:spPr>
            <a:ln w="28575" cap="rnd">
              <a:solidFill>
                <a:schemeClr val="accent1"/>
              </a:solidFill>
              <a:round/>
            </a:ln>
            <a:effectLst/>
          </c:spPr>
          <c:marker>
            <c:symbol val="none"/>
          </c:marker>
          <c:cat>
            <c:strRef>
              <c:f>PÁKY!$B$11:$F$11</c:f>
              <c:strCache>
                <c:ptCount val="5"/>
                <c:pt idx="0">
                  <c:v>2017</c:v>
                </c:pt>
                <c:pt idx="1">
                  <c:v>2018</c:v>
                </c:pt>
                <c:pt idx="2">
                  <c:v>2019</c:v>
                </c:pt>
                <c:pt idx="3">
                  <c:v>2020</c:v>
                </c:pt>
                <c:pt idx="4">
                  <c:v>2021</c:v>
                </c:pt>
              </c:strCache>
            </c:strRef>
          </c:cat>
          <c:val>
            <c:numRef>
              <c:f>PÁKY!$B$12:$F$12</c:f>
              <c:numCache>
                <c:formatCode>0.00</c:formatCode>
                <c:ptCount val="5"/>
                <c:pt idx="0">
                  <c:v>0.9353301928899842</c:v>
                </c:pt>
                <c:pt idx="1">
                  <c:v>1.056893344115996</c:v>
                </c:pt>
                <c:pt idx="2">
                  <c:v>0.85689651522528709</c:v>
                </c:pt>
                <c:pt idx="3">
                  <c:v>0.40589088768096893</c:v>
                </c:pt>
                <c:pt idx="4">
                  <c:v>0.71507744553641772</c:v>
                </c:pt>
              </c:numCache>
            </c:numRef>
          </c:val>
          <c:smooth val="0"/>
          <c:extLst>
            <c:ext xmlns:c16="http://schemas.microsoft.com/office/drawing/2014/chart" uri="{C3380CC4-5D6E-409C-BE32-E72D297353CC}">
              <c16:uniqueId val="{00000000-9650-4065-B9FF-9E7D51A451D0}"/>
            </c:ext>
          </c:extLst>
        </c:ser>
        <c:ser>
          <c:idx val="1"/>
          <c:order val="1"/>
          <c:tx>
            <c:strRef>
              <c:f>PÁKY!$A$13</c:f>
              <c:strCache>
                <c:ptCount val="1"/>
                <c:pt idx="0">
                  <c:v>Doporučená hodnota </c:v>
                </c:pt>
              </c:strCache>
            </c:strRef>
          </c:tx>
          <c:spPr>
            <a:ln w="28575" cap="rnd">
              <a:solidFill>
                <a:schemeClr val="accent2"/>
              </a:solidFill>
              <a:round/>
            </a:ln>
            <a:effectLst/>
          </c:spPr>
          <c:marker>
            <c:symbol val="none"/>
          </c:marker>
          <c:cat>
            <c:strRef>
              <c:f>PÁKY!$B$11:$F$11</c:f>
              <c:strCache>
                <c:ptCount val="5"/>
                <c:pt idx="0">
                  <c:v>2017</c:v>
                </c:pt>
                <c:pt idx="1">
                  <c:v>2018</c:v>
                </c:pt>
                <c:pt idx="2">
                  <c:v>2019</c:v>
                </c:pt>
                <c:pt idx="3">
                  <c:v>2020</c:v>
                </c:pt>
                <c:pt idx="4">
                  <c:v>2021</c:v>
                </c:pt>
              </c:strCache>
            </c:strRef>
          </c:cat>
          <c:val>
            <c:numRef>
              <c:f>PÁKY!$B$13:$F$13</c:f>
              <c:numCache>
                <c:formatCode>General</c:formatCode>
                <c:ptCount val="5"/>
                <c:pt idx="0">
                  <c:v>1</c:v>
                </c:pt>
                <c:pt idx="1">
                  <c:v>1</c:v>
                </c:pt>
                <c:pt idx="2">
                  <c:v>1</c:v>
                </c:pt>
                <c:pt idx="3">
                  <c:v>1</c:v>
                </c:pt>
                <c:pt idx="4">
                  <c:v>1</c:v>
                </c:pt>
              </c:numCache>
            </c:numRef>
          </c:val>
          <c:smooth val="0"/>
          <c:extLst>
            <c:ext xmlns:c16="http://schemas.microsoft.com/office/drawing/2014/chart" uri="{C3380CC4-5D6E-409C-BE32-E72D297353CC}">
              <c16:uniqueId val="{00000001-9650-4065-B9FF-9E7D51A451D0}"/>
            </c:ext>
          </c:extLst>
        </c:ser>
        <c:dLbls>
          <c:showLegendKey val="0"/>
          <c:showVal val="0"/>
          <c:showCatName val="0"/>
          <c:showSerName val="0"/>
          <c:showPercent val="0"/>
          <c:showBubbleSize val="0"/>
        </c:dLbls>
        <c:smooth val="0"/>
        <c:axId val="1013793952"/>
        <c:axId val="1013794432"/>
      </c:lineChart>
      <c:catAx>
        <c:axId val="101379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13794432"/>
        <c:crosses val="autoZero"/>
        <c:auto val="1"/>
        <c:lblAlgn val="ctr"/>
        <c:lblOffset val="100"/>
        <c:noMultiLvlLbl val="0"/>
      </c:catAx>
      <c:valAx>
        <c:axId val="1013794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1379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PÁKY!$A$58</c:f>
              <c:strCache>
                <c:ptCount val="1"/>
                <c:pt idx="0">
                  <c:v>Index provozní páky </c:v>
                </c:pt>
              </c:strCache>
            </c:strRef>
          </c:tx>
          <c:spPr>
            <a:ln w="28575" cap="rnd">
              <a:solidFill>
                <a:schemeClr val="accent1"/>
              </a:solidFill>
              <a:round/>
            </a:ln>
            <a:effectLst/>
          </c:spPr>
          <c:marker>
            <c:symbol val="none"/>
          </c:marker>
          <c:cat>
            <c:strRef>
              <c:f>PÁKY!$B$57:$E$57</c:f>
              <c:strCache>
                <c:ptCount val="4"/>
                <c:pt idx="0">
                  <c:v>2017/2018</c:v>
                </c:pt>
                <c:pt idx="1">
                  <c:v>2018/2019</c:v>
                </c:pt>
                <c:pt idx="2">
                  <c:v>2019/2020</c:v>
                </c:pt>
                <c:pt idx="3">
                  <c:v>2020/2021</c:v>
                </c:pt>
              </c:strCache>
            </c:strRef>
          </c:cat>
          <c:val>
            <c:numRef>
              <c:f>PÁKY!$B$58:$E$58</c:f>
              <c:numCache>
                <c:formatCode>0.00</c:formatCode>
                <c:ptCount val="4"/>
                <c:pt idx="0">
                  <c:v>13.605544598790329</c:v>
                </c:pt>
                <c:pt idx="1">
                  <c:v>-163.84619116933527</c:v>
                </c:pt>
                <c:pt idx="2">
                  <c:v>-3.1714152316607618</c:v>
                </c:pt>
                <c:pt idx="3">
                  <c:v>2.8023891169403283</c:v>
                </c:pt>
              </c:numCache>
            </c:numRef>
          </c:val>
          <c:smooth val="0"/>
          <c:extLst>
            <c:ext xmlns:c16="http://schemas.microsoft.com/office/drawing/2014/chart" uri="{C3380CC4-5D6E-409C-BE32-E72D297353CC}">
              <c16:uniqueId val="{00000000-0821-4279-BB40-A86A18A04AAC}"/>
            </c:ext>
          </c:extLst>
        </c:ser>
        <c:dLbls>
          <c:showLegendKey val="0"/>
          <c:showVal val="0"/>
          <c:showCatName val="0"/>
          <c:showSerName val="0"/>
          <c:showPercent val="0"/>
          <c:showBubbleSize val="0"/>
        </c:dLbls>
        <c:smooth val="0"/>
        <c:axId val="939722464"/>
        <c:axId val="939721504"/>
      </c:lineChart>
      <c:catAx>
        <c:axId val="939722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39721504"/>
        <c:crosses val="autoZero"/>
        <c:auto val="0"/>
        <c:lblAlgn val="ctr"/>
        <c:lblOffset val="100"/>
        <c:noMultiLvlLbl val="0"/>
      </c:catAx>
      <c:valAx>
        <c:axId val="939721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3972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u="none" strike="noStrike" baseline="0">
                <a:effectLst/>
              </a:rPr>
              <a:t>Grünwaldův bonitní ukazatel</a:t>
            </a:r>
            <a:r>
              <a:rPr lang="cs-CZ" sz="1400" b="0" i="0" u="none" strike="noStrike" baseline="0"/>
              <a:t> </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'[FMAN after VLAK.xlsx]BONITNÍ'!$K$31</c:f>
              <c:strCache>
                <c:ptCount val="1"/>
                <c:pt idx="0">
                  <c:v>IB = (ROE/h + ROA/u + L2/1 + KZČPK/z + DSD/s + UK/k)/6</c:v>
                </c:pt>
              </c:strCache>
            </c:strRef>
          </c:tx>
          <c:spPr>
            <a:solidFill>
              <a:schemeClr val="accent1"/>
            </a:solidFill>
            <a:ln>
              <a:noFill/>
            </a:ln>
            <a:effectLst/>
          </c:spPr>
          <c:invertIfNegative val="0"/>
          <c:cat>
            <c:strRef>
              <c:f>'[FMAN after VLAK.xlsx]BONITNÍ'!$L$24:$P$24</c:f>
              <c:strCache>
                <c:ptCount val="5"/>
                <c:pt idx="0">
                  <c:v>2017</c:v>
                </c:pt>
                <c:pt idx="1">
                  <c:v>2018</c:v>
                </c:pt>
                <c:pt idx="2">
                  <c:v>2019</c:v>
                </c:pt>
                <c:pt idx="3">
                  <c:v>2020</c:v>
                </c:pt>
                <c:pt idx="4">
                  <c:v>2021</c:v>
                </c:pt>
              </c:strCache>
            </c:strRef>
          </c:cat>
          <c:val>
            <c:numRef>
              <c:f>'[FMAN after VLAK.xlsx]BONITNÍ'!$L$31:$P$31</c:f>
              <c:numCache>
                <c:formatCode>0.00</c:formatCode>
                <c:ptCount val="5"/>
                <c:pt idx="0">
                  <c:v>27.848861796817442</c:v>
                </c:pt>
                <c:pt idx="1">
                  <c:v>19.630899347859042</c:v>
                </c:pt>
                <c:pt idx="2">
                  <c:v>23.664009656828384</c:v>
                </c:pt>
                <c:pt idx="3">
                  <c:v>13.601461597931213</c:v>
                </c:pt>
                <c:pt idx="4">
                  <c:v>4.0158394579709817</c:v>
                </c:pt>
              </c:numCache>
            </c:numRef>
          </c:val>
          <c:extLst>
            <c:ext xmlns:c16="http://schemas.microsoft.com/office/drawing/2014/chart" uri="{C3380CC4-5D6E-409C-BE32-E72D297353CC}">
              <c16:uniqueId val="{00000000-C1B3-440D-8123-77305CEA5461}"/>
            </c:ext>
          </c:extLst>
        </c:ser>
        <c:dLbls>
          <c:showLegendKey val="0"/>
          <c:showVal val="0"/>
          <c:showCatName val="0"/>
          <c:showSerName val="0"/>
          <c:showPercent val="0"/>
          <c:showBubbleSize val="0"/>
        </c:dLbls>
        <c:gapWidth val="219"/>
        <c:overlap val="-27"/>
        <c:axId val="1822880959"/>
        <c:axId val="1822876639"/>
      </c:barChart>
      <c:catAx>
        <c:axId val="1822880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22876639"/>
        <c:crosses val="autoZero"/>
        <c:auto val="1"/>
        <c:lblAlgn val="ctr"/>
        <c:lblOffset val="100"/>
        <c:noMultiLvlLbl val="0"/>
      </c:catAx>
      <c:valAx>
        <c:axId val="18228766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22880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'[FMAN after VLAK.xlsx]BONITNÍ'!$K$42</c:f>
              <c:strCache>
                <c:ptCount val="1"/>
                <c:pt idx="0">
                  <c:v>Index bonity</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503-4085-8635-F8DCF057C9AC}"/>
              </c:ext>
            </c:extLst>
          </c:dPt>
          <c:dPt>
            <c:idx val="1"/>
            <c:invertIfNegative val="0"/>
            <c:bubble3D val="0"/>
            <c:spPr>
              <a:solidFill>
                <a:srgbClr val="00B050"/>
              </a:solidFill>
              <a:ln>
                <a:noFill/>
              </a:ln>
              <a:effectLst/>
            </c:spPr>
            <c:extLst>
              <c:ext xmlns:c16="http://schemas.microsoft.com/office/drawing/2014/chart" uri="{C3380CC4-5D6E-409C-BE32-E72D297353CC}">
                <c16:uniqueId val="{00000003-0503-4085-8635-F8DCF057C9AC}"/>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0503-4085-8635-F8DCF057C9AC}"/>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0503-4085-8635-F8DCF057C9AC}"/>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9-0503-4085-8635-F8DCF057C9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'[FMAN after VLAK.xlsx]BONITNÍ'!$L$35:$P$35</c:f>
              <c:strCache>
                <c:ptCount val="5"/>
                <c:pt idx="0">
                  <c:v>2017</c:v>
                </c:pt>
                <c:pt idx="1">
                  <c:v>2018</c:v>
                </c:pt>
                <c:pt idx="2">
                  <c:v>2019</c:v>
                </c:pt>
                <c:pt idx="3">
                  <c:v>2020</c:v>
                </c:pt>
                <c:pt idx="4">
                  <c:v>2021</c:v>
                </c:pt>
              </c:strCache>
            </c:strRef>
          </c:cat>
          <c:val>
            <c:numRef>
              <c:f>'[FMAN after VLAK.xlsx]BONITNÍ'!$L$42:$P$42</c:f>
              <c:numCache>
                <c:formatCode>0.00</c:formatCode>
                <c:ptCount val="5"/>
                <c:pt idx="0">
                  <c:v>6.5610263459017402</c:v>
                </c:pt>
                <c:pt idx="1">
                  <c:v>3.4228247112240644</c:v>
                </c:pt>
                <c:pt idx="2">
                  <c:v>0.55307441280039427</c:v>
                </c:pt>
                <c:pt idx="3">
                  <c:v>0.53642475654480204</c:v>
                </c:pt>
                <c:pt idx="4">
                  <c:v>0.75983880133340365</c:v>
                </c:pt>
              </c:numCache>
            </c:numRef>
          </c:val>
          <c:extLst>
            <c:ext xmlns:c16="http://schemas.microsoft.com/office/drawing/2014/chart" uri="{C3380CC4-5D6E-409C-BE32-E72D297353CC}">
              <c16:uniqueId val="{0000000A-0503-4085-8635-F8DCF057C9AC}"/>
            </c:ext>
          </c:extLst>
        </c:ser>
        <c:dLbls>
          <c:dLblPos val="outEnd"/>
          <c:showLegendKey val="0"/>
          <c:showVal val="1"/>
          <c:showCatName val="0"/>
          <c:showSerName val="0"/>
          <c:showPercent val="0"/>
          <c:showBubbleSize val="0"/>
        </c:dLbls>
        <c:gapWidth val="219"/>
        <c:overlap val="-27"/>
        <c:axId val="1954405343"/>
        <c:axId val="1954405823"/>
      </c:barChart>
      <c:catAx>
        <c:axId val="195440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54405823"/>
        <c:crosses val="autoZero"/>
        <c:auto val="1"/>
        <c:lblAlgn val="ctr"/>
        <c:lblOffset val="100"/>
        <c:noMultiLvlLbl val="0"/>
      </c:catAx>
      <c:valAx>
        <c:axId val="19544058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54405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rentability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'poměrové ukazatele'!$K$14</c:f>
              <c:strCache>
                <c:ptCount val="1"/>
                <c:pt idx="0">
                  <c:v>ROE (ČZ/VK)</c:v>
                </c:pt>
              </c:strCache>
            </c:strRef>
          </c:tx>
          <c:spPr>
            <a:ln w="28575" cap="rnd">
              <a:solidFill>
                <a:schemeClr val="accent1"/>
              </a:solidFill>
              <a:round/>
            </a:ln>
            <a:effectLst/>
          </c:spPr>
          <c:marker>
            <c:symbol val="none"/>
          </c:marker>
          <c:cat>
            <c:numRef>
              <c:f>'poměrové ukazatele'!$L$13:$P$13</c:f>
              <c:numCache>
                <c:formatCode>General</c:formatCode>
                <c:ptCount val="5"/>
                <c:pt idx="0">
                  <c:v>2017</c:v>
                </c:pt>
                <c:pt idx="1">
                  <c:v>2018</c:v>
                </c:pt>
                <c:pt idx="2">
                  <c:v>2019</c:v>
                </c:pt>
                <c:pt idx="3">
                  <c:v>2020</c:v>
                </c:pt>
                <c:pt idx="4">
                  <c:v>2021</c:v>
                </c:pt>
              </c:numCache>
            </c:numRef>
          </c:cat>
          <c:val>
            <c:numRef>
              <c:f>'poměrové ukazatele'!$L$14:$P$14</c:f>
              <c:numCache>
                <c:formatCode>0.00%</c:formatCode>
                <c:ptCount val="5"/>
                <c:pt idx="0">
                  <c:v>0.22375915378356387</c:v>
                </c:pt>
                <c:pt idx="1">
                  <c:v>0.15163767434571385</c:v>
                </c:pt>
                <c:pt idx="2">
                  <c:v>1.5707645456002565E-2</c:v>
                </c:pt>
                <c:pt idx="3">
                  <c:v>7.3190135242641209E-3</c:v>
                </c:pt>
                <c:pt idx="4">
                  <c:v>1.664736990330757E-2</c:v>
                </c:pt>
              </c:numCache>
            </c:numRef>
          </c:val>
          <c:smooth val="0"/>
          <c:extLst>
            <c:ext xmlns:c16="http://schemas.microsoft.com/office/drawing/2014/chart" uri="{C3380CC4-5D6E-409C-BE32-E72D297353CC}">
              <c16:uniqueId val="{00000000-7555-4820-AD40-44BD50A51AB6}"/>
            </c:ext>
          </c:extLst>
        </c:ser>
        <c:ser>
          <c:idx val="1"/>
          <c:order val="1"/>
          <c:tx>
            <c:strRef>
              <c:f>'poměrové ukazatele'!$K$15</c:f>
              <c:strCache>
                <c:ptCount val="1"/>
                <c:pt idx="0">
                  <c:v>ROA (EBIT/A)</c:v>
                </c:pt>
              </c:strCache>
            </c:strRef>
          </c:tx>
          <c:spPr>
            <a:ln w="28575" cap="rnd">
              <a:solidFill>
                <a:schemeClr val="accent2"/>
              </a:solidFill>
              <a:round/>
            </a:ln>
            <a:effectLst/>
          </c:spPr>
          <c:marker>
            <c:symbol val="none"/>
          </c:marker>
          <c:cat>
            <c:numRef>
              <c:f>'poměrové ukazatele'!$L$13:$P$13</c:f>
              <c:numCache>
                <c:formatCode>General</c:formatCode>
                <c:ptCount val="5"/>
                <c:pt idx="0">
                  <c:v>2017</c:v>
                </c:pt>
                <c:pt idx="1">
                  <c:v>2018</c:v>
                </c:pt>
                <c:pt idx="2">
                  <c:v>2019</c:v>
                </c:pt>
                <c:pt idx="3">
                  <c:v>2020</c:v>
                </c:pt>
                <c:pt idx="4">
                  <c:v>2021</c:v>
                </c:pt>
              </c:numCache>
            </c:numRef>
          </c:cat>
          <c:val>
            <c:numRef>
              <c:f>'poměrové ukazatele'!$L$15:$P$15</c:f>
              <c:numCache>
                <c:formatCode>0.00%</c:formatCode>
                <c:ptCount val="5"/>
                <c:pt idx="0">
                  <c:v>0.23923011946422107</c:v>
                </c:pt>
                <c:pt idx="1">
                  <c:v>0.14347490708492089</c:v>
                </c:pt>
                <c:pt idx="2">
                  <c:v>1.8330854632864109E-2</c:v>
                </c:pt>
                <c:pt idx="3">
                  <c:v>1.8031972991758516E-2</c:v>
                </c:pt>
                <c:pt idx="4">
                  <c:v>2.3280513190874718E-2</c:v>
                </c:pt>
              </c:numCache>
            </c:numRef>
          </c:val>
          <c:smooth val="0"/>
          <c:extLst>
            <c:ext xmlns:c16="http://schemas.microsoft.com/office/drawing/2014/chart" uri="{C3380CC4-5D6E-409C-BE32-E72D297353CC}">
              <c16:uniqueId val="{00000001-7555-4820-AD40-44BD50A51AB6}"/>
            </c:ext>
          </c:extLst>
        </c:ser>
        <c:ser>
          <c:idx val="2"/>
          <c:order val="2"/>
          <c:tx>
            <c:strRef>
              <c:f>'poměrové ukazatele'!$K$16</c:f>
              <c:strCache>
                <c:ptCount val="1"/>
                <c:pt idx="0">
                  <c:v>ROICE (EBITDA/(VK+DCZ))</c:v>
                </c:pt>
              </c:strCache>
            </c:strRef>
          </c:tx>
          <c:spPr>
            <a:ln w="28575" cap="rnd">
              <a:solidFill>
                <a:schemeClr val="accent3"/>
              </a:solidFill>
              <a:round/>
            </a:ln>
            <a:effectLst/>
          </c:spPr>
          <c:marker>
            <c:symbol val="none"/>
          </c:marker>
          <c:cat>
            <c:numRef>
              <c:f>'poměrové ukazatele'!$L$13:$P$13</c:f>
              <c:numCache>
                <c:formatCode>General</c:formatCode>
                <c:ptCount val="5"/>
                <c:pt idx="0">
                  <c:v>2017</c:v>
                </c:pt>
                <c:pt idx="1">
                  <c:v>2018</c:v>
                </c:pt>
                <c:pt idx="2">
                  <c:v>2019</c:v>
                </c:pt>
                <c:pt idx="3">
                  <c:v>2020</c:v>
                </c:pt>
                <c:pt idx="4">
                  <c:v>2021</c:v>
                </c:pt>
              </c:numCache>
            </c:numRef>
          </c:cat>
          <c:val>
            <c:numRef>
              <c:f>'poměrové ukazatele'!$L$16:$P$16</c:f>
              <c:numCache>
                <c:formatCode>0.00%</c:formatCode>
                <c:ptCount val="5"/>
                <c:pt idx="0">
                  <c:v>0.35621042204690984</c:v>
                </c:pt>
                <c:pt idx="1">
                  <c:v>0.20535323639171277</c:v>
                </c:pt>
                <c:pt idx="2">
                  <c:v>4.1478227161131927E-2</c:v>
                </c:pt>
                <c:pt idx="3">
                  <c:v>5.0509631165241424E-2</c:v>
                </c:pt>
                <c:pt idx="4">
                  <c:v>5.3577722946774764E-2</c:v>
                </c:pt>
              </c:numCache>
            </c:numRef>
          </c:val>
          <c:smooth val="0"/>
          <c:extLst>
            <c:ext xmlns:c16="http://schemas.microsoft.com/office/drawing/2014/chart" uri="{C3380CC4-5D6E-409C-BE32-E72D297353CC}">
              <c16:uniqueId val="{00000002-7555-4820-AD40-44BD50A51AB6}"/>
            </c:ext>
          </c:extLst>
        </c:ser>
        <c:ser>
          <c:idx val="3"/>
          <c:order val="3"/>
          <c:tx>
            <c:strRef>
              <c:f>'poměrové ukazatele'!$K$17</c:f>
              <c:strCache>
                <c:ptCount val="1"/>
                <c:pt idx="0">
                  <c:v>ROS (ČZ/T)</c:v>
                </c:pt>
              </c:strCache>
            </c:strRef>
          </c:tx>
          <c:spPr>
            <a:ln w="28575" cap="rnd">
              <a:solidFill>
                <a:schemeClr val="accent4"/>
              </a:solidFill>
              <a:round/>
            </a:ln>
            <a:effectLst/>
          </c:spPr>
          <c:marker>
            <c:symbol val="none"/>
          </c:marker>
          <c:cat>
            <c:numRef>
              <c:f>'poměrové ukazatele'!$L$13:$P$13</c:f>
              <c:numCache>
                <c:formatCode>General</c:formatCode>
                <c:ptCount val="5"/>
                <c:pt idx="0">
                  <c:v>2017</c:v>
                </c:pt>
                <c:pt idx="1">
                  <c:v>2018</c:v>
                </c:pt>
                <c:pt idx="2">
                  <c:v>2019</c:v>
                </c:pt>
                <c:pt idx="3">
                  <c:v>2020</c:v>
                </c:pt>
                <c:pt idx="4">
                  <c:v>2021</c:v>
                </c:pt>
              </c:numCache>
            </c:numRef>
          </c:cat>
          <c:val>
            <c:numRef>
              <c:f>'poměrové ukazatele'!$L$17:$P$17</c:f>
              <c:numCache>
                <c:formatCode>0.00%</c:formatCode>
                <c:ptCount val="5"/>
                <c:pt idx="0">
                  <c:v>0.13718685608936124</c:v>
                </c:pt>
                <c:pt idx="1">
                  <c:v>0.10655448859131354</c:v>
                </c:pt>
                <c:pt idx="2">
                  <c:v>1.0760716795502459E-2</c:v>
                </c:pt>
                <c:pt idx="3">
                  <c:v>4.8261535556161743E-3</c:v>
                </c:pt>
                <c:pt idx="4">
                  <c:v>1.0254630968214499E-2</c:v>
                </c:pt>
              </c:numCache>
            </c:numRef>
          </c:val>
          <c:smooth val="0"/>
          <c:extLst>
            <c:ext xmlns:c16="http://schemas.microsoft.com/office/drawing/2014/chart" uri="{C3380CC4-5D6E-409C-BE32-E72D297353CC}">
              <c16:uniqueId val="{00000003-7555-4820-AD40-44BD50A51AB6}"/>
            </c:ext>
          </c:extLst>
        </c:ser>
        <c:ser>
          <c:idx val="4"/>
          <c:order val="4"/>
          <c:tx>
            <c:strRef>
              <c:f>'poměrové ukazatele'!$K$18</c:f>
              <c:strCache>
                <c:ptCount val="1"/>
                <c:pt idx="0">
                  <c:v>ROS (EBIT/T)</c:v>
                </c:pt>
              </c:strCache>
            </c:strRef>
          </c:tx>
          <c:spPr>
            <a:ln w="28575" cap="rnd">
              <a:solidFill>
                <a:schemeClr val="accent5"/>
              </a:solidFill>
              <a:round/>
            </a:ln>
            <a:effectLst/>
          </c:spPr>
          <c:marker>
            <c:symbol val="none"/>
          </c:marker>
          <c:cat>
            <c:numRef>
              <c:f>'poměrové ukazatele'!$L$13:$P$13</c:f>
              <c:numCache>
                <c:formatCode>General</c:formatCode>
                <c:ptCount val="5"/>
                <c:pt idx="0">
                  <c:v>2017</c:v>
                </c:pt>
                <c:pt idx="1">
                  <c:v>2018</c:v>
                </c:pt>
                <c:pt idx="2">
                  <c:v>2019</c:v>
                </c:pt>
                <c:pt idx="3">
                  <c:v>2020</c:v>
                </c:pt>
                <c:pt idx="4">
                  <c:v>2021</c:v>
                </c:pt>
              </c:numCache>
            </c:numRef>
          </c:cat>
          <c:val>
            <c:numRef>
              <c:f>'poměrové ukazatele'!$L$18:$P$18</c:f>
              <c:numCache>
                <c:formatCode>0.00%</c:formatCode>
                <c:ptCount val="5"/>
                <c:pt idx="0">
                  <c:v>0.17199869862270903</c:v>
                </c:pt>
                <c:pt idx="1">
                  <c:v>0.13518632719584178</c:v>
                </c:pt>
                <c:pt idx="2">
                  <c:v>2.3278285312719606E-2</c:v>
                </c:pt>
                <c:pt idx="3">
                  <c:v>1.9052814906519503E-2</c:v>
                </c:pt>
                <c:pt idx="4">
                  <c:v>2.1126081844291524E-2</c:v>
                </c:pt>
              </c:numCache>
            </c:numRef>
          </c:val>
          <c:smooth val="0"/>
          <c:extLst>
            <c:ext xmlns:c16="http://schemas.microsoft.com/office/drawing/2014/chart" uri="{C3380CC4-5D6E-409C-BE32-E72D297353CC}">
              <c16:uniqueId val="{00000004-7555-4820-AD40-44BD50A51AB6}"/>
            </c:ext>
          </c:extLst>
        </c:ser>
        <c:ser>
          <c:idx val="5"/>
          <c:order val="5"/>
          <c:tx>
            <c:strRef>
              <c:f>'poměrové ukazatele'!$K$19</c:f>
              <c:strCache>
                <c:ptCount val="1"/>
                <c:pt idx="0">
                  <c:v>čisté ziskové rozpětí (ČZ/V)</c:v>
                </c:pt>
              </c:strCache>
            </c:strRef>
          </c:tx>
          <c:spPr>
            <a:ln w="28575" cap="rnd">
              <a:solidFill>
                <a:schemeClr val="accent6"/>
              </a:solidFill>
              <a:round/>
            </a:ln>
            <a:effectLst/>
          </c:spPr>
          <c:marker>
            <c:symbol val="none"/>
          </c:marker>
          <c:cat>
            <c:numRef>
              <c:f>'poměrové ukazatele'!$L$13:$P$13</c:f>
              <c:numCache>
                <c:formatCode>General</c:formatCode>
                <c:ptCount val="5"/>
                <c:pt idx="0">
                  <c:v>2017</c:v>
                </c:pt>
                <c:pt idx="1">
                  <c:v>2018</c:v>
                </c:pt>
                <c:pt idx="2">
                  <c:v>2019</c:v>
                </c:pt>
                <c:pt idx="3">
                  <c:v>2020</c:v>
                </c:pt>
                <c:pt idx="4">
                  <c:v>2021</c:v>
                </c:pt>
              </c:numCache>
            </c:numRef>
          </c:cat>
          <c:val>
            <c:numRef>
              <c:f>'poměrové ukazatele'!$L$19:$P$19</c:f>
              <c:numCache>
                <c:formatCode>0.00%</c:formatCode>
                <c:ptCount val="5"/>
                <c:pt idx="0">
                  <c:v>0.13618844605214994</c:v>
                </c:pt>
                <c:pt idx="1">
                  <c:v>0.10567933595456531</c:v>
                </c:pt>
                <c:pt idx="2">
                  <c:v>1.0758590405093863E-2</c:v>
                </c:pt>
                <c:pt idx="3">
                  <c:v>4.7195945252703504E-3</c:v>
                </c:pt>
                <c:pt idx="4">
                  <c:v>1.0231162737028347E-2</c:v>
                </c:pt>
              </c:numCache>
            </c:numRef>
          </c:val>
          <c:smooth val="0"/>
          <c:extLst>
            <c:ext xmlns:c16="http://schemas.microsoft.com/office/drawing/2014/chart" uri="{C3380CC4-5D6E-409C-BE32-E72D297353CC}">
              <c16:uniqueId val="{00000005-7555-4820-AD40-44BD50A51AB6}"/>
            </c:ext>
          </c:extLst>
        </c:ser>
        <c:dLbls>
          <c:showLegendKey val="0"/>
          <c:showVal val="0"/>
          <c:showCatName val="0"/>
          <c:showSerName val="0"/>
          <c:showPercent val="0"/>
          <c:showBubbleSize val="0"/>
        </c:dLbls>
        <c:smooth val="0"/>
        <c:axId val="1881678271"/>
        <c:axId val="2060098543"/>
      </c:lineChart>
      <c:catAx>
        <c:axId val="188167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60098543"/>
        <c:crosses val="autoZero"/>
        <c:auto val="1"/>
        <c:lblAlgn val="ctr"/>
        <c:lblOffset val="100"/>
        <c:noMultiLvlLbl val="0"/>
      </c:catAx>
      <c:valAx>
        <c:axId val="2060098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81678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rentability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'poměrové ukazatele'!$K$14</c:f>
              <c:strCache>
                <c:ptCount val="1"/>
                <c:pt idx="0">
                  <c:v>ROE (ČZ/VK)</c:v>
                </c:pt>
              </c:strCache>
            </c:strRef>
          </c:tx>
          <c:spPr>
            <a:solidFill>
              <a:schemeClr val="accent1"/>
            </a:solidFill>
            <a:ln>
              <a:noFill/>
            </a:ln>
            <a:effectLst/>
          </c:spPr>
          <c:invertIfNegative val="0"/>
          <c:cat>
            <c:numRef>
              <c:f>'poměrové ukazatele'!$L$13:$P$13</c:f>
              <c:numCache>
                <c:formatCode>General</c:formatCode>
                <c:ptCount val="5"/>
                <c:pt idx="0">
                  <c:v>2017</c:v>
                </c:pt>
                <c:pt idx="1">
                  <c:v>2018</c:v>
                </c:pt>
                <c:pt idx="2">
                  <c:v>2019</c:v>
                </c:pt>
                <c:pt idx="3">
                  <c:v>2020</c:v>
                </c:pt>
                <c:pt idx="4">
                  <c:v>2021</c:v>
                </c:pt>
              </c:numCache>
            </c:numRef>
          </c:cat>
          <c:val>
            <c:numRef>
              <c:f>'poměrové ukazatele'!$L$14:$P$14</c:f>
              <c:numCache>
                <c:formatCode>0.00%</c:formatCode>
                <c:ptCount val="5"/>
                <c:pt idx="0">
                  <c:v>0.22375915378356387</c:v>
                </c:pt>
                <c:pt idx="1">
                  <c:v>0.15163767434571385</c:v>
                </c:pt>
                <c:pt idx="2">
                  <c:v>1.5707645456002565E-2</c:v>
                </c:pt>
                <c:pt idx="3">
                  <c:v>7.3190135242641209E-3</c:v>
                </c:pt>
                <c:pt idx="4">
                  <c:v>1.664736990330757E-2</c:v>
                </c:pt>
              </c:numCache>
            </c:numRef>
          </c:val>
          <c:extLst>
            <c:ext xmlns:c16="http://schemas.microsoft.com/office/drawing/2014/chart" uri="{C3380CC4-5D6E-409C-BE32-E72D297353CC}">
              <c16:uniqueId val="{00000000-C5F0-4EA4-9819-9EAA619311A7}"/>
            </c:ext>
          </c:extLst>
        </c:ser>
        <c:ser>
          <c:idx val="1"/>
          <c:order val="1"/>
          <c:tx>
            <c:strRef>
              <c:f>'poměrové ukazatele'!$K$15</c:f>
              <c:strCache>
                <c:ptCount val="1"/>
                <c:pt idx="0">
                  <c:v>ROA (EBIT/A)</c:v>
                </c:pt>
              </c:strCache>
            </c:strRef>
          </c:tx>
          <c:spPr>
            <a:solidFill>
              <a:schemeClr val="accent2"/>
            </a:solidFill>
            <a:ln>
              <a:noFill/>
            </a:ln>
            <a:effectLst/>
          </c:spPr>
          <c:invertIfNegative val="0"/>
          <c:cat>
            <c:numRef>
              <c:f>'poměrové ukazatele'!$L$13:$P$13</c:f>
              <c:numCache>
                <c:formatCode>General</c:formatCode>
                <c:ptCount val="5"/>
                <c:pt idx="0">
                  <c:v>2017</c:v>
                </c:pt>
                <c:pt idx="1">
                  <c:v>2018</c:v>
                </c:pt>
                <c:pt idx="2">
                  <c:v>2019</c:v>
                </c:pt>
                <c:pt idx="3">
                  <c:v>2020</c:v>
                </c:pt>
                <c:pt idx="4">
                  <c:v>2021</c:v>
                </c:pt>
              </c:numCache>
            </c:numRef>
          </c:cat>
          <c:val>
            <c:numRef>
              <c:f>'poměrové ukazatele'!$L$15:$P$15</c:f>
              <c:numCache>
                <c:formatCode>0.00%</c:formatCode>
                <c:ptCount val="5"/>
                <c:pt idx="0">
                  <c:v>0.23923011946422107</c:v>
                </c:pt>
                <c:pt idx="1">
                  <c:v>0.14347490708492089</c:v>
                </c:pt>
                <c:pt idx="2">
                  <c:v>1.8330854632864109E-2</c:v>
                </c:pt>
                <c:pt idx="3">
                  <c:v>1.8031972991758516E-2</c:v>
                </c:pt>
                <c:pt idx="4">
                  <c:v>2.3280513190874718E-2</c:v>
                </c:pt>
              </c:numCache>
            </c:numRef>
          </c:val>
          <c:extLst>
            <c:ext xmlns:c16="http://schemas.microsoft.com/office/drawing/2014/chart" uri="{C3380CC4-5D6E-409C-BE32-E72D297353CC}">
              <c16:uniqueId val="{00000001-C5F0-4EA4-9819-9EAA619311A7}"/>
            </c:ext>
          </c:extLst>
        </c:ser>
        <c:ser>
          <c:idx val="2"/>
          <c:order val="2"/>
          <c:tx>
            <c:strRef>
              <c:f>'poměrové ukazatele'!$K$16</c:f>
              <c:strCache>
                <c:ptCount val="1"/>
                <c:pt idx="0">
                  <c:v>ROICE (EBITDA/(VK+DCZ))</c:v>
                </c:pt>
              </c:strCache>
            </c:strRef>
          </c:tx>
          <c:spPr>
            <a:solidFill>
              <a:schemeClr val="accent3"/>
            </a:solidFill>
            <a:ln>
              <a:noFill/>
            </a:ln>
            <a:effectLst/>
          </c:spPr>
          <c:invertIfNegative val="0"/>
          <c:cat>
            <c:numRef>
              <c:f>'poměrové ukazatele'!$L$13:$P$13</c:f>
              <c:numCache>
                <c:formatCode>General</c:formatCode>
                <c:ptCount val="5"/>
                <c:pt idx="0">
                  <c:v>2017</c:v>
                </c:pt>
                <c:pt idx="1">
                  <c:v>2018</c:v>
                </c:pt>
                <c:pt idx="2">
                  <c:v>2019</c:v>
                </c:pt>
                <c:pt idx="3">
                  <c:v>2020</c:v>
                </c:pt>
                <c:pt idx="4">
                  <c:v>2021</c:v>
                </c:pt>
              </c:numCache>
            </c:numRef>
          </c:cat>
          <c:val>
            <c:numRef>
              <c:f>'poměrové ukazatele'!$L$16:$P$16</c:f>
              <c:numCache>
                <c:formatCode>0.00%</c:formatCode>
                <c:ptCount val="5"/>
                <c:pt idx="0">
                  <c:v>0.35621042204690984</c:v>
                </c:pt>
                <c:pt idx="1">
                  <c:v>0.20535323639171277</c:v>
                </c:pt>
                <c:pt idx="2">
                  <c:v>4.1478227161131927E-2</c:v>
                </c:pt>
                <c:pt idx="3">
                  <c:v>5.0509631165241424E-2</c:v>
                </c:pt>
                <c:pt idx="4">
                  <c:v>5.3577722946774764E-2</c:v>
                </c:pt>
              </c:numCache>
            </c:numRef>
          </c:val>
          <c:extLst>
            <c:ext xmlns:c16="http://schemas.microsoft.com/office/drawing/2014/chart" uri="{C3380CC4-5D6E-409C-BE32-E72D297353CC}">
              <c16:uniqueId val="{00000002-C5F0-4EA4-9819-9EAA619311A7}"/>
            </c:ext>
          </c:extLst>
        </c:ser>
        <c:ser>
          <c:idx val="3"/>
          <c:order val="3"/>
          <c:tx>
            <c:strRef>
              <c:f>'poměrové ukazatele'!$K$17</c:f>
              <c:strCache>
                <c:ptCount val="1"/>
                <c:pt idx="0">
                  <c:v>ROS (ČZ/T)</c:v>
                </c:pt>
              </c:strCache>
            </c:strRef>
          </c:tx>
          <c:spPr>
            <a:solidFill>
              <a:schemeClr val="accent4"/>
            </a:solidFill>
            <a:ln>
              <a:noFill/>
            </a:ln>
            <a:effectLst/>
          </c:spPr>
          <c:invertIfNegative val="0"/>
          <c:cat>
            <c:numRef>
              <c:f>'poměrové ukazatele'!$L$13:$P$13</c:f>
              <c:numCache>
                <c:formatCode>General</c:formatCode>
                <c:ptCount val="5"/>
                <c:pt idx="0">
                  <c:v>2017</c:v>
                </c:pt>
                <c:pt idx="1">
                  <c:v>2018</c:v>
                </c:pt>
                <c:pt idx="2">
                  <c:v>2019</c:v>
                </c:pt>
                <c:pt idx="3">
                  <c:v>2020</c:v>
                </c:pt>
                <c:pt idx="4">
                  <c:v>2021</c:v>
                </c:pt>
              </c:numCache>
            </c:numRef>
          </c:cat>
          <c:val>
            <c:numRef>
              <c:f>'poměrové ukazatele'!$L$17:$P$17</c:f>
              <c:numCache>
                <c:formatCode>0.00%</c:formatCode>
                <c:ptCount val="5"/>
                <c:pt idx="0">
                  <c:v>0.13718685608936124</c:v>
                </c:pt>
                <c:pt idx="1">
                  <c:v>0.10655448859131354</c:v>
                </c:pt>
                <c:pt idx="2">
                  <c:v>1.0760716795502459E-2</c:v>
                </c:pt>
                <c:pt idx="3">
                  <c:v>4.8261535556161743E-3</c:v>
                </c:pt>
                <c:pt idx="4">
                  <c:v>1.0254630968214499E-2</c:v>
                </c:pt>
              </c:numCache>
            </c:numRef>
          </c:val>
          <c:extLst>
            <c:ext xmlns:c16="http://schemas.microsoft.com/office/drawing/2014/chart" uri="{C3380CC4-5D6E-409C-BE32-E72D297353CC}">
              <c16:uniqueId val="{00000003-C5F0-4EA4-9819-9EAA619311A7}"/>
            </c:ext>
          </c:extLst>
        </c:ser>
        <c:ser>
          <c:idx val="4"/>
          <c:order val="4"/>
          <c:tx>
            <c:strRef>
              <c:f>'poměrové ukazatele'!$K$18</c:f>
              <c:strCache>
                <c:ptCount val="1"/>
                <c:pt idx="0">
                  <c:v>ROS (EBIT/T)</c:v>
                </c:pt>
              </c:strCache>
            </c:strRef>
          </c:tx>
          <c:spPr>
            <a:solidFill>
              <a:schemeClr val="accent5"/>
            </a:solidFill>
            <a:ln>
              <a:noFill/>
            </a:ln>
            <a:effectLst/>
          </c:spPr>
          <c:invertIfNegative val="0"/>
          <c:cat>
            <c:numRef>
              <c:f>'poměrové ukazatele'!$L$13:$P$13</c:f>
              <c:numCache>
                <c:formatCode>General</c:formatCode>
                <c:ptCount val="5"/>
                <c:pt idx="0">
                  <c:v>2017</c:v>
                </c:pt>
                <c:pt idx="1">
                  <c:v>2018</c:v>
                </c:pt>
                <c:pt idx="2">
                  <c:v>2019</c:v>
                </c:pt>
                <c:pt idx="3">
                  <c:v>2020</c:v>
                </c:pt>
                <c:pt idx="4">
                  <c:v>2021</c:v>
                </c:pt>
              </c:numCache>
            </c:numRef>
          </c:cat>
          <c:val>
            <c:numRef>
              <c:f>'poměrové ukazatele'!$L$18:$P$18</c:f>
              <c:numCache>
                <c:formatCode>0.00%</c:formatCode>
                <c:ptCount val="5"/>
                <c:pt idx="0">
                  <c:v>0.17199869862270903</c:v>
                </c:pt>
                <c:pt idx="1">
                  <c:v>0.13518632719584178</c:v>
                </c:pt>
                <c:pt idx="2">
                  <c:v>2.3278285312719606E-2</c:v>
                </c:pt>
                <c:pt idx="3">
                  <c:v>1.9052814906519503E-2</c:v>
                </c:pt>
                <c:pt idx="4">
                  <c:v>2.1126081844291524E-2</c:v>
                </c:pt>
              </c:numCache>
            </c:numRef>
          </c:val>
          <c:extLst>
            <c:ext xmlns:c16="http://schemas.microsoft.com/office/drawing/2014/chart" uri="{C3380CC4-5D6E-409C-BE32-E72D297353CC}">
              <c16:uniqueId val="{00000004-C5F0-4EA4-9819-9EAA619311A7}"/>
            </c:ext>
          </c:extLst>
        </c:ser>
        <c:ser>
          <c:idx val="5"/>
          <c:order val="5"/>
          <c:tx>
            <c:strRef>
              <c:f>'poměrové ukazatele'!$K$19</c:f>
              <c:strCache>
                <c:ptCount val="1"/>
                <c:pt idx="0">
                  <c:v>čisté ziskové rozpětí (ČZ/V)</c:v>
                </c:pt>
              </c:strCache>
            </c:strRef>
          </c:tx>
          <c:spPr>
            <a:solidFill>
              <a:schemeClr val="accent6"/>
            </a:solidFill>
            <a:ln>
              <a:noFill/>
            </a:ln>
            <a:effectLst/>
          </c:spPr>
          <c:invertIfNegative val="0"/>
          <c:cat>
            <c:numRef>
              <c:f>'poměrové ukazatele'!$L$13:$P$13</c:f>
              <c:numCache>
                <c:formatCode>General</c:formatCode>
                <c:ptCount val="5"/>
                <c:pt idx="0">
                  <c:v>2017</c:v>
                </c:pt>
                <c:pt idx="1">
                  <c:v>2018</c:v>
                </c:pt>
                <c:pt idx="2">
                  <c:v>2019</c:v>
                </c:pt>
                <c:pt idx="3">
                  <c:v>2020</c:v>
                </c:pt>
                <c:pt idx="4">
                  <c:v>2021</c:v>
                </c:pt>
              </c:numCache>
            </c:numRef>
          </c:cat>
          <c:val>
            <c:numRef>
              <c:f>'poměrové ukazatele'!$L$19:$P$19</c:f>
              <c:numCache>
                <c:formatCode>0.00%</c:formatCode>
                <c:ptCount val="5"/>
                <c:pt idx="0">
                  <c:v>0.13618844605214994</c:v>
                </c:pt>
                <c:pt idx="1">
                  <c:v>0.10567933595456531</c:v>
                </c:pt>
                <c:pt idx="2">
                  <c:v>1.0758590405093863E-2</c:v>
                </c:pt>
                <c:pt idx="3">
                  <c:v>4.7195945252703504E-3</c:v>
                </c:pt>
                <c:pt idx="4">
                  <c:v>1.0231162737028347E-2</c:v>
                </c:pt>
              </c:numCache>
            </c:numRef>
          </c:val>
          <c:extLst>
            <c:ext xmlns:c16="http://schemas.microsoft.com/office/drawing/2014/chart" uri="{C3380CC4-5D6E-409C-BE32-E72D297353CC}">
              <c16:uniqueId val="{00000005-C5F0-4EA4-9819-9EAA619311A7}"/>
            </c:ext>
          </c:extLst>
        </c:ser>
        <c:dLbls>
          <c:showLegendKey val="0"/>
          <c:showVal val="0"/>
          <c:showCatName val="0"/>
          <c:showSerName val="0"/>
          <c:showPercent val="0"/>
          <c:showBubbleSize val="0"/>
        </c:dLbls>
        <c:gapWidth val="219"/>
        <c:overlap val="-27"/>
        <c:axId val="1804848239"/>
        <c:axId val="1586620767"/>
      </c:barChart>
      <c:catAx>
        <c:axId val="180484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86620767"/>
        <c:crosses val="autoZero"/>
        <c:auto val="1"/>
        <c:lblAlgn val="ctr"/>
        <c:lblOffset val="100"/>
        <c:noMultiLvlLbl val="0"/>
      </c:catAx>
      <c:valAx>
        <c:axId val="15866207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04848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aktivity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'poměrové ukazatele'!$K$21</c:f>
              <c:strCache>
                <c:ptCount val="1"/>
                <c:pt idx="0">
                  <c:v>Obrat celkových aktiv</c:v>
                </c:pt>
              </c:strCache>
            </c:strRef>
          </c:tx>
          <c:spPr>
            <a:ln w="28575" cap="rnd">
              <a:solidFill>
                <a:schemeClr val="accent1"/>
              </a:solidFill>
              <a:round/>
            </a:ln>
            <a:effectLst/>
          </c:spPr>
          <c:marker>
            <c:symbol val="none"/>
          </c:marker>
          <c:cat>
            <c:numRef>
              <c:f>'poměrové ukazatele'!$L$20:$P$20</c:f>
              <c:numCache>
                <c:formatCode>General</c:formatCode>
                <c:ptCount val="5"/>
                <c:pt idx="0">
                  <c:v>2017</c:v>
                </c:pt>
                <c:pt idx="1">
                  <c:v>2018</c:v>
                </c:pt>
                <c:pt idx="2">
                  <c:v>2019</c:v>
                </c:pt>
                <c:pt idx="3">
                  <c:v>2020</c:v>
                </c:pt>
                <c:pt idx="4">
                  <c:v>2021</c:v>
                </c:pt>
              </c:numCache>
            </c:numRef>
          </c:cat>
          <c:val>
            <c:numRef>
              <c:f>'poměrové ukazatele'!$L$21:$P$21</c:f>
              <c:numCache>
                <c:formatCode>0.00</c:formatCode>
                <c:ptCount val="5"/>
                <c:pt idx="0">
                  <c:v>1.3908833112103294</c:v>
                </c:pt>
                <c:pt idx="1">
                  <c:v>1.0613122647904443</c:v>
                </c:pt>
                <c:pt idx="2">
                  <c:v>0.78746584581330192</c:v>
                </c:pt>
                <c:pt idx="3">
                  <c:v>0.9464204150531228</c:v>
                </c:pt>
                <c:pt idx="4">
                  <c:v>1.1019796932749903</c:v>
                </c:pt>
              </c:numCache>
            </c:numRef>
          </c:val>
          <c:smooth val="0"/>
          <c:extLst>
            <c:ext xmlns:c16="http://schemas.microsoft.com/office/drawing/2014/chart" uri="{C3380CC4-5D6E-409C-BE32-E72D297353CC}">
              <c16:uniqueId val="{00000000-8655-4AFE-A1F2-1D5B54C9E1AD}"/>
            </c:ext>
          </c:extLst>
        </c:ser>
        <c:ser>
          <c:idx val="1"/>
          <c:order val="1"/>
          <c:tx>
            <c:strRef>
              <c:f>'poměrové ukazatele'!$K$22</c:f>
              <c:strCache>
                <c:ptCount val="1"/>
                <c:pt idx="0">
                  <c:v>Obrat zásob </c:v>
                </c:pt>
              </c:strCache>
            </c:strRef>
          </c:tx>
          <c:spPr>
            <a:ln w="28575" cap="rnd">
              <a:solidFill>
                <a:schemeClr val="accent2"/>
              </a:solidFill>
              <a:round/>
            </a:ln>
            <a:effectLst/>
          </c:spPr>
          <c:marker>
            <c:symbol val="none"/>
          </c:marker>
          <c:cat>
            <c:numRef>
              <c:f>'poměrové ukazatele'!$L$20:$P$20</c:f>
              <c:numCache>
                <c:formatCode>General</c:formatCode>
                <c:ptCount val="5"/>
                <c:pt idx="0">
                  <c:v>2017</c:v>
                </c:pt>
                <c:pt idx="1">
                  <c:v>2018</c:v>
                </c:pt>
                <c:pt idx="2">
                  <c:v>2019</c:v>
                </c:pt>
                <c:pt idx="3">
                  <c:v>2020</c:v>
                </c:pt>
                <c:pt idx="4">
                  <c:v>2021</c:v>
                </c:pt>
              </c:numCache>
            </c:numRef>
          </c:cat>
          <c:val>
            <c:numRef>
              <c:f>'poměrové ukazatele'!$L$22:$P$22</c:f>
              <c:numCache>
                <c:formatCode>0.00</c:formatCode>
                <c:ptCount val="5"/>
                <c:pt idx="0">
                  <c:v>249.21621621621622</c:v>
                </c:pt>
                <c:pt idx="1">
                  <c:v>168.78810408921933</c:v>
                </c:pt>
                <c:pt idx="2">
                  <c:v>182.87550200803213</c:v>
                </c:pt>
                <c:pt idx="3">
                  <c:v>149.86477987421384</c:v>
                </c:pt>
                <c:pt idx="4">
                  <c:v>26.401526717557253</c:v>
                </c:pt>
              </c:numCache>
            </c:numRef>
          </c:val>
          <c:smooth val="0"/>
          <c:extLst>
            <c:ext xmlns:c16="http://schemas.microsoft.com/office/drawing/2014/chart" uri="{C3380CC4-5D6E-409C-BE32-E72D297353CC}">
              <c16:uniqueId val="{00000001-8655-4AFE-A1F2-1D5B54C9E1AD}"/>
            </c:ext>
          </c:extLst>
        </c:ser>
        <c:ser>
          <c:idx val="2"/>
          <c:order val="2"/>
          <c:tx>
            <c:strRef>
              <c:f>'poměrové ukazatele'!$K$23</c:f>
              <c:strCache>
                <c:ptCount val="1"/>
                <c:pt idx="0">
                  <c:v>Obrat pohledávek</c:v>
                </c:pt>
              </c:strCache>
            </c:strRef>
          </c:tx>
          <c:spPr>
            <a:ln w="28575" cap="rnd">
              <a:solidFill>
                <a:schemeClr val="accent3"/>
              </a:solidFill>
              <a:round/>
            </a:ln>
            <a:effectLst/>
          </c:spPr>
          <c:marker>
            <c:symbol val="none"/>
          </c:marker>
          <c:cat>
            <c:numRef>
              <c:f>'poměrové ukazatele'!$L$20:$P$20</c:f>
              <c:numCache>
                <c:formatCode>General</c:formatCode>
                <c:ptCount val="5"/>
                <c:pt idx="0">
                  <c:v>2017</c:v>
                </c:pt>
                <c:pt idx="1">
                  <c:v>2018</c:v>
                </c:pt>
                <c:pt idx="2">
                  <c:v>2019</c:v>
                </c:pt>
                <c:pt idx="3">
                  <c:v>2020</c:v>
                </c:pt>
                <c:pt idx="4">
                  <c:v>2021</c:v>
                </c:pt>
              </c:numCache>
            </c:numRef>
          </c:cat>
          <c:val>
            <c:numRef>
              <c:f>'poměrové ukazatele'!$L$23:$P$23</c:f>
              <c:numCache>
                <c:formatCode>0.00</c:formatCode>
                <c:ptCount val="5"/>
                <c:pt idx="0">
                  <c:v>4.6674428021866774</c:v>
                </c:pt>
                <c:pt idx="1">
                  <c:v>4.3486256105737002</c:v>
                </c:pt>
                <c:pt idx="2">
                  <c:v>2.6633912382289289</c:v>
                </c:pt>
                <c:pt idx="3">
                  <c:v>4.4946713194378951</c:v>
                </c:pt>
                <c:pt idx="4">
                  <c:v>5.1610624751293273</c:v>
                </c:pt>
              </c:numCache>
            </c:numRef>
          </c:val>
          <c:smooth val="0"/>
          <c:extLst>
            <c:ext xmlns:c16="http://schemas.microsoft.com/office/drawing/2014/chart" uri="{C3380CC4-5D6E-409C-BE32-E72D297353CC}">
              <c16:uniqueId val="{00000002-8655-4AFE-A1F2-1D5B54C9E1AD}"/>
            </c:ext>
          </c:extLst>
        </c:ser>
        <c:ser>
          <c:idx val="3"/>
          <c:order val="3"/>
          <c:tx>
            <c:strRef>
              <c:f>'poměrové ukazatele'!$K$24</c:f>
              <c:strCache>
                <c:ptCount val="1"/>
                <c:pt idx="0">
                  <c:v>Obrat závazků </c:v>
                </c:pt>
              </c:strCache>
            </c:strRef>
          </c:tx>
          <c:spPr>
            <a:ln w="28575" cap="rnd">
              <a:solidFill>
                <a:schemeClr val="accent4"/>
              </a:solidFill>
              <a:round/>
            </a:ln>
            <a:effectLst/>
          </c:spPr>
          <c:marker>
            <c:symbol val="none"/>
          </c:marker>
          <c:cat>
            <c:numRef>
              <c:f>'poměrové ukazatele'!$L$20:$P$20</c:f>
              <c:numCache>
                <c:formatCode>General</c:formatCode>
                <c:ptCount val="5"/>
                <c:pt idx="0">
                  <c:v>2017</c:v>
                </c:pt>
                <c:pt idx="1">
                  <c:v>2018</c:v>
                </c:pt>
                <c:pt idx="2">
                  <c:v>2019</c:v>
                </c:pt>
                <c:pt idx="3">
                  <c:v>2020</c:v>
                </c:pt>
                <c:pt idx="4">
                  <c:v>2021</c:v>
                </c:pt>
              </c:numCache>
            </c:numRef>
          </c:cat>
          <c:val>
            <c:numRef>
              <c:f>'poměrové ukazatele'!$L$24:$P$24</c:f>
              <c:numCache>
                <c:formatCode>0.00</c:formatCode>
                <c:ptCount val="5"/>
                <c:pt idx="0">
                  <c:v>9.6012078300708037</c:v>
                </c:pt>
                <c:pt idx="1">
                  <c:v>4.1959153497828297</c:v>
                </c:pt>
                <c:pt idx="2">
                  <c:v>1.7177562337319401</c:v>
                </c:pt>
                <c:pt idx="3">
                  <c:v>2.5179373381941144</c:v>
                </c:pt>
                <c:pt idx="4">
                  <c:v>3.4320587456999205</c:v>
                </c:pt>
              </c:numCache>
            </c:numRef>
          </c:val>
          <c:smooth val="0"/>
          <c:extLst>
            <c:ext xmlns:c16="http://schemas.microsoft.com/office/drawing/2014/chart" uri="{C3380CC4-5D6E-409C-BE32-E72D297353CC}">
              <c16:uniqueId val="{00000003-8655-4AFE-A1F2-1D5B54C9E1AD}"/>
            </c:ext>
          </c:extLst>
        </c:ser>
        <c:dLbls>
          <c:showLegendKey val="0"/>
          <c:showVal val="0"/>
          <c:showCatName val="0"/>
          <c:showSerName val="0"/>
          <c:showPercent val="0"/>
          <c:showBubbleSize val="0"/>
        </c:dLbls>
        <c:smooth val="0"/>
        <c:axId val="2073543951"/>
        <c:axId val="2060093263"/>
      </c:lineChart>
      <c:catAx>
        <c:axId val="2073543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60093263"/>
        <c:crosses val="autoZero"/>
        <c:auto val="1"/>
        <c:lblAlgn val="ctr"/>
        <c:lblOffset val="100"/>
        <c:noMultiLvlLbl val="0"/>
      </c:catAx>
      <c:valAx>
        <c:axId val="20600932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73543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a:t>
            </a:r>
            <a:r>
              <a:rPr lang="cs-CZ" baseline="0"/>
              <a:t> aktivity (bez obratu zásob)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'poměrové ukazatele'!$K$21</c:f>
              <c:strCache>
                <c:ptCount val="1"/>
                <c:pt idx="0">
                  <c:v>Obrat celkových aktiv</c:v>
                </c:pt>
              </c:strCache>
            </c:strRef>
          </c:tx>
          <c:spPr>
            <a:ln w="28575" cap="rnd">
              <a:solidFill>
                <a:schemeClr val="accent1"/>
              </a:solidFill>
              <a:round/>
            </a:ln>
            <a:effectLst/>
          </c:spPr>
          <c:marker>
            <c:symbol val="none"/>
          </c:marker>
          <c:cat>
            <c:numRef>
              <c:f>'poměrové ukazatele'!$L$20:$P$20</c:f>
              <c:numCache>
                <c:formatCode>General</c:formatCode>
                <c:ptCount val="5"/>
                <c:pt idx="0">
                  <c:v>2017</c:v>
                </c:pt>
                <c:pt idx="1">
                  <c:v>2018</c:v>
                </c:pt>
                <c:pt idx="2">
                  <c:v>2019</c:v>
                </c:pt>
                <c:pt idx="3">
                  <c:v>2020</c:v>
                </c:pt>
                <c:pt idx="4">
                  <c:v>2021</c:v>
                </c:pt>
              </c:numCache>
            </c:numRef>
          </c:cat>
          <c:val>
            <c:numRef>
              <c:f>'poměrové ukazatele'!$L$21:$P$21</c:f>
              <c:numCache>
                <c:formatCode>0.00</c:formatCode>
                <c:ptCount val="5"/>
                <c:pt idx="0">
                  <c:v>1.3908833112103294</c:v>
                </c:pt>
                <c:pt idx="1">
                  <c:v>1.0613122647904443</c:v>
                </c:pt>
                <c:pt idx="2">
                  <c:v>0.78746584581330192</c:v>
                </c:pt>
                <c:pt idx="3">
                  <c:v>0.9464204150531228</c:v>
                </c:pt>
                <c:pt idx="4">
                  <c:v>1.1019796932749903</c:v>
                </c:pt>
              </c:numCache>
            </c:numRef>
          </c:val>
          <c:smooth val="0"/>
          <c:extLst>
            <c:ext xmlns:c16="http://schemas.microsoft.com/office/drawing/2014/chart" uri="{C3380CC4-5D6E-409C-BE32-E72D297353CC}">
              <c16:uniqueId val="{00000000-3DF5-46EF-ACAF-78D222D0F0A3}"/>
            </c:ext>
          </c:extLst>
        </c:ser>
        <c:ser>
          <c:idx val="1"/>
          <c:order val="1"/>
          <c:tx>
            <c:strRef>
              <c:f>'poměrové ukazatele'!$K$23</c:f>
              <c:strCache>
                <c:ptCount val="1"/>
                <c:pt idx="0">
                  <c:v>Obrat pohledávek</c:v>
                </c:pt>
              </c:strCache>
            </c:strRef>
          </c:tx>
          <c:spPr>
            <a:ln w="28575" cap="rnd">
              <a:solidFill>
                <a:schemeClr val="accent2"/>
              </a:solidFill>
              <a:round/>
            </a:ln>
            <a:effectLst/>
          </c:spPr>
          <c:marker>
            <c:symbol val="none"/>
          </c:marker>
          <c:cat>
            <c:numRef>
              <c:f>'poměrové ukazatele'!$L$20:$P$20</c:f>
              <c:numCache>
                <c:formatCode>General</c:formatCode>
                <c:ptCount val="5"/>
                <c:pt idx="0">
                  <c:v>2017</c:v>
                </c:pt>
                <c:pt idx="1">
                  <c:v>2018</c:v>
                </c:pt>
                <c:pt idx="2">
                  <c:v>2019</c:v>
                </c:pt>
                <c:pt idx="3">
                  <c:v>2020</c:v>
                </c:pt>
                <c:pt idx="4">
                  <c:v>2021</c:v>
                </c:pt>
              </c:numCache>
            </c:numRef>
          </c:cat>
          <c:val>
            <c:numRef>
              <c:f>'poměrové ukazatele'!$L$23:$P$23</c:f>
              <c:numCache>
                <c:formatCode>0.00</c:formatCode>
                <c:ptCount val="5"/>
                <c:pt idx="0">
                  <c:v>4.6674428021866774</c:v>
                </c:pt>
                <c:pt idx="1">
                  <c:v>4.3486256105737002</c:v>
                </c:pt>
                <c:pt idx="2">
                  <c:v>2.6633912382289289</c:v>
                </c:pt>
                <c:pt idx="3">
                  <c:v>4.4946713194378951</c:v>
                </c:pt>
                <c:pt idx="4">
                  <c:v>5.1610624751293273</c:v>
                </c:pt>
              </c:numCache>
            </c:numRef>
          </c:val>
          <c:smooth val="0"/>
          <c:extLst>
            <c:ext xmlns:c16="http://schemas.microsoft.com/office/drawing/2014/chart" uri="{C3380CC4-5D6E-409C-BE32-E72D297353CC}">
              <c16:uniqueId val="{00000001-3DF5-46EF-ACAF-78D222D0F0A3}"/>
            </c:ext>
          </c:extLst>
        </c:ser>
        <c:ser>
          <c:idx val="2"/>
          <c:order val="2"/>
          <c:tx>
            <c:strRef>
              <c:f>'poměrové ukazatele'!$K$24</c:f>
              <c:strCache>
                <c:ptCount val="1"/>
                <c:pt idx="0">
                  <c:v>Obrat závazků </c:v>
                </c:pt>
              </c:strCache>
            </c:strRef>
          </c:tx>
          <c:spPr>
            <a:ln w="28575" cap="rnd">
              <a:solidFill>
                <a:schemeClr val="accent3"/>
              </a:solidFill>
              <a:round/>
            </a:ln>
            <a:effectLst/>
          </c:spPr>
          <c:marker>
            <c:symbol val="none"/>
          </c:marker>
          <c:cat>
            <c:numRef>
              <c:f>'poměrové ukazatele'!$L$20:$P$20</c:f>
              <c:numCache>
                <c:formatCode>General</c:formatCode>
                <c:ptCount val="5"/>
                <c:pt idx="0">
                  <c:v>2017</c:v>
                </c:pt>
                <c:pt idx="1">
                  <c:v>2018</c:v>
                </c:pt>
                <c:pt idx="2">
                  <c:v>2019</c:v>
                </c:pt>
                <c:pt idx="3">
                  <c:v>2020</c:v>
                </c:pt>
                <c:pt idx="4">
                  <c:v>2021</c:v>
                </c:pt>
              </c:numCache>
            </c:numRef>
          </c:cat>
          <c:val>
            <c:numRef>
              <c:f>'poměrové ukazatele'!$L$24:$P$24</c:f>
              <c:numCache>
                <c:formatCode>0.00</c:formatCode>
                <c:ptCount val="5"/>
                <c:pt idx="0">
                  <c:v>9.6012078300708037</c:v>
                </c:pt>
                <c:pt idx="1">
                  <c:v>4.1959153497828297</c:v>
                </c:pt>
                <c:pt idx="2">
                  <c:v>1.7177562337319401</c:v>
                </c:pt>
                <c:pt idx="3">
                  <c:v>2.5179373381941144</c:v>
                </c:pt>
                <c:pt idx="4">
                  <c:v>3.4320587456999205</c:v>
                </c:pt>
              </c:numCache>
            </c:numRef>
          </c:val>
          <c:smooth val="0"/>
          <c:extLst>
            <c:ext xmlns:c16="http://schemas.microsoft.com/office/drawing/2014/chart" uri="{C3380CC4-5D6E-409C-BE32-E72D297353CC}">
              <c16:uniqueId val="{00000002-3DF5-46EF-ACAF-78D222D0F0A3}"/>
            </c:ext>
          </c:extLst>
        </c:ser>
        <c:dLbls>
          <c:showLegendKey val="0"/>
          <c:showVal val="0"/>
          <c:showCatName val="0"/>
          <c:showSerName val="0"/>
          <c:showPercent val="0"/>
          <c:showBubbleSize val="0"/>
        </c:dLbls>
        <c:smooth val="0"/>
        <c:axId val="1803289231"/>
        <c:axId val="31124623"/>
      </c:lineChart>
      <c:catAx>
        <c:axId val="180328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124623"/>
        <c:crosses val="autoZero"/>
        <c:auto val="1"/>
        <c:lblAlgn val="ctr"/>
        <c:lblOffset val="100"/>
        <c:noMultiLvlLbl val="0"/>
      </c:catAx>
      <c:valAx>
        <c:axId val="31124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03289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Doba obratu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'poměrové ukazatele'!$K$25</c:f>
              <c:strCache>
                <c:ptCount val="1"/>
                <c:pt idx="0">
                  <c:v>Doba obratu aktiv </c:v>
                </c:pt>
              </c:strCache>
            </c:strRef>
          </c:tx>
          <c:spPr>
            <a:ln w="28575" cap="rnd">
              <a:solidFill>
                <a:schemeClr val="accent1"/>
              </a:solidFill>
              <a:round/>
            </a:ln>
            <a:effectLst/>
          </c:spPr>
          <c:marker>
            <c:symbol val="none"/>
          </c:marker>
          <c:cat>
            <c:numRef>
              <c:f>'poměrové ukazatele'!$L$29:$P$29</c:f>
              <c:numCache>
                <c:formatCode>General</c:formatCode>
                <c:ptCount val="5"/>
                <c:pt idx="0">
                  <c:v>2017</c:v>
                </c:pt>
                <c:pt idx="1">
                  <c:v>2018</c:v>
                </c:pt>
                <c:pt idx="2">
                  <c:v>2019</c:v>
                </c:pt>
                <c:pt idx="3">
                  <c:v>2020</c:v>
                </c:pt>
                <c:pt idx="4">
                  <c:v>2021</c:v>
                </c:pt>
              </c:numCache>
            </c:numRef>
          </c:cat>
          <c:val>
            <c:numRef>
              <c:f>'poměrové ukazatele'!$L$25:$P$25</c:f>
              <c:numCache>
                <c:formatCode>0.00</c:formatCode>
                <c:ptCount val="5"/>
                <c:pt idx="0">
                  <c:v>262.42316451577921</c:v>
                </c:pt>
                <c:pt idx="1">
                  <c:v>343.91386221478285</c:v>
                </c:pt>
                <c:pt idx="2">
                  <c:v>463.51216619817285</c:v>
                </c:pt>
                <c:pt idx="3">
                  <c:v>385.66370103027884</c:v>
                </c:pt>
                <c:pt idx="4">
                  <c:v>331.22207444245265</c:v>
                </c:pt>
              </c:numCache>
            </c:numRef>
          </c:val>
          <c:smooth val="0"/>
          <c:extLst>
            <c:ext xmlns:c16="http://schemas.microsoft.com/office/drawing/2014/chart" uri="{C3380CC4-5D6E-409C-BE32-E72D297353CC}">
              <c16:uniqueId val="{00000000-848F-4960-982F-B953795E836D}"/>
            </c:ext>
          </c:extLst>
        </c:ser>
        <c:ser>
          <c:idx val="1"/>
          <c:order val="1"/>
          <c:tx>
            <c:strRef>
              <c:f>'poměrové ukazatele'!$K$26</c:f>
              <c:strCache>
                <c:ptCount val="1"/>
                <c:pt idx="0">
                  <c:v>Doba obratu zásob</c:v>
                </c:pt>
              </c:strCache>
            </c:strRef>
          </c:tx>
          <c:spPr>
            <a:ln w="28575" cap="rnd">
              <a:solidFill>
                <a:schemeClr val="accent2"/>
              </a:solidFill>
              <a:round/>
            </a:ln>
            <a:effectLst/>
          </c:spPr>
          <c:marker>
            <c:symbol val="none"/>
          </c:marker>
          <c:cat>
            <c:numRef>
              <c:f>'poměrové ukazatele'!$L$29:$P$29</c:f>
              <c:numCache>
                <c:formatCode>General</c:formatCode>
                <c:ptCount val="5"/>
                <c:pt idx="0">
                  <c:v>2017</c:v>
                </c:pt>
                <c:pt idx="1">
                  <c:v>2018</c:v>
                </c:pt>
                <c:pt idx="2">
                  <c:v>2019</c:v>
                </c:pt>
                <c:pt idx="3">
                  <c:v>2020</c:v>
                </c:pt>
                <c:pt idx="4">
                  <c:v>2021</c:v>
                </c:pt>
              </c:numCache>
            </c:numRef>
          </c:cat>
          <c:val>
            <c:numRef>
              <c:f>'poměrové ukazatele'!$L$26:$P$26</c:f>
              <c:numCache>
                <c:formatCode>0.00</c:formatCode>
                <c:ptCount val="5"/>
                <c:pt idx="0">
                  <c:v>1.4645916928749594</c:v>
                </c:pt>
                <c:pt idx="1">
                  <c:v>2.1624746718350805</c:v>
                </c:pt>
                <c:pt idx="2">
                  <c:v>1.9958933591004919</c:v>
                </c:pt>
                <c:pt idx="3">
                  <c:v>2.4355288834798667</c:v>
                </c:pt>
                <c:pt idx="4">
                  <c:v>13.824958075521888</c:v>
                </c:pt>
              </c:numCache>
            </c:numRef>
          </c:val>
          <c:smooth val="0"/>
          <c:extLst>
            <c:ext xmlns:c16="http://schemas.microsoft.com/office/drawing/2014/chart" uri="{C3380CC4-5D6E-409C-BE32-E72D297353CC}">
              <c16:uniqueId val="{00000001-848F-4960-982F-B953795E836D}"/>
            </c:ext>
          </c:extLst>
        </c:ser>
        <c:ser>
          <c:idx val="2"/>
          <c:order val="2"/>
          <c:tx>
            <c:strRef>
              <c:f>'poměrové ukazatele'!$K$27</c:f>
              <c:strCache>
                <c:ptCount val="1"/>
                <c:pt idx="0">
                  <c:v>Doba obratu pohledávek</c:v>
                </c:pt>
              </c:strCache>
            </c:strRef>
          </c:tx>
          <c:spPr>
            <a:ln w="28575" cap="rnd">
              <a:solidFill>
                <a:schemeClr val="accent3"/>
              </a:solidFill>
              <a:round/>
            </a:ln>
            <a:effectLst/>
          </c:spPr>
          <c:marker>
            <c:symbol val="none"/>
          </c:marker>
          <c:cat>
            <c:numRef>
              <c:f>'poměrové ukazatele'!$L$29:$P$29</c:f>
              <c:numCache>
                <c:formatCode>General</c:formatCode>
                <c:ptCount val="5"/>
                <c:pt idx="0">
                  <c:v>2017</c:v>
                </c:pt>
                <c:pt idx="1">
                  <c:v>2018</c:v>
                </c:pt>
                <c:pt idx="2">
                  <c:v>2019</c:v>
                </c:pt>
                <c:pt idx="3">
                  <c:v>2020</c:v>
                </c:pt>
                <c:pt idx="4">
                  <c:v>2021</c:v>
                </c:pt>
              </c:numCache>
            </c:numRef>
          </c:cat>
          <c:val>
            <c:numRef>
              <c:f>'poměrové ukazatele'!$L$27:$P$27</c:f>
              <c:numCache>
                <c:formatCode>0.00</c:formatCode>
                <c:ptCount val="5"/>
                <c:pt idx="0">
                  <c:v>78.201279687669455</c:v>
                </c:pt>
                <c:pt idx="1">
                  <c:v>83.934565236543037</c:v>
                </c:pt>
                <c:pt idx="2">
                  <c:v>137.04332835558679</c:v>
                </c:pt>
                <c:pt idx="3">
                  <c:v>81.207272803575549</c:v>
                </c:pt>
                <c:pt idx="4">
                  <c:v>70.721872048420366</c:v>
                </c:pt>
              </c:numCache>
            </c:numRef>
          </c:val>
          <c:smooth val="0"/>
          <c:extLst>
            <c:ext xmlns:c16="http://schemas.microsoft.com/office/drawing/2014/chart" uri="{C3380CC4-5D6E-409C-BE32-E72D297353CC}">
              <c16:uniqueId val="{00000002-848F-4960-982F-B953795E836D}"/>
            </c:ext>
          </c:extLst>
        </c:ser>
        <c:ser>
          <c:idx val="3"/>
          <c:order val="3"/>
          <c:tx>
            <c:strRef>
              <c:f>'poměrové ukazatele'!$K$28</c:f>
              <c:strCache>
                <c:ptCount val="1"/>
                <c:pt idx="0">
                  <c:v>Doba obratu závazků</c:v>
                </c:pt>
              </c:strCache>
            </c:strRef>
          </c:tx>
          <c:spPr>
            <a:ln w="28575" cap="rnd">
              <a:solidFill>
                <a:schemeClr val="accent4"/>
              </a:solidFill>
              <a:round/>
            </a:ln>
            <a:effectLst/>
          </c:spPr>
          <c:marker>
            <c:symbol val="none"/>
          </c:marker>
          <c:cat>
            <c:numRef>
              <c:f>'poměrové ukazatele'!$L$29:$P$29</c:f>
              <c:numCache>
                <c:formatCode>General</c:formatCode>
                <c:ptCount val="5"/>
                <c:pt idx="0">
                  <c:v>2017</c:v>
                </c:pt>
                <c:pt idx="1">
                  <c:v>2018</c:v>
                </c:pt>
                <c:pt idx="2">
                  <c:v>2019</c:v>
                </c:pt>
                <c:pt idx="3">
                  <c:v>2020</c:v>
                </c:pt>
                <c:pt idx="4">
                  <c:v>2021</c:v>
                </c:pt>
              </c:numCache>
            </c:numRef>
          </c:cat>
          <c:val>
            <c:numRef>
              <c:f>'poměrové ukazatele'!$L$28:$P$28</c:f>
              <c:numCache>
                <c:formatCode>0.00</c:formatCode>
                <c:ptCount val="5"/>
                <c:pt idx="0">
                  <c:v>38.016050319921916</c:v>
                </c:pt>
                <c:pt idx="1">
                  <c:v>86.989362170733855</c:v>
                </c:pt>
                <c:pt idx="2">
                  <c:v>212.48649420238931</c:v>
                </c:pt>
                <c:pt idx="3">
                  <c:v>144.95992194221205</c:v>
                </c:pt>
                <c:pt idx="4">
                  <c:v>106.35016095144471</c:v>
                </c:pt>
              </c:numCache>
            </c:numRef>
          </c:val>
          <c:smooth val="0"/>
          <c:extLst>
            <c:ext xmlns:c16="http://schemas.microsoft.com/office/drawing/2014/chart" uri="{C3380CC4-5D6E-409C-BE32-E72D297353CC}">
              <c16:uniqueId val="{00000003-848F-4960-982F-B953795E836D}"/>
            </c:ext>
          </c:extLst>
        </c:ser>
        <c:dLbls>
          <c:showLegendKey val="0"/>
          <c:showVal val="0"/>
          <c:showCatName val="0"/>
          <c:showSerName val="0"/>
          <c:showPercent val="0"/>
          <c:showBubbleSize val="0"/>
        </c:dLbls>
        <c:smooth val="0"/>
        <c:axId val="1552709680"/>
        <c:axId val="1577467808"/>
      </c:lineChart>
      <c:catAx>
        <c:axId val="155270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77467808"/>
        <c:crosses val="autoZero"/>
        <c:auto val="1"/>
        <c:lblAlgn val="ctr"/>
        <c:lblOffset val="100"/>
        <c:noMultiLvlLbl val="0"/>
      </c:catAx>
      <c:valAx>
        <c:axId val="1577467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5270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počtu zaměstnanců</a:t>
            </a:r>
            <a:r>
              <a:rPr lang="cs-CZ" baseline="0"/>
              <a:t> a produktivity práce</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'poměrové ukazatele'!$K$30</c:f>
              <c:strCache>
                <c:ptCount val="1"/>
                <c:pt idx="0">
                  <c:v>Počet zaměstnanců</c:v>
                </c:pt>
              </c:strCache>
            </c:strRef>
          </c:tx>
          <c:spPr>
            <a:ln w="28575" cap="rnd">
              <a:solidFill>
                <a:schemeClr val="accent1"/>
              </a:solidFill>
              <a:round/>
            </a:ln>
            <a:effectLst/>
          </c:spPr>
          <c:marker>
            <c:symbol val="none"/>
          </c:marker>
          <c:cat>
            <c:numRef>
              <c:f>'poměrové ukazatele'!$L$29:$P$29</c:f>
              <c:numCache>
                <c:formatCode>General</c:formatCode>
                <c:ptCount val="5"/>
                <c:pt idx="0">
                  <c:v>2017</c:v>
                </c:pt>
                <c:pt idx="1">
                  <c:v>2018</c:v>
                </c:pt>
                <c:pt idx="2">
                  <c:v>2019</c:v>
                </c:pt>
                <c:pt idx="3">
                  <c:v>2020</c:v>
                </c:pt>
                <c:pt idx="4">
                  <c:v>2021</c:v>
                </c:pt>
              </c:numCache>
            </c:numRef>
          </c:cat>
          <c:val>
            <c:numRef>
              <c:f>'poměrové ukazatele'!$L$30:$P$30</c:f>
              <c:numCache>
                <c:formatCode>General</c:formatCode>
                <c:ptCount val="5"/>
                <c:pt idx="0">
                  <c:v>85</c:v>
                </c:pt>
                <c:pt idx="1">
                  <c:v>93</c:v>
                </c:pt>
                <c:pt idx="2">
                  <c:v>105</c:v>
                </c:pt>
                <c:pt idx="3">
                  <c:v>119</c:v>
                </c:pt>
                <c:pt idx="4">
                  <c:v>121</c:v>
                </c:pt>
              </c:numCache>
            </c:numRef>
          </c:val>
          <c:smooth val="0"/>
          <c:extLst>
            <c:ext xmlns:c16="http://schemas.microsoft.com/office/drawing/2014/chart" uri="{C3380CC4-5D6E-409C-BE32-E72D297353CC}">
              <c16:uniqueId val="{00000000-1252-460F-B46A-BA0E45BA5027}"/>
            </c:ext>
          </c:extLst>
        </c:ser>
        <c:dLbls>
          <c:showLegendKey val="0"/>
          <c:showVal val="0"/>
          <c:showCatName val="0"/>
          <c:showSerName val="0"/>
          <c:showPercent val="0"/>
          <c:showBubbleSize val="0"/>
        </c:dLbls>
        <c:marker val="1"/>
        <c:smooth val="0"/>
        <c:axId val="34056271"/>
        <c:axId val="1613990111"/>
      </c:lineChart>
      <c:lineChart>
        <c:grouping val="standard"/>
        <c:varyColors val="0"/>
        <c:ser>
          <c:idx val="1"/>
          <c:order val="1"/>
          <c:tx>
            <c:strRef>
              <c:f>'poměrové ukazatele'!$K$31</c:f>
              <c:strCache>
                <c:ptCount val="1"/>
                <c:pt idx="0">
                  <c:v>Produktivita práce (Tržby / počet zaměstnanců)</c:v>
                </c:pt>
              </c:strCache>
            </c:strRef>
          </c:tx>
          <c:spPr>
            <a:ln w="28575" cap="rnd">
              <a:solidFill>
                <a:schemeClr val="accent2"/>
              </a:solidFill>
              <a:round/>
            </a:ln>
            <a:effectLst/>
          </c:spPr>
          <c:marker>
            <c:symbol val="none"/>
          </c:marker>
          <c:val>
            <c:numRef>
              <c:f>'poměrové ukazatele'!$L$31:$P$31</c:f>
              <c:numCache>
                <c:formatCode>0</c:formatCode>
                <c:ptCount val="5"/>
                <c:pt idx="0">
                  <c:v>542.41176470588232</c:v>
                </c:pt>
                <c:pt idx="1">
                  <c:v>488.21505376344084</c:v>
                </c:pt>
                <c:pt idx="2">
                  <c:v>433.67619047619047</c:v>
                </c:pt>
                <c:pt idx="3">
                  <c:v>400.47899159663865</c:v>
                </c:pt>
                <c:pt idx="4">
                  <c:v>428.75206611570246</c:v>
                </c:pt>
              </c:numCache>
            </c:numRef>
          </c:val>
          <c:smooth val="0"/>
          <c:extLst>
            <c:ext xmlns:c16="http://schemas.microsoft.com/office/drawing/2014/chart" uri="{C3380CC4-5D6E-409C-BE32-E72D297353CC}">
              <c16:uniqueId val="{00000001-1252-460F-B46A-BA0E45BA5027}"/>
            </c:ext>
          </c:extLst>
        </c:ser>
        <c:dLbls>
          <c:showLegendKey val="0"/>
          <c:showVal val="0"/>
          <c:showCatName val="0"/>
          <c:showSerName val="0"/>
          <c:showPercent val="0"/>
          <c:showBubbleSize val="0"/>
        </c:dLbls>
        <c:marker val="1"/>
        <c:smooth val="0"/>
        <c:axId val="38203519"/>
        <c:axId val="1270801567"/>
      </c:lineChart>
      <c:catAx>
        <c:axId val="3405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13990111"/>
        <c:crosses val="autoZero"/>
        <c:auto val="1"/>
        <c:lblAlgn val="ctr"/>
        <c:lblOffset val="100"/>
        <c:noMultiLvlLbl val="0"/>
      </c:catAx>
      <c:valAx>
        <c:axId val="1613990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056271"/>
        <c:crosses val="autoZero"/>
        <c:crossBetween val="between"/>
      </c:valAx>
      <c:valAx>
        <c:axId val="127080156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203519"/>
        <c:crosses val="max"/>
        <c:crossBetween val="between"/>
      </c:valAx>
      <c:catAx>
        <c:axId val="38203519"/>
        <c:scaling>
          <c:orientation val="minMax"/>
        </c:scaling>
        <c:delete val="1"/>
        <c:axPos val="b"/>
        <c:majorTickMark val="out"/>
        <c:minorTickMark val="none"/>
        <c:tickLblPos val="nextTo"/>
        <c:crossAx val="127080156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personálních</a:t>
            </a:r>
            <a:r>
              <a:rPr lang="cs-CZ" baseline="0"/>
              <a:t> nákladů</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'poměrové ukazatele'!$K$33</c:f>
              <c:strCache>
                <c:ptCount val="1"/>
                <c:pt idx="0">
                  <c:v>Podíl personálních nákladů na obratu</c:v>
                </c:pt>
              </c:strCache>
            </c:strRef>
          </c:tx>
          <c:spPr>
            <a:ln w="28575" cap="rnd">
              <a:solidFill>
                <a:schemeClr val="accent1"/>
              </a:solidFill>
              <a:round/>
            </a:ln>
            <a:effectLst/>
          </c:spPr>
          <c:marker>
            <c:symbol val="none"/>
          </c:marker>
          <c:cat>
            <c:numRef>
              <c:f>'poměrové ukazatele'!$L$20:$P$20</c:f>
              <c:numCache>
                <c:formatCode>General</c:formatCode>
                <c:ptCount val="5"/>
                <c:pt idx="0">
                  <c:v>2017</c:v>
                </c:pt>
                <c:pt idx="1">
                  <c:v>2018</c:v>
                </c:pt>
                <c:pt idx="2">
                  <c:v>2019</c:v>
                </c:pt>
                <c:pt idx="3">
                  <c:v>2020</c:v>
                </c:pt>
                <c:pt idx="4">
                  <c:v>2021</c:v>
                </c:pt>
              </c:numCache>
            </c:numRef>
          </c:cat>
          <c:val>
            <c:numRef>
              <c:f>'poměrové ukazatele'!$L$33:$P$33</c:f>
              <c:numCache>
                <c:formatCode>0.00%</c:formatCode>
                <c:ptCount val="5"/>
                <c:pt idx="0">
                  <c:v>0.62247044789068429</c:v>
                </c:pt>
                <c:pt idx="1">
                  <c:v>0.66025019822042108</c:v>
                </c:pt>
                <c:pt idx="2">
                  <c:v>0.70047874209416727</c:v>
                </c:pt>
                <c:pt idx="3">
                  <c:v>0.67177959166544265</c:v>
                </c:pt>
                <c:pt idx="4">
                  <c:v>0.74413539196977585</c:v>
                </c:pt>
              </c:numCache>
            </c:numRef>
          </c:val>
          <c:smooth val="0"/>
          <c:extLst>
            <c:ext xmlns:c16="http://schemas.microsoft.com/office/drawing/2014/chart" uri="{C3380CC4-5D6E-409C-BE32-E72D297353CC}">
              <c16:uniqueId val="{00000000-779A-4E09-9F3A-E3F301FAD779}"/>
            </c:ext>
          </c:extLst>
        </c:ser>
        <c:ser>
          <c:idx val="1"/>
          <c:order val="1"/>
          <c:tx>
            <c:strRef>
              <c:f>'poměrové ukazatele'!$K$34</c:f>
              <c:strCache>
                <c:ptCount val="1"/>
                <c:pt idx="0">
                  <c:v>Podíl personálních nákladů na celkových nákladech</c:v>
                </c:pt>
              </c:strCache>
            </c:strRef>
          </c:tx>
          <c:spPr>
            <a:ln w="28575" cap="rnd">
              <a:solidFill>
                <a:schemeClr val="accent2"/>
              </a:solidFill>
              <a:round/>
            </a:ln>
            <a:effectLst/>
          </c:spPr>
          <c:marker>
            <c:symbol val="none"/>
          </c:marker>
          <c:cat>
            <c:numRef>
              <c:f>'poměrové ukazatele'!$L$20:$P$20</c:f>
              <c:numCache>
                <c:formatCode>General</c:formatCode>
                <c:ptCount val="5"/>
                <c:pt idx="0">
                  <c:v>2017</c:v>
                </c:pt>
                <c:pt idx="1">
                  <c:v>2018</c:v>
                </c:pt>
                <c:pt idx="2">
                  <c:v>2019</c:v>
                </c:pt>
                <c:pt idx="3">
                  <c:v>2020</c:v>
                </c:pt>
                <c:pt idx="4">
                  <c:v>2021</c:v>
                </c:pt>
              </c:numCache>
            </c:numRef>
          </c:cat>
          <c:val>
            <c:numRef>
              <c:f>'poměrové ukazatele'!$L$34:$P$34</c:f>
              <c:numCache>
                <c:formatCode>0.00%</c:formatCode>
                <c:ptCount val="5"/>
                <c:pt idx="0">
                  <c:v>0.74388284085018141</c:v>
                </c:pt>
                <c:pt idx="1">
                  <c:v>0.75408763897972531</c:v>
                </c:pt>
                <c:pt idx="2">
                  <c:v>0.71157364029804127</c:v>
                </c:pt>
                <c:pt idx="3">
                  <c:v>0.66120737726925383</c:v>
                </c:pt>
                <c:pt idx="4">
                  <c:v>0.75271018561846825</c:v>
                </c:pt>
              </c:numCache>
            </c:numRef>
          </c:val>
          <c:smooth val="0"/>
          <c:extLst>
            <c:ext xmlns:c16="http://schemas.microsoft.com/office/drawing/2014/chart" uri="{C3380CC4-5D6E-409C-BE32-E72D297353CC}">
              <c16:uniqueId val="{00000001-779A-4E09-9F3A-E3F301FAD779}"/>
            </c:ext>
          </c:extLst>
        </c:ser>
        <c:dLbls>
          <c:showLegendKey val="0"/>
          <c:showVal val="0"/>
          <c:showCatName val="0"/>
          <c:showSerName val="0"/>
          <c:showPercent val="0"/>
          <c:showBubbleSize val="0"/>
        </c:dLbls>
        <c:smooth val="0"/>
        <c:axId val="1256513647"/>
        <c:axId val="1080969951"/>
      </c:lineChart>
      <c:catAx>
        <c:axId val="1256513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80969951"/>
        <c:crosses val="autoZero"/>
        <c:auto val="1"/>
        <c:lblAlgn val="ctr"/>
        <c:lblOffset val="100"/>
        <c:noMultiLvlLbl val="0"/>
      </c:catAx>
      <c:valAx>
        <c:axId val="10809699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6513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2"/>
          <c:order val="2"/>
          <c:tx>
            <c:strRef>
              <c:f>PÁKY!$A$5</c:f>
              <c:strCache>
                <c:ptCount val="1"/>
                <c:pt idx="0">
                  <c:v>Finanční páka</c:v>
                </c:pt>
              </c:strCache>
            </c:strRef>
          </c:tx>
          <c:spPr>
            <a:ln w="28575" cap="rnd">
              <a:solidFill>
                <a:schemeClr val="accent5">
                  <a:tint val="90000"/>
                </a:schemeClr>
              </a:solidFill>
              <a:round/>
            </a:ln>
            <a:effectLst/>
          </c:spPr>
          <c:marker>
            <c:symbol val="none"/>
          </c:marker>
          <c:cat>
            <c:strRef>
              <c:f>PÁKY!$B$2:$F$2</c:f>
              <c:strCache>
                <c:ptCount val="5"/>
                <c:pt idx="0">
                  <c:v>2017</c:v>
                </c:pt>
                <c:pt idx="1">
                  <c:v>2018</c:v>
                </c:pt>
                <c:pt idx="2">
                  <c:v>2019</c:v>
                </c:pt>
                <c:pt idx="3">
                  <c:v>2020</c:v>
                </c:pt>
                <c:pt idx="4">
                  <c:v>2021</c:v>
                </c:pt>
              </c:strCache>
            </c:strRef>
          </c:cat>
          <c:val>
            <c:numRef>
              <c:f>PÁKY!$B$5:$F$5</c:f>
              <c:numCache>
                <c:formatCode>0.00</c:formatCode>
                <c:ptCount val="5"/>
                <c:pt idx="0">
                  <c:v>1.1726748505324229</c:v>
                </c:pt>
                <c:pt idx="1">
                  <c:v>1.3408870083059081</c:v>
                </c:pt>
                <c:pt idx="2">
                  <c:v>1.8536945023240905</c:v>
                </c:pt>
                <c:pt idx="3">
                  <c:v>1.6023866348448688</c:v>
                </c:pt>
                <c:pt idx="4">
                  <c:v>1.4731670682479583</c:v>
                </c:pt>
              </c:numCache>
            </c:numRef>
          </c:val>
          <c:smooth val="0"/>
          <c:extLst>
            <c:ext xmlns:c16="http://schemas.microsoft.com/office/drawing/2014/chart" uri="{C3380CC4-5D6E-409C-BE32-E72D297353CC}">
              <c16:uniqueId val="{00000000-0229-4F40-8FAB-CB1418FD922E}"/>
            </c:ext>
          </c:extLst>
        </c:ser>
        <c:dLbls>
          <c:showLegendKey val="0"/>
          <c:showVal val="0"/>
          <c:showCatName val="0"/>
          <c:showSerName val="0"/>
          <c:showPercent val="0"/>
          <c:showBubbleSize val="0"/>
        </c:dLbls>
        <c:smooth val="0"/>
        <c:axId val="724616016"/>
        <c:axId val="724616496"/>
        <c:extLst>
          <c:ext xmlns:c15="http://schemas.microsoft.com/office/drawing/2012/chart" uri="{02D57815-91ED-43cb-92C2-25804820EDAC}">
            <c15:filteredLineSeries>
              <c15:ser>
                <c:idx val="0"/>
                <c:order val="0"/>
                <c:tx>
                  <c:strRef>
                    <c:extLst>
                      <c:ext uri="{02D57815-91ED-43cb-92C2-25804820EDAC}">
                        <c15:formulaRef>
                          <c15:sqref>PÁKY!$A$3</c15:sqref>
                        </c15:formulaRef>
                      </c:ext>
                    </c:extLst>
                    <c:strCache>
                      <c:ptCount val="1"/>
                      <c:pt idx="0">
                        <c:v>Aktiva celkem</c:v>
                      </c:pt>
                    </c:strCache>
                  </c:strRef>
                </c:tx>
                <c:spPr>
                  <a:ln w="28575" cap="rnd">
                    <a:solidFill>
                      <a:schemeClr val="accent5">
                        <a:tint val="50000"/>
                      </a:schemeClr>
                    </a:solidFill>
                    <a:round/>
                  </a:ln>
                  <a:effectLst/>
                </c:spPr>
                <c:marker>
                  <c:symbol val="none"/>
                </c:marker>
                <c:cat>
                  <c:strRef>
                    <c:extLst>
                      <c:ext uri="{02D57815-91ED-43cb-92C2-25804820EDAC}">
                        <c15:formulaRef>
                          <c15:sqref>PÁKY!$B$2:$F$2</c15:sqref>
                        </c15:formulaRef>
                      </c:ext>
                    </c:extLst>
                    <c:strCache>
                      <c:ptCount val="5"/>
                      <c:pt idx="0">
                        <c:v>2017</c:v>
                      </c:pt>
                      <c:pt idx="1">
                        <c:v>2018</c:v>
                      </c:pt>
                      <c:pt idx="2">
                        <c:v>2019</c:v>
                      </c:pt>
                      <c:pt idx="3">
                        <c:v>2020</c:v>
                      </c:pt>
                      <c:pt idx="4">
                        <c:v>2021</c:v>
                      </c:pt>
                    </c:strCache>
                  </c:strRef>
                </c:cat>
                <c:val>
                  <c:numRef>
                    <c:extLst>
                      <c:ext uri="{02D57815-91ED-43cb-92C2-25804820EDAC}">
                        <c15:formulaRef>
                          <c15:sqref>PÁKY!$B$3:$F$3</c15:sqref>
                        </c15:formulaRef>
                      </c:ext>
                    </c:extLst>
                    <c:numCache>
                      <c:formatCode>#,##0</c:formatCode>
                      <c:ptCount val="5"/>
                      <c:pt idx="0">
                        <c:v>33148</c:v>
                      </c:pt>
                      <c:pt idx="1">
                        <c:v>42781</c:v>
                      </c:pt>
                      <c:pt idx="2">
                        <c:v>57826</c:v>
                      </c:pt>
                      <c:pt idx="3">
                        <c:v>50355</c:v>
                      </c:pt>
                      <c:pt idx="4">
                        <c:v>47078</c:v>
                      </c:pt>
                    </c:numCache>
                  </c:numRef>
                </c:val>
                <c:smooth val="0"/>
                <c:extLst>
                  <c:ext xmlns:c16="http://schemas.microsoft.com/office/drawing/2014/chart" uri="{C3380CC4-5D6E-409C-BE32-E72D297353CC}">
                    <c16:uniqueId val="{00000001-0229-4F40-8FAB-CB1418FD922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PÁKY!$A$4</c15:sqref>
                        </c15:formulaRef>
                      </c:ext>
                    </c:extLst>
                    <c:strCache>
                      <c:ptCount val="1"/>
                      <c:pt idx="0">
                        <c:v>Vlastní kapitál</c:v>
                      </c:pt>
                    </c:strCache>
                  </c:strRef>
                </c:tx>
                <c:spPr>
                  <a:ln w="28575" cap="rnd">
                    <a:solidFill>
                      <a:schemeClr val="accent5">
                        <a:tint val="7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PÁKY!$B$2:$F$2</c15:sqref>
                        </c15:formulaRef>
                      </c:ext>
                    </c:extLst>
                    <c:strCache>
                      <c:ptCount val="5"/>
                      <c:pt idx="0">
                        <c:v>2017</c:v>
                      </c:pt>
                      <c:pt idx="1">
                        <c:v>2018</c:v>
                      </c:pt>
                      <c:pt idx="2">
                        <c:v>2019</c:v>
                      </c:pt>
                      <c:pt idx="3">
                        <c:v>2020</c:v>
                      </c:pt>
                      <c:pt idx="4">
                        <c:v>2021</c:v>
                      </c:pt>
                    </c:strCache>
                  </c:strRef>
                </c:cat>
                <c:val>
                  <c:numRef>
                    <c:extLst xmlns:c15="http://schemas.microsoft.com/office/drawing/2012/chart">
                      <c:ext xmlns:c15="http://schemas.microsoft.com/office/drawing/2012/chart" uri="{02D57815-91ED-43cb-92C2-25804820EDAC}">
                        <c15:formulaRef>
                          <c15:sqref>PÁKY!$B$4:$F$4</c15:sqref>
                        </c15:formulaRef>
                      </c:ext>
                    </c:extLst>
                    <c:numCache>
                      <c:formatCode>#,##0</c:formatCode>
                      <c:ptCount val="5"/>
                      <c:pt idx="0">
                        <c:v>28267</c:v>
                      </c:pt>
                      <c:pt idx="1">
                        <c:v>31905</c:v>
                      </c:pt>
                      <c:pt idx="2">
                        <c:v>31195</c:v>
                      </c:pt>
                      <c:pt idx="3">
                        <c:v>31425</c:v>
                      </c:pt>
                      <c:pt idx="4">
                        <c:v>31957</c:v>
                      </c:pt>
                    </c:numCache>
                  </c:numRef>
                </c:val>
                <c:smooth val="0"/>
                <c:extLst xmlns:c15="http://schemas.microsoft.com/office/drawing/2012/chart">
                  <c:ext xmlns:c16="http://schemas.microsoft.com/office/drawing/2014/chart" uri="{C3380CC4-5D6E-409C-BE32-E72D297353CC}">
                    <c16:uniqueId val="{00000002-0229-4F40-8FAB-CB1418FD922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PÁKY!$A$6</c15:sqref>
                        </c15:formulaRef>
                      </c:ext>
                    </c:extLst>
                    <c:strCache>
                      <c:ptCount val="1"/>
                      <c:pt idx="0">
                        <c:v>ROE (ČZ/VK)</c:v>
                      </c:pt>
                    </c:strCache>
                  </c:strRef>
                </c:tx>
                <c:spPr>
                  <a:ln w="28575" cap="rnd">
                    <a:solidFill>
                      <a:schemeClr val="accent5">
                        <a:shade val="9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PÁKY!$B$2:$F$2</c15:sqref>
                        </c15:formulaRef>
                      </c:ext>
                    </c:extLst>
                    <c:strCache>
                      <c:ptCount val="5"/>
                      <c:pt idx="0">
                        <c:v>2017</c:v>
                      </c:pt>
                      <c:pt idx="1">
                        <c:v>2018</c:v>
                      </c:pt>
                      <c:pt idx="2">
                        <c:v>2019</c:v>
                      </c:pt>
                      <c:pt idx="3">
                        <c:v>2020</c:v>
                      </c:pt>
                      <c:pt idx="4">
                        <c:v>2021</c:v>
                      </c:pt>
                    </c:strCache>
                  </c:strRef>
                </c:cat>
                <c:val>
                  <c:numRef>
                    <c:extLst xmlns:c15="http://schemas.microsoft.com/office/drawing/2012/chart">
                      <c:ext xmlns:c15="http://schemas.microsoft.com/office/drawing/2012/chart" uri="{02D57815-91ED-43cb-92C2-25804820EDAC}">
                        <c15:formulaRef>
                          <c15:sqref>PÁKY!$B$6:$F$6</c15:sqref>
                        </c15:formulaRef>
                      </c:ext>
                    </c:extLst>
                    <c:numCache>
                      <c:formatCode>0.00%</c:formatCode>
                      <c:ptCount val="5"/>
                      <c:pt idx="0">
                        <c:v>0.22375915378356387</c:v>
                      </c:pt>
                      <c:pt idx="1">
                        <c:v>0.15163767434571385</c:v>
                      </c:pt>
                      <c:pt idx="2">
                        <c:v>1.5707645456002565E-2</c:v>
                      </c:pt>
                      <c:pt idx="3">
                        <c:v>7.3190135242641209E-3</c:v>
                      </c:pt>
                      <c:pt idx="4">
                        <c:v>1.664736990330757E-2</c:v>
                      </c:pt>
                    </c:numCache>
                  </c:numRef>
                </c:val>
                <c:smooth val="0"/>
                <c:extLst xmlns:c15="http://schemas.microsoft.com/office/drawing/2012/chart">
                  <c:ext xmlns:c16="http://schemas.microsoft.com/office/drawing/2014/chart" uri="{C3380CC4-5D6E-409C-BE32-E72D297353CC}">
                    <c16:uniqueId val="{00000003-0229-4F40-8FAB-CB1418FD922E}"/>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PÁKY!$A$7</c15:sqref>
                        </c15:formulaRef>
                      </c:ext>
                    </c:extLst>
                    <c:strCache>
                      <c:ptCount val="1"/>
                      <c:pt idx="0">
                        <c:v>ROA (EBIT/A)</c:v>
                      </c:pt>
                    </c:strCache>
                  </c:strRef>
                </c:tx>
                <c:spPr>
                  <a:ln w="28575" cap="rnd">
                    <a:solidFill>
                      <a:schemeClr val="accent5">
                        <a:shade val="7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PÁKY!$B$2:$F$2</c15:sqref>
                        </c15:formulaRef>
                      </c:ext>
                    </c:extLst>
                    <c:strCache>
                      <c:ptCount val="5"/>
                      <c:pt idx="0">
                        <c:v>2017</c:v>
                      </c:pt>
                      <c:pt idx="1">
                        <c:v>2018</c:v>
                      </c:pt>
                      <c:pt idx="2">
                        <c:v>2019</c:v>
                      </c:pt>
                      <c:pt idx="3">
                        <c:v>2020</c:v>
                      </c:pt>
                      <c:pt idx="4">
                        <c:v>2021</c:v>
                      </c:pt>
                    </c:strCache>
                  </c:strRef>
                </c:cat>
                <c:val>
                  <c:numRef>
                    <c:extLst xmlns:c15="http://schemas.microsoft.com/office/drawing/2012/chart">
                      <c:ext xmlns:c15="http://schemas.microsoft.com/office/drawing/2012/chart" uri="{02D57815-91ED-43cb-92C2-25804820EDAC}">
                        <c15:formulaRef>
                          <c15:sqref>PÁKY!$B$7:$F$7</c15:sqref>
                        </c15:formulaRef>
                      </c:ext>
                    </c:extLst>
                    <c:numCache>
                      <c:formatCode>0.00%</c:formatCode>
                      <c:ptCount val="5"/>
                      <c:pt idx="0">
                        <c:v>0.23923011946422107</c:v>
                      </c:pt>
                      <c:pt idx="1">
                        <c:v>0.14347490708492089</c:v>
                      </c:pt>
                      <c:pt idx="2">
                        <c:v>1.8330854632864109E-2</c:v>
                      </c:pt>
                      <c:pt idx="3">
                        <c:v>1.8031972991758516E-2</c:v>
                      </c:pt>
                      <c:pt idx="4">
                        <c:v>2.3280513190874718E-2</c:v>
                      </c:pt>
                    </c:numCache>
                  </c:numRef>
                </c:val>
                <c:smooth val="0"/>
                <c:extLst xmlns:c15="http://schemas.microsoft.com/office/drawing/2012/chart">
                  <c:ext xmlns:c16="http://schemas.microsoft.com/office/drawing/2014/chart" uri="{C3380CC4-5D6E-409C-BE32-E72D297353CC}">
                    <c16:uniqueId val="{00000004-0229-4F40-8FAB-CB1418FD922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PÁKY!$A$8</c15:sqref>
                        </c15:formulaRef>
                      </c:ext>
                    </c:extLst>
                    <c:strCache>
                      <c:ptCount val="1"/>
                      <c:pt idx="0">
                        <c:v>Index finanční páky</c:v>
                      </c:pt>
                    </c:strCache>
                  </c:strRef>
                </c:tx>
                <c:spPr>
                  <a:ln w="28575" cap="rnd">
                    <a:solidFill>
                      <a:schemeClr val="accent5">
                        <a:shade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PÁKY!$B$2:$F$2</c15:sqref>
                        </c15:formulaRef>
                      </c:ext>
                    </c:extLst>
                    <c:strCache>
                      <c:ptCount val="5"/>
                      <c:pt idx="0">
                        <c:v>2017</c:v>
                      </c:pt>
                      <c:pt idx="1">
                        <c:v>2018</c:v>
                      </c:pt>
                      <c:pt idx="2">
                        <c:v>2019</c:v>
                      </c:pt>
                      <c:pt idx="3">
                        <c:v>2020</c:v>
                      </c:pt>
                      <c:pt idx="4">
                        <c:v>2021</c:v>
                      </c:pt>
                    </c:strCache>
                  </c:strRef>
                </c:cat>
                <c:val>
                  <c:numRef>
                    <c:extLst xmlns:c15="http://schemas.microsoft.com/office/drawing/2012/chart">
                      <c:ext xmlns:c15="http://schemas.microsoft.com/office/drawing/2012/chart" uri="{02D57815-91ED-43cb-92C2-25804820EDAC}">
                        <c15:formulaRef>
                          <c15:sqref>PÁKY!$B$8:$F$8</c15:sqref>
                        </c15:formulaRef>
                      </c:ext>
                    </c:extLst>
                    <c:numCache>
                      <c:formatCode>0.00</c:formatCode>
                      <c:ptCount val="5"/>
                      <c:pt idx="0">
                        <c:v>0.9353301928899842</c:v>
                      </c:pt>
                      <c:pt idx="1">
                        <c:v>1.056893344115996</c:v>
                      </c:pt>
                      <c:pt idx="2">
                        <c:v>0.85689651522528709</c:v>
                      </c:pt>
                      <c:pt idx="3">
                        <c:v>0.40589088768096893</c:v>
                      </c:pt>
                      <c:pt idx="4">
                        <c:v>0.71507744553641772</c:v>
                      </c:pt>
                    </c:numCache>
                  </c:numRef>
                </c:val>
                <c:smooth val="0"/>
                <c:extLst xmlns:c15="http://schemas.microsoft.com/office/drawing/2012/chart">
                  <c:ext xmlns:c16="http://schemas.microsoft.com/office/drawing/2014/chart" uri="{C3380CC4-5D6E-409C-BE32-E72D297353CC}">
                    <c16:uniqueId val="{00000005-0229-4F40-8FAB-CB1418FD922E}"/>
                  </c:ext>
                </c:extLst>
              </c15:ser>
            </c15:filteredLineSeries>
          </c:ext>
        </c:extLst>
      </c:lineChart>
      <c:catAx>
        <c:axId val="72461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4616496"/>
        <c:crosses val="autoZero"/>
        <c:auto val="1"/>
        <c:lblAlgn val="ctr"/>
        <c:lblOffset val="100"/>
        <c:noMultiLvlLbl val="0"/>
      </c:catAx>
      <c:valAx>
        <c:axId val="724616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461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8125AB5C9F684896B9CF7FDF4D066B"/>
        <w:category>
          <w:name w:val="Obecné"/>
          <w:gallery w:val="placeholder"/>
        </w:category>
        <w:types>
          <w:type w:val="bbPlcHdr"/>
        </w:types>
        <w:behaviors>
          <w:behavior w:val="content"/>
        </w:behaviors>
        <w:guid w:val="{B7D8603C-4C9A-FF47-8CCD-CDF8D2DECC46}"/>
      </w:docPartPr>
      <w:docPartBody>
        <w:p w:rsidR="00ED7B9F" w:rsidRDefault="00E95F04">
          <w:pPr>
            <w:pStyle w:val="D08125AB5C9F684896B9CF7FDF4D066B"/>
          </w:pPr>
          <w:r w:rsidRPr="00781B50">
            <w:rPr>
              <w:rStyle w:val="Zstupntext"/>
              <w:lang w:val="en-GB"/>
            </w:rPr>
            <w:t>[Napište 5–10 klíčových slov v angličtině. Stejný seznam musí být vložen do Archivu závěrečné práce v Informačním systému MU.]</w:t>
          </w:r>
        </w:p>
        <w:bookmarkStart w:id="0" w:name="_Hlk48908568"/>
        <w:bookmarkEnd w:id="0"/>
      </w:docPartBody>
    </w:docPart>
    <w:docPart>
      <w:docPartPr>
        <w:name w:val="FE21A9FBAB1217448420BA6C2A408208"/>
        <w:category>
          <w:name w:val="Obecné"/>
          <w:gallery w:val="placeholder"/>
        </w:category>
        <w:types>
          <w:type w:val="bbPlcHdr"/>
        </w:types>
        <w:behaviors>
          <w:behavior w:val="content"/>
        </w:behaviors>
        <w:guid w:val="{02D57F61-1A02-A54C-8AD9-5DEFF5C5B4FC}"/>
      </w:docPartPr>
      <w:docPartBody>
        <w:p w:rsidR="00E95F04" w:rsidRDefault="00E95F04">
          <w:pPr>
            <w:pStyle w:val="FE21A9FBAB1217448420BA6C2A408208"/>
          </w:pPr>
          <w:r>
            <w:rPr>
              <w:rStyle w:val="Zstupntext"/>
            </w:rPr>
            <w:t>[Rok odevzdání práce]</w:t>
          </w:r>
        </w:p>
      </w:docPartBody>
    </w:docPart>
    <w:docPart>
      <w:docPartPr>
        <w:name w:val="9CA9F1F60CE9884B8DCF5C691F6FAC22"/>
        <w:category>
          <w:name w:val="Obecné"/>
          <w:gallery w:val="placeholder"/>
        </w:category>
        <w:types>
          <w:type w:val="bbPlcHdr"/>
        </w:types>
        <w:behaviors>
          <w:behavior w:val="content"/>
        </w:behaviors>
        <w:guid w:val="{539A792F-D845-4145-B2A8-D63ACCF5F995}"/>
      </w:docPartPr>
      <w:docPartBody>
        <w:p w:rsidR="006868DD" w:rsidRDefault="005848CD">
          <w:pPr>
            <w:pStyle w:val="9CA9F1F60CE9884B8DCF5C691F6FAC22"/>
          </w:pPr>
          <w:r w:rsidRPr="00F01F66">
            <w:rPr>
              <w:rStyle w:val="Zstupntext"/>
            </w:rPr>
            <w:t>[Vyberte druh práce]</w:t>
          </w:r>
        </w:p>
      </w:docPartBody>
    </w:docPart>
    <w:docPart>
      <w:docPartPr>
        <w:name w:val="701200DBADC5754F94B393DF89FCD4FC"/>
        <w:category>
          <w:name w:val="Obecné"/>
          <w:gallery w:val="placeholder"/>
        </w:category>
        <w:types>
          <w:type w:val="bbPlcHdr"/>
        </w:types>
        <w:behaviors>
          <w:behavior w:val="content"/>
        </w:behaviors>
        <w:guid w:val="{6B2F072E-B13C-744D-A921-872A518D94E4}"/>
      </w:docPartPr>
      <w:docPartBody>
        <w:p w:rsidR="006868DD" w:rsidRDefault="005848CD">
          <w:pPr>
            <w:pStyle w:val="701200DBADC5754F94B393DF89FCD4FC"/>
          </w:pPr>
          <w:r w:rsidRPr="0019298B">
            <w:rPr>
              <w:rStyle w:val="Zstupntext"/>
            </w:rPr>
            <w:t>[Název]</w:t>
          </w:r>
        </w:p>
      </w:docPartBody>
    </w:docPart>
    <w:docPart>
      <w:docPartPr>
        <w:name w:val="0A8F42143B8D4141BE01611895743A54"/>
        <w:category>
          <w:name w:val="Obecné"/>
          <w:gallery w:val="placeholder"/>
        </w:category>
        <w:types>
          <w:type w:val="bbPlcHdr"/>
        </w:types>
        <w:behaviors>
          <w:behavior w:val="content"/>
        </w:behaviors>
        <w:guid w:val="{A80E0A33-1C02-CF43-8DF8-379A0A3FAF0B}"/>
      </w:docPartPr>
      <w:docPartBody>
        <w:p w:rsidR="006868DD" w:rsidRDefault="005848CD">
          <w:pPr>
            <w:pStyle w:val="0A8F42143B8D4141BE01611895743A54"/>
          </w:pPr>
          <w:r>
            <w:rPr>
              <w:rStyle w:val="Zstupntext"/>
            </w:rPr>
            <w:t>[Vyberte podle mluvnickéhorodu]</w:t>
          </w:r>
        </w:p>
      </w:docPartBody>
    </w:docPart>
    <w:docPart>
      <w:docPartPr>
        <w:name w:val="F47A443E5BD4344BBDC58A418DAF42A3"/>
        <w:category>
          <w:name w:val="Obecné"/>
          <w:gallery w:val="placeholder"/>
        </w:category>
        <w:types>
          <w:type w:val="bbPlcHdr"/>
        </w:types>
        <w:behaviors>
          <w:behavior w:val="content"/>
        </w:behaviors>
        <w:guid w:val="{491A2CE6-BF35-574E-B13A-81DFDCD1540C}"/>
      </w:docPartPr>
      <w:docPartBody>
        <w:p w:rsidR="006868DD" w:rsidRDefault="005848CD">
          <w:pPr>
            <w:pStyle w:val="F47A443E5BD4344BBDC58A418DAF42A3"/>
          </w:pPr>
          <w:r>
            <w:rPr>
              <w:rStyle w:val="Zstupntext"/>
            </w:rPr>
            <w:t>[Vyberte podle rodu]</w:t>
          </w:r>
        </w:p>
      </w:docPartBody>
    </w:docPart>
    <w:docPart>
      <w:docPartPr>
        <w:name w:val="F4D85A0374652949A2CB8843ABF3D6BC"/>
        <w:category>
          <w:name w:val="Obecné"/>
          <w:gallery w:val="placeholder"/>
        </w:category>
        <w:types>
          <w:type w:val="bbPlcHdr"/>
        </w:types>
        <w:behaviors>
          <w:behavior w:val="content"/>
        </w:behaviors>
        <w:guid w:val="{8C860162-7C8C-0C4F-B2E3-4CDA3C76DD3A}"/>
      </w:docPartPr>
      <w:docPartBody>
        <w:p w:rsidR="006868DD" w:rsidRDefault="005848CD">
          <w:pPr>
            <w:pStyle w:val="F4D85A0374652949A2CB8843ABF3D6BC"/>
          </w:pPr>
          <w:r w:rsidRPr="0001165A">
            <w:rPr>
              <w:rStyle w:val="Zstupntext"/>
            </w:rPr>
            <w:t>Klikněte nebo klepněte sem a zadejte datum.</w:t>
          </w:r>
        </w:p>
      </w:docPartBody>
    </w:docPart>
    <w:docPart>
      <w:docPartPr>
        <w:name w:val="88BE0DB145730B4FBCF31B3BE866F362"/>
        <w:category>
          <w:name w:val="Obecné"/>
          <w:gallery w:val="placeholder"/>
        </w:category>
        <w:types>
          <w:type w:val="bbPlcHdr"/>
        </w:types>
        <w:behaviors>
          <w:behavior w:val="content"/>
        </w:behaviors>
        <w:guid w:val="{3D74AABD-77E5-6444-92A1-5C46B532055E}"/>
      </w:docPartPr>
      <w:docPartBody>
        <w:p w:rsidR="006868DD" w:rsidRDefault="005848CD">
          <w:pPr>
            <w:pStyle w:val="88BE0DB145730B4FBCF31B3BE866F362"/>
          </w:pPr>
          <w:r w:rsidRPr="00943580">
            <w:rPr>
              <w:rStyle w:val="Zstupntext"/>
            </w:rPr>
            <w:t>[Autor]</w:t>
          </w:r>
        </w:p>
      </w:docPartBody>
    </w:docPart>
    <w:docPart>
      <w:docPartPr>
        <w:name w:val="F40F8061433E6948890A2D1EA82083C2"/>
        <w:category>
          <w:name w:val="Obecné"/>
          <w:gallery w:val="placeholder"/>
        </w:category>
        <w:types>
          <w:type w:val="bbPlcHdr"/>
        </w:types>
        <w:behaviors>
          <w:behavior w:val="content"/>
        </w:behaviors>
        <w:guid w:val="{6D6B025E-AAAB-0346-8BA5-BC871C42B502}"/>
      </w:docPartPr>
      <w:docPartBody>
        <w:p w:rsidR="006868DD" w:rsidRDefault="009C3EB7" w:rsidP="009C3EB7">
          <w:pPr>
            <w:pStyle w:val="F40F8061433E6948890A2D1EA82083C2"/>
          </w:pPr>
          <w:r w:rsidRPr="00F01F66">
            <w:rPr>
              <w:rStyle w:val="Zstupntext"/>
            </w:rPr>
            <w:t>[Zvolte druh závěrečné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938"/>
    <w:rsid w:val="001A6D30"/>
    <w:rsid w:val="00296D7D"/>
    <w:rsid w:val="002B7AD2"/>
    <w:rsid w:val="0036035F"/>
    <w:rsid w:val="004F39E9"/>
    <w:rsid w:val="005848CD"/>
    <w:rsid w:val="006868DD"/>
    <w:rsid w:val="006B449B"/>
    <w:rsid w:val="006F5991"/>
    <w:rsid w:val="0072413A"/>
    <w:rsid w:val="007F51DE"/>
    <w:rsid w:val="00830938"/>
    <w:rsid w:val="008420E1"/>
    <w:rsid w:val="008A6D42"/>
    <w:rsid w:val="00917732"/>
    <w:rsid w:val="009C3EB7"/>
    <w:rsid w:val="00CA2918"/>
    <w:rsid w:val="00D735F6"/>
    <w:rsid w:val="00DB65C2"/>
    <w:rsid w:val="00E32F80"/>
    <w:rsid w:val="00E95F04"/>
    <w:rsid w:val="00ED7B9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AA957E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D08125AB5C9F684896B9CF7FDF4D066B">
    <w:name w:val="D08125AB5C9F684896B9CF7FDF4D066B"/>
  </w:style>
  <w:style w:type="paragraph" w:customStyle="1" w:styleId="FE21A9FBAB1217448420BA6C2A408208">
    <w:name w:val="FE21A9FBAB1217448420BA6C2A408208"/>
  </w:style>
  <w:style w:type="paragraph" w:customStyle="1" w:styleId="9CA9F1F60CE9884B8DCF5C691F6FAC22">
    <w:name w:val="9CA9F1F60CE9884B8DCF5C691F6FAC22"/>
  </w:style>
  <w:style w:type="paragraph" w:customStyle="1" w:styleId="701200DBADC5754F94B393DF89FCD4FC">
    <w:name w:val="701200DBADC5754F94B393DF89FCD4FC"/>
  </w:style>
  <w:style w:type="paragraph" w:customStyle="1" w:styleId="0A8F42143B8D4141BE01611895743A54">
    <w:name w:val="0A8F42143B8D4141BE01611895743A54"/>
  </w:style>
  <w:style w:type="paragraph" w:customStyle="1" w:styleId="F47A443E5BD4344BBDC58A418DAF42A3">
    <w:name w:val="F47A443E5BD4344BBDC58A418DAF42A3"/>
  </w:style>
  <w:style w:type="paragraph" w:customStyle="1" w:styleId="F4D85A0374652949A2CB8843ABF3D6BC">
    <w:name w:val="F4D85A0374652949A2CB8843ABF3D6BC"/>
  </w:style>
  <w:style w:type="paragraph" w:customStyle="1" w:styleId="88BE0DB145730B4FBCF31B3BE866F362">
    <w:name w:val="88BE0DB145730B4FBCF31B3BE866F362"/>
  </w:style>
  <w:style w:type="paragraph" w:customStyle="1" w:styleId="F40F8061433E6948890A2D1EA82083C2">
    <w:name w:val="F40F8061433E6948890A2D1EA82083C2"/>
    <w:rsid w:val="009C3E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7" ma:contentTypeDescription="Vytvoří nový dokument" ma:contentTypeScope="" ma:versionID="ac9f507721b520b5014780526db486ed">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9db40eeeb9aa35b6c0b2d67e042a5980"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674B6DE1-1359-4F9D-9333-5EF34851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D7CA2D-D9C9-4293-B5ED-F5E30FE380EB}">
  <ds:schemaRefs>
    <ds:schemaRef ds:uri="http://schemas.microsoft.com/sharepoint/v3/contenttype/forms"/>
  </ds:schemaRefs>
</ds:datastoreItem>
</file>

<file path=customXml/itemProps4.xml><?xml version="1.0" encoding="utf-8"?>
<ds:datastoreItem xmlns:ds="http://schemas.openxmlformats.org/officeDocument/2006/customXml" ds:itemID="{97BC817C-851A-45D8-AAB2-F32D7F505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10598</Words>
  <Characters>64153</Characters>
  <Application>Microsoft Office Word</Application>
  <DocSecurity>0</DocSecurity>
  <Lines>534</Lines>
  <Paragraphs>149</Paragraphs>
  <ScaleCrop>false</ScaleCrop>
  <HeadingPairs>
    <vt:vector size="2" baseType="variant">
      <vt:variant>
        <vt:lpstr>Název</vt:lpstr>
      </vt:variant>
      <vt:variant>
        <vt:i4>1</vt:i4>
      </vt:variant>
    </vt:vector>
  </HeadingPairs>
  <TitlesOfParts>
    <vt:vector size="1" baseType="lpstr">
      <vt:lpstr>Název práce</vt:lpstr>
    </vt:vector>
  </TitlesOfParts>
  <Company>Pracoviště</Company>
  <LinksUpToDate>false</LinksUpToDate>
  <CharactersWithSpaces>74602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Finanční analýza podniku Disting s.r.o.</dc:title>
  <dc:subject/>
  <dc:creator>Filip Albert a Tereza Dobešová</dc:creator>
  <cp:keywords/>
  <cp:lastModifiedBy>Viliam Záthurecký</cp:lastModifiedBy>
  <cp:revision>2</cp:revision>
  <cp:lastPrinted>2016-12-08T15:46:00Z</cp:lastPrinted>
  <dcterms:created xsi:type="dcterms:W3CDTF">2024-03-04T06:51:00Z</dcterms:created>
  <dcterms:modified xsi:type="dcterms:W3CDTF">2024-03-04T06:51:00Z</dcterms:modified>
  <cp:category>Napište akademický rok odevzdání práce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0x01010020E94A790C08CC49A260A2015B6A86EF</vt:lpwstr>
  </property>
  <property fmtid="{D5CDD505-2E9C-101B-9397-08002B2CF9AE}" pid="3" name="ZOTERO_PREF_1">
    <vt:lpwstr>&lt;data data-version="3" zotero-version="5.0.74"&gt;&lt;session id="lwrhwz85"/&gt;&lt;style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value="true"/&gt;&lt;/prefs&gt;&lt;/data&gt;</vt:lpwstr>
  </property>
  <property fmtid="{D5CDD505-2E9C-101B-9397-08002B2CF9AE}" pid="5" name="MU_SABLONA">
    <vt:lpwstr>ECON-dipl</vt:lpwstr>
  </property>
  <property fmtid="{D5CDD505-2E9C-101B-9397-08002B2CF9AE}" pid="6" name="MU_VYGENEROVANO">
    <vt:filetime>2022-11-09T23:00:00Z</vt:filetime>
  </property>
  <property fmtid="{D5CDD505-2E9C-101B-9397-08002B2CF9AE}" pid="7" name="MU_LOGO">
    <vt:lpwstr>NOVE</vt:lpwstr>
  </property>
  <property fmtid="{D5CDD505-2E9C-101B-9397-08002B2CF9AE}" pid="8" name="MU_VERZE">
    <vt:lpwstr>3.4.1</vt:lpwstr>
  </property>
</Properties>
</file>