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EC3D" w14:textId="3041CC6A" w:rsidR="00F55CB8" w:rsidRDefault="0007345B" w:rsidP="00F55CB8">
      <w:pPr>
        <w:spacing w:line="312" w:lineRule="auto"/>
        <w:rPr>
          <w:rFonts w:ascii="Georgia" w:hAnsi="Georgia"/>
          <w:lang w:val="en-US"/>
        </w:rPr>
      </w:pPr>
      <w:r w:rsidRPr="00021D76">
        <w:rPr>
          <w:rFonts w:cs="Arial"/>
          <w:b/>
          <w:bCs/>
          <w:noProof/>
        </w:rPr>
        <w:drawing>
          <wp:anchor distT="0" distB="0" distL="114300" distR="114300" simplePos="0" relativeHeight="251659264" behindDoc="0" locked="0" layoutInCell="1" allowOverlap="1" wp14:anchorId="0B36AEFB" wp14:editId="44F75440">
            <wp:simplePos x="0" y="0"/>
            <wp:positionH relativeFrom="margin">
              <wp:posOffset>0</wp:posOffset>
            </wp:positionH>
            <wp:positionV relativeFrom="paragraph">
              <wp:posOffset>-448107</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p>
    <w:p w14:paraId="51A15E37" w14:textId="77777777" w:rsidR="00F55CB8" w:rsidRDefault="00F55CB8" w:rsidP="00F55CB8">
      <w:pPr>
        <w:spacing w:line="312" w:lineRule="auto"/>
        <w:jc w:val="center"/>
        <w:rPr>
          <w:rFonts w:ascii="Georgia" w:hAnsi="Georgia"/>
          <w:b/>
          <w:bCs/>
          <w:sz w:val="32"/>
          <w:szCs w:val="32"/>
          <w:lang w:val="en-US"/>
        </w:rPr>
      </w:pPr>
    </w:p>
    <w:p w14:paraId="4E59B432" w14:textId="55B9BD56" w:rsidR="00F55CB8" w:rsidRDefault="00F55CB8" w:rsidP="00F55CB8">
      <w:pPr>
        <w:spacing w:line="312" w:lineRule="auto"/>
        <w:jc w:val="center"/>
        <w:rPr>
          <w:rFonts w:ascii="Georgia" w:hAnsi="Georgia"/>
          <w:b/>
          <w:bCs/>
          <w:sz w:val="32"/>
          <w:szCs w:val="32"/>
          <w:lang w:val="en-US"/>
        </w:rPr>
      </w:pPr>
      <w:r w:rsidRPr="00F55CB8">
        <w:rPr>
          <w:rFonts w:ascii="Georgia" w:hAnsi="Georgia"/>
          <w:b/>
          <w:bCs/>
          <w:sz w:val="32"/>
          <w:szCs w:val="32"/>
          <w:lang w:val="en-US"/>
        </w:rPr>
        <w:t>Policy proposal summary – Platform Work</w:t>
      </w:r>
    </w:p>
    <w:p w14:paraId="233FEEFE" w14:textId="14211F48" w:rsidR="00F55CB8" w:rsidRPr="00F55CB8" w:rsidRDefault="00F55CB8" w:rsidP="00F55CB8">
      <w:pPr>
        <w:spacing w:line="312" w:lineRule="auto"/>
        <w:jc w:val="center"/>
        <w:rPr>
          <w:rFonts w:ascii="Georgia" w:hAnsi="Georgia"/>
          <w:b/>
          <w:bCs/>
          <w:sz w:val="16"/>
          <w:szCs w:val="16"/>
          <w:lang w:val="en-US"/>
        </w:rPr>
      </w:pPr>
    </w:p>
    <w:p w14:paraId="1EF3DCF7" w14:textId="5A96EF36" w:rsidR="00F55CB8" w:rsidRPr="0050595C" w:rsidRDefault="00F55CB8" w:rsidP="0050595C">
      <w:pPr>
        <w:spacing w:line="312" w:lineRule="auto"/>
        <w:jc w:val="center"/>
        <w:rPr>
          <w:rFonts w:ascii="Georgia" w:hAnsi="Georgia"/>
          <w:b/>
          <w:bCs/>
          <w:sz w:val="32"/>
          <w:szCs w:val="32"/>
          <w:lang w:val="en-US"/>
        </w:rPr>
      </w:pPr>
      <w:r w:rsidRPr="00F55CB8">
        <w:rPr>
          <w:rFonts w:ascii="Georgia" w:hAnsi="Georgia"/>
          <w:b/>
          <w:bCs/>
          <w:sz w:val="32"/>
          <w:szCs w:val="32"/>
          <w:lang w:val="en-US"/>
        </w:rPr>
        <w:t>Western perspective</w:t>
      </w:r>
    </w:p>
    <w:p w14:paraId="1F76A249" w14:textId="77777777" w:rsidR="00F55CB8" w:rsidRDefault="00F55CB8" w:rsidP="00F55CB8">
      <w:pPr>
        <w:spacing w:line="312" w:lineRule="auto"/>
        <w:rPr>
          <w:rFonts w:ascii="Georgia" w:hAnsi="Georgia"/>
          <w:lang w:val="en-US"/>
        </w:rPr>
      </w:pPr>
    </w:p>
    <w:p w14:paraId="1DD9E461" w14:textId="5A6C4A2E" w:rsidR="00F55CB8" w:rsidRDefault="00B91659" w:rsidP="00B91659">
      <w:pPr>
        <w:tabs>
          <w:tab w:val="left" w:pos="3156"/>
        </w:tabs>
        <w:spacing w:line="312" w:lineRule="auto"/>
        <w:rPr>
          <w:rFonts w:ascii="Georgia" w:hAnsi="Georgia"/>
          <w:lang w:val="en-US"/>
        </w:rPr>
      </w:pPr>
      <w:r>
        <w:rPr>
          <w:rFonts w:ascii="Georgia" w:hAnsi="Georgia"/>
          <w:lang w:val="en-US"/>
        </w:rPr>
        <w:tab/>
      </w:r>
    </w:p>
    <w:p w14:paraId="56FC16EF" w14:textId="09CFB008" w:rsidR="00F55CB8" w:rsidRPr="002D274F" w:rsidRDefault="00F55CB8" w:rsidP="00F55CB8">
      <w:pPr>
        <w:spacing w:line="312" w:lineRule="auto"/>
        <w:rPr>
          <w:rFonts w:ascii="Georgia" w:hAnsi="Georgia"/>
          <w:b/>
          <w:bCs/>
          <w:sz w:val="27"/>
          <w:szCs w:val="27"/>
          <w:u w:val="single"/>
          <w:lang w:val="en-US"/>
        </w:rPr>
      </w:pPr>
      <w:r w:rsidRPr="002D274F">
        <w:rPr>
          <w:rFonts w:ascii="Georgia" w:hAnsi="Georgia"/>
          <w:b/>
          <w:bCs/>
          <w:sz w:val="27"/>
          <w:szCs w:val="27"/>
          <w:u w:val="single"/>
          <w:lang w:val="en-US"/>
        </w:rPr>
        <w:t>Definition</w:t>
      </w:r>
      <w:r w:rsidR="00303B72" w:rsidRPr="002D274F">
        <w:rPr>
          <w:rFonts w:ascii="Georgia" w:hAnsi="Georgia"/>
          <w:b/>
          <w:bCs/>
          <w:sz w:val="27"/>
          <w:szCs w:val="27"/>
          <w:u w:val="single"/>
          <w:lang w:val="en-US"/>
        </w:rPr>
        <w:t xml:space="preserve"> and data</w:t>
      </w:r>
    </w:p>
    <w:p w14:paraId="3A995AD9" w14:textId="7D290A9E" w:rsidR="00F55CB8" w:rsidRDefault="00F55CB8" w:rsidP="00F55CB8">
      <w:pPr>
        <w:spacing w:line="312" w:lineRule="auto"/>
        <w:rPr>
          <w:rFonts w:ascii="Georgia" w:hAnsi="Georgia"/>
          <w:lang w:val="en-US"/>
        </w:rPr>
      </w:pPr>
    </w:p>
    <w:p w14:paraId="70AE5977" w14:textId="61A997EA" w:rsidR="00F55CB8" w:rsidRDefault="00F55CB8" w:rsidP="00F55CB8">
      <w:pPr>
        <w:spacing w:line="312" w:lineRule="auto"/>
        <w:rPr>
          <w:rFonts w:ascii="Georgia" w:hAnsi="Georgia"/>
          <w:lang w:val="en-US"/>
        </w:rPr>
      </w:pPr>
      <w:r>
        <w:rPr>
          <w:rFonts w:ascii="Georgia" w:hAnsi="Georgia"/>
          <w:lang w:val="en-US"/>
        </w:rPr>
        <w:t>Given by how diverse platform work can be, multiple definitions</w:t>
      </w:r>
      <w:r w:rsidR="00332BC8">
        <w:rPr>
          <w:rFonts w:ascii="Georgia" w:hAnsi="Georgia"/>
          <w:lang w:val="en-US"/>
        </w:rPr>
        <w:t xml:space="preserve"> can be found</w:t>
      </w:r>
      <w:r>
        <w:rPr>
          <w:rFonts w:ascii="Georgia" w:hAnsi="Georgia"/>
          <w:lang w:val="en-US"/>
        </w:rPr>
        <w:t xml:space="preserve"> among authors of academical literature, or policy making institutions. The two most concerning and apt for this summary are two definitions given by the European Commission:</w:t>
      </w:r>
    </w:p>
    <w:p w14:paraId="48619D1C" w14:textId="77777777" w:rsidR="00F55CB8" w:rsidRDefault="00F55CB8" w:rsidP="00F55CB8">
      <w:pPr>
        <w:spacing w:line="312" w:lineRule="auto"/>
        <w:rPr>
          <w:rFonts w:ascii="Georgia" w:hAnsi="Georgia"/>
          <w:lang w:val="en-US"/>
        </w:rPr>
      </w:pPr>
    </w:p>
    <w:p w14:paraId="71BEABBF" w14:textId="77777777" w:rsidR="00F55CB8" w:rsidRPr="00F55CB8" w:rsidRDefault="00F55CB8" w:rsidP="00F55CB8">
      <w:pPr>
        <w:spacing w:line="312" w:lineRule="auto"/>
        <w:rPr>
          <w:rFonts w:ascii="Georgia" w:hAnsi="Georgia"/>
          <w:i/>
          <w:iCs/>
        </w:rPr>
      </w:pPr>
      <w:r w:rsidRPr="00F55CB8">
        <w:rPr>
          <w:rFonts w:ascii="Georgia" w:hAnsi="Georgia"/>
          <w:i/>
          <w:iCs/>
        </w:rPr>
        <w:t>"providing services via online platforms, where you and the client are matched digitally, payment is conducted digitally via the platform and the work is</w:t>
      </w:r>
      <w:r w:rsidRPr="00F55CB8">
        <w:rPr>
          <w:rFonts w:ascii="Georgia" w:hAnsi="Georgia"/>
          <w:b/>
          <w:bCs/>
          <w:i/>
          <w:iCs/>
        </w:rPr>
        <w:t xml:space="preserve"> location-independent</w:t>
      </w:r>
      <w:r w:rsidRPr="00F55CB8">
        <w:rPr>
          <w:rFonts w:ascii="Georgia" w:hAnsi="Georgia"/>
          <w:i/>
          <w:iCs/>
        </w:rPr>
        <w:t xml:space="preserve">, web-based” </w:t>
      </w:r>
    </w:p>
    <w:p w14:paraId="336599DC" w14:textId="77777777" w:rsidR="00F55CB8" w:rsidRPr="00F55CB8" w:rsidRDefault="00F55CB8" w:rsidP="00F55CB8">
      <w:pPr>
        <w:spacing w:line="312" w:lineRule="auto"/>
        <w:rPr>
          <w:rFonts w:ascii="Georgia" w:hAnsi="Georgia"/>
        </w:rPr>
      </w:pPr>
    </w:p>
    <w:p w14:paraId="3ACFA03E" w14:textId="6E73ECD4" w:rsidR="00F55CB8" w:rsidRPr="00F55CB8" w:rsidRDefault="00F55CB8" w:rsidP="00F55CB8">
      <w:pPr>
        <w:spacing w:line="312" w:lineRule="auto"/>
        <w:rPr>
          <w:rFonts w:ascii="Georgia" w:hAnsi="Georgia"/>
          <w:i/>
          <w:iCs/>
        </w:rPr>
      </w:pPr>
      <w:r w:rsidRPr="00F55CB8">
        <w:rPr>
          <w:rFonts w:ascii="Georgia" w:hAnsi="Georgia"/>
          <w:i/>
          <w:iCs/>
        </w:rPr>
        <w:t xml:space="preserve">"providing services via online platforms, where you and the client are matched digitally, and the payment is conducted digitally via the platform, but work is </w:t>
      </w:r>
      <w:r w:rsidRPr="00F55CB8">
        <w:rPr>
          <w:rFonts w:ascii="Georgia" w:hAnsi="Georgia"/>
          <w:b/>
          <w:bCs/>
          <w:i/>
          <w:iCs/>
        </w:rPr>
        <w:t>performed on-location</w:t>
      </w:r>
      <w:r w:rsidRPr="00F55CB8">
        <w:rPr>
          <w:rFonts w:ascii="Georgia" w:hAnsi="Georgia"/>
          <w:i/>
          <w:iCs/>
        </w:rPr>
        <w:t>"</w:t>
      </w:r>
    </w:p>
    <w:p w14:paraId="7558B7FD" w14:textId="63805B77" w:rsidR="00F55CB8" w:rsidRDefault="00F55CB8" w:rsidP="00F55CB8">
      <w:pPr>
        <w:spacing w:line="312" w:lineRule="auto"/>
        <w:jc w:val="right"/>
        <w:rPr>
          <w:rFonts w:ascii="Georgia" w:hAnsi="Georgia"/>
        </w:rPr>
      </w:pPr>
      <w:r>
        <w:rPr>
          <w:rFonts w:ascii="Georgia" w:hAnsi="Georgia"/>
        </w:rPr>
        <w:t>(EC Joint Research Centre, 2018)</w:t>
      </w:r>
    </w:p>
    <w:p w14:paraId="4F66F932" w14:textId="77777777" w:rsidR="00F55CB8" w:rsidRDefault="00F55CB8" w:rsidP="00F55CB8">
      <w:pPr>
        <w:spacing w:line="312" w:lineRule="auto"/>
        <w:rPr>
          <w:rFonts w:ascii="Georgia" w:hAnsi="Georgia"/>
        </w:rPr>
      </w:pPr>
    </w:p>
    <w:p w14:paraId="1CC4BECD" w14:textId="126523E5" w:rsidR="00F55CB8" w:rsidRDefault="00303B72" w:rsidP="00F55CB8">
      <w:pPr>
        <w:spacing w:line="312" w:lineRule="auto"/>
        <w:rPr>
          <w:rFonts w:ascii="Georgia" w:hAnsi="Georgia"/>
          <w:lang w:val="en-US"/>
        </w:rPr>
      </w:pPr>
      <w:r>
        <w:rPr>
          <w:rFonts w:ascii="Georgia" w:hAnsi="Georgia"/>
        </w:rPr>
        <w:t xml:space="preserve">Research done by the European Comission in 2018 shows, that on-location performed platform work makes up the majority </w:t>
      </w:r>
      <w:r w:rsidR="000B66C9">
        <w:rPr>
          <w:rFonts w:ascii="Georgia" w:hAnsi="Georgia"/>
        </w:rPr>
        <w:t xml:space="preserve">of platform work </w:t>
      </w:r>
      <w:r>
        <w:rPr>
          <w:rFonts w:ascii="Georgia" w:hAnsi="Georgia"/>
        </w:rPr>
        <w:t xml:space="preserve">in Europe, with an estimated </w:t>
      </w:r>
      <w:r w:rsidRPr="00303B72">
        <w:rPr>
          <w:rFonts w:ascii="Georgia" w:hAnsi="Georgia"/>
        </w:rPr>
        <w:t>€</w:t>
      </w:r>
      <w:r>
        <w:rPr>
          <w:rFonts w:ascii="Georgia" w:hAnsi="Georgia"/>
        </w:rPr>
        <w:t xml:space="preserve">14 billion of revenue generated by platform work in the EU in 2020, </w:t>
      </w:r>
      <w:r w:rsidR="000B66C9">
        <w:rPr>
          <w:rFonts w:ascii="Georgia" w:hAnsi="Georgia"/>
        </w:rPr>
        <w:t xml:space="preserve">where </w:t>
      </w:r>
      <w:r>
        <w:rPr>
          <w:rFonts w:ascii="Georgia" w:hAnsi="Georgia"/>
        </w:rPr>
        <w:t>75</w:t>
      </w:r>
      <w:r>
        <w:rPr>
          <w:rFonts w:ascii="Georgia" w:hAnsi="Georgia"/>
          <w:lang w:val="cs-CZ"/>
        </w:rPr>
        <w:t>%</w:t>
      </w:r>
      <w:r>
        <w:rPr>
          <w:rFonts w:ascii="Georgia" w:hAnsi="Georgia"/>
          <w:lang w:val="en-US"/>
        </w:rPr>
        <w:t xml:space="preserve"> of this revenue is said to be generated by taxi driving platforms and food delivery platforms</w:t>
      </w:r>
      <w:r w:rsidR="00733836">
        <w:rPr>
          <w:rFonts w:ascii="Georgia" w:hAnsi="Georgia"/>
          <w:lang w:val="en-US"/>
        </w:rPr>
        <w:t xml:space="preserve"> (European Council, 2024)</w:t>
      </w:r>
    </w:p>
    <w:p w14:paraId="7FB35B30" w14:textId="77777777" w:rsidR="00597258" w:rsidRDefault="00597258" w:rsidP="00F55CB8">
      <w:pPr>
        <w:spacing w:line="312" w:lineRule="auto"/>
        <w:rPr>
          <w:rFonts w:ascii="Georgia" w:hAnsi="Georgia"/>
          <w:lang w:val="en-US"/>
        </w:rPr>
      </w:pPr>
    </w:p>
    <w:p w14:paraId="145AAE02" w14:textId="77777777" w:rsidR="00E11862" w:rsidRDefault="00E11862" w:rsidP="00F55CB8">
      <w:pPr>
        <w:spacing w:line="312" w:lineRule="auto"/>
        <w:rPr>
          <w:rFonts w:ascii="Georgia" w:hAnsi="Georgia"/>
          <w:lang w:val="en-US"/>
        </w:rPr>
      </w:pPr>
    </w:p>
    <w:p w14:paraId="01D9FB50" w14:textId="258F74E9" w:rsidR="00597258" w:rsidRPr="002D274F" w:rsidRDefault="00597258" w:rsidP="00F55CB8">
      <w:pPr>
        <w:spacing w:line="312" w:lineRule="auto"/>
        <w:rPr>
          <w:rFonts w:ascii="Georgia" w:hAnsi="Georgia"/>
          <w:b/>
          <w:bCs/>
          <w:sz w:val="27"/>
          <w:szCs w:val="27"/>
          <w:u w:val="single"/>
          <w:lang w:val="en-US"/>
        </w:rPr>
      </w:pPr>
      <w:r w:rsidRPr="002D274F">
        <w:rPr>
          <w:rFonts w:ascii="Georgia" w:hAnsi="Georgia"/>
          <w:b/>
          <w:bCs/>
          <w:sz w:val="27"/>
          <w:szCs w:val="27"/>
          <w:u w:val="single"/>
          <w:lang w:val="en-US"/>
        </w:rPr>
        <w:t xml:space="preserve">Policy issues connected with platform </w:t>
      </w:r>
      <w:proofErr w:type="gramStart"/>
      <w:r w:rsidRPr="002D274F">
        <w:rPr>
          <w:rFonts w:ascii="Georgia" w:hAnsi="Georgia"/>
          <w:b/>
          <w:bCs/>
          <w:sz w:val="27"/>
          <w:szCs w:val="27"/>
          <w:u w:val="single"/>
          <w:lang w:val="en-US"/>
        </w:rPr>
        <w:t>work</w:t>
      </w:r>
      <w:proofErr w:type="gramEnd"/>
    </w:p>
    <w:p w14:paraId="00CCDD48" w14:textId="77777777" w:rsidR="00597258" w:rsidRDefault="00597258" w:rsidP="00F55CB8">
      <w:pPr>
        <w:spacing w:line="312" w:lineRule="auto"/>
        <w:rPr>
          <w:rFonts w:ascii="Georgia" w:hAnsi="Georgia"/>
          <w:lang w:val="en-US"/>
        </w:rPr>
      </w:pPr>
    </w:p>
    <w:p w14:paraId="3049DD07" w14:textId="4D1EC735" w:rsidR="00597258" w:rsidRDefault="00597258" w:rsidP="00F55CB8">
      <w:pPr>
        <w:spacing w:line="312" w:lineRule="auto"/>
        <w:rPr>
          <w:rFonts w:ascii="Georgia" w:hAnsi="Georgia"/>
          <w:lang w:val="en-US"/>
        </w:rPr>
      </w:pPr>
      <w:r>
        <w:rPr>
          <w:rFonts w:ascii="Georgia" w:hAnsi="Georgia"/>
          <w:lang w:val="en-US"/>
        </w:rPr>
        <w:t xml:space="preserve">The </w:t>
      </w:r>
      <w:r w:rsidR="0007345B">
        <w:rPr>
          <w:rFonts w:ascii="Georgia" w:hAnsi="Georgia"/>
          <w:lang w:val="en-US"/>
        </w:rPr>
        <w:t>most pressing</w:t>
      </w:r>
      <w:r>
        <w:rPr>
          <w:rFonts w:ascii="Georgia" w:hAnsi="Georgia"/>
          <w:lang w:val="en-US"/>
        </w:rPr>
        <w:t xml:space="preserve"> issue</w:t>
      </w:r>
      <w:r w:rsidR="0007345B">
        <w:rPr>
          <w:rFonts w:ascii="Georgia" w:hAnsi="Georgia"/>
          <w:lang w:val="en-US"/>
        </w:rPr>
        <w:t xml:space="preserve">s </w:t>
      </w:r>
      <w:r>
        <w:rPr>
          <w:rFonts w:ascii="Georgia" w:hAnsi="Georgia"/>
          <w:lang w:val="en-US"/>
        </w:rPr>
        <w:t xml:space="preserve">faced by western countries </w:t>
      </w:r>
      <w:r w:rsidR="00745857">
        <w:rPr>
          <w:rFonts w:ascii="Georgia" w:hAnsi="Georgia"/>
          <w:lang w:val="en-US"/>
        </w:rPr>
        <w:t>regarding</w:t>
      </w:r>
      <w:r>
        <w:rPr>
          <w:rFonts w:ascii="Georgia" w:hAnsi="Georgia"/>
          <w:lang w:val="en-US"/>
        </w:rPr>
        <w:t xml:space="preserve"> platform work lie currently in categorizing platform work within the existing legal framework, that is how to correctly </w:t>
      </w:r>
      <w:r w:rsidR="0007345B">
        <w:rPr>
          <w:rFonts w:ascii="Georgia" w:hAnsi="Georgia"/>
          <w:lang w:val="en-US"/>
        </w:rPr>
        <w:t xml:space="preserve">define a platform worker. Some western countries categorize platform workers as </w:t>
      </w:r>
      <w:r w:rsidR="0007345B" w:rsidRPr="0007345B">
        <w:rPr>
          <w:rFonts w:ascii="Georgia" w:hAnsi="Georgia"/>
          <w:i/>
          <w:iCs/>
          <w:lang w:val="en-US"/>
        </w:rPr>
        <w:t>self-employed</w:t>
      </w:r>
      <w:r w:rsidR="0007345B">
        <w:rPr>
          <w:rFonts w:ascii="Georgia" w:hAnsi="Georgia"/>
          <w:lang w:val="en-US"/>
        </w:rPr>
        <w:t xml:space="preserve">, such as Denmark for example. In France, platform workers fall under the category </w:t>
      </w:r>
      <w:r w:rsidR="00745857">
        <w:rPr>
          <w:rFonts w:ascii="Georgia" w:hAnsi="Georgia"/>
          <w:lang w:val="en-US"/>
        </w:rPr>
        <w:t xml:space="preserve">of </w:t>
      </w:r>
      <w:r w:rsidR="00745857" w:rsidRPr="00745857">
        <w:rPr>
          <w:rFonts w:ascii="Georgia" w:hAnsi="Georgia"/>
          <w:i/>
          <w:iCs/>
          <w:lang w:val="en-US"/>
        </w:rPr>
        <w:t>independent</w:t>
      </w:r>
      <w:r w:rsidR="0007345B" w:rsidRPr="0007345B">
        <w:rPr>
          <w:rFonts w:ascii="Georgia" w:hAnsi="Georgia"/>
          <w:i/>
          <w:iCs/>
          <w:lang w:val="en-US"/>
        </w:rPr>
        <w:t xml:space="preserve"> work</w:t>
      </w:r>
      <w:r w:rsidR="0007345B">
        <w:rPr>
          <w:rFonts w:ascii="Georgia" w:hAnsi="Georgia"/>
          <w:lang w:val="en-US"/>
        </w:rPr>
        <w:t xml:space="preserve">, a category similar to </w:t>
      </w:r>
      <w:r w:rsidR="0007345B" w:rsidRPr="0007345B">
        <w:rPr>
          <w:rFonts w:ascii="Georgia" w:hAnsi="Georgia"/>
          <w:i/>
          <w:iCs/>
          <w:lang w:val="en-US"/>
        </w:rPr>
        <w:t>self-employed</w:t>
      </w:r>
      <w:r w:rsidR="0007345B">
        <w:rPr>
          <w:rFonts w:ascii="Georgia" w:hAnsi="Georgia"/>
          <w:lang w:val="en-US"/>
        </w:rPr>
        <w:t>.</w:t>
      </w:r>
    </w:p>
    <w:p w14:paraId="2B1ACA96" w14:textId="77777777" w:rsidR="0007345B" w:rsidRDefault="0007345B" w:rsidP="00F55CB8">
      <w:pPr>
        <w:spacing w:line="312" w:lineRule="auto"/>
        <w:rPr>
          <w:rFonts w:ascii="Georgia" w:hAnsi="Georgia"/>
          <w:lang w:val="en-US"/>
        </w:rPr>
      </w:pPr>
    </w:p>
    <w:p w14:paraId="5101B47B" w14:textId="32B3A74E" w:rsidR="0007345B" w:rsidRDefault="0007345B" w:rsidP="00F55CB8">
      <w:pPr>
        <w:spacing w:line="312" w:lineRule="auto"/>
        <w:rPr>
          <w:rFonts w:ascii="Georgia" w:hAnsi="Georgia"/>
          <w:lang w:val="en-US"/>
        </w:rPr>
      </w:pPr>
      <w:r>
        <w:rPr>
          <w:rFonts w:ascii="Georgia" w:hAnsi="Georgia"/>
          <w:lang w:val="en-US"/>
        </w:rPr>
        <w:t xml:space="preserve">The main current issue lies in the fact, that since platform workers are not </w:t>
      </w:r>
      <w:r w:rsidR="00CE1BF5">
        <w:rPr>
          <w:rFonts w:ascii="Georgia" w:hAnsi="Georgia"/>
          <w:lang w:val="en-US"/>
        </w:rPr>
        <w:t xml:space="preserve">clearly </w:t>
      </w:r>
      <w:r>
        <w:rPr>
          <w:rFonts w:ascii="Georgia" w:hAnsi="Georgia"/>
          <w:lang w:val="en-US"/>
        </w:rPr>
        <w:t xml:space="preserve">categorized as employees, there is little legal grounds to </w:t>
      </w:r>
      <w:r w:rsidRPr="00C52F00">
        <w:rPr>
          <w:rFonts w:ascii="Georgia" w:hAnsi="Georgia"/>
          <w:u w:val="single"/>
          <w:lang w:val="en-US"/>
        </w:rPr>
        <w:t>ensure that they have access to their legal rights</w:t>
      </w:r>
      <w:r>
        <w:rPr>
          <w:rFonts w:ascii="Georgia" w:hAnsi="Georgia"/>
          <w:lang w:val="en-US"/>
        </w:rPr>
        <w:t xml:space="preserve"> like a certain amount of sick leave or working hour limits. </w:t>
      </w:r>
    </w:p>
    <w:p w14:paraId="084A324F" w14:textId="77777777" w:rsidR="0007345B" w:rsidRDefault="0007345B" w:rsidP="00F55CB8">
      <w:pPr>
        <w:spacing w:line="312" w:lineRule="auto"/>
        <w:rPr>
          <w:rFonts w:ascii="Georgia" w:hAnsi="Georgia"/>
          <w:lang w:val="en-US"/>
        </w:rPr>
      </w:pPr>
    </w:p>
    <w:p w14:paraId="2FAA8841" w14:textId="06F79960" w:rsidR="0007345B" w:rsidRDefault="0007345B" w:rsidP="00F55CB8">
      <w:pPr>
        <w:spacing w:line="312" w:lineRule="auto"/>
        <w:rPr>
          <w:rFonts w:ascii="Georgia" w:hAnsi="Georgia"/>
          <w:lang w:val="en-US"/>
        </w:rPr>
      </w:pPr>
      <w:r>
        <w:rPr>
          <w:rFonts w:ascii="Georgia" w:hAnsi="Georgia"/>
          <w:lang w:val="en-US"/>
        </w:rPr>
        <w:t xml:space="preserve">The leading western country </w:t>
      </w:r>
      <w:proofErr w:type="gramStart"/>
      <w:r>
        <w:rPr>
          <w:rFonts w:ascii="Georgia" w:hAnsi="Georgia"/>
          <w:lang w:val="en-US"/>
        </w:rPr>
        <w:t xml:space="preserve">in regard </w:t>
      </w:r>
      <w:r w:rsidR="009429E9">
        <w:rPr>
          <w:rFonts w:ascii="Georgia" w:hAnsi="Georgia"/>
          <w:lang w:val="en-US"/>
        </w:rPr>
        <w:t>to</w:t>
      </w:r>
      <w:proofErr w:type="gramEnd"/>
      <w:r w:rsidR="009429E9">
        <w:rPr>
          <w:rFonts w:ascii="Georgia" w:hAnsi="Georgia"/>
          <w:lang w:val="en-US"/>
        </w:rPr>
        <w:t xml:space="preserve"> platform work policy reforms </w:t>
      </w:r>
      <w:r>
        <w:rPr>
          <w:rFonts w:ascii="Georgia" w:hAnsi="Georgia"/>
          <w:lang w:val="en-US"/>
        </w:rPr>
        <w:t xml:space="preserve">is Spain, where political efforts are being exerted to change platform workers’ status from </w:t>
      </w:r>
      <w:r w:rsidRPr="0007345B">
        <w:rPr>
          <w:rFonts w:ascii="Georgia" w:hAnsi="Georgia"/>
          <w:i/>
          <w:iCs/>
          <w:lang w:val="en-US"/>
        </w:rPr>
        <w:t>self-employed</w:t>
      </w:r>
      <w:r>
        <w:rPr>
          <w:rFonts w:ascii="Georgia" w:hAnsi="Georgia"/>
          <w:lang w:val="en-US"/>
        </w:rPr>
        <w:t xml:space="preserve"> to </w:t>
      </w:r>
      <w:r w:rsidRPr="0007345B">
        <w:rPr>
          <w:rFonts w:ascii="Georgia" w:hAnsi="Georgia"/>
          <w:i/>
          <w:iCs/>
          <w:lang w:val="en-US"/>
        </w:rPr>
        <w:t>employee</w:t>
      </w:r>
      <w:r>
        <w:rPr>
          <w:rFonts w:ascii="Georgia" w:hAnsi="Georgia"/>
          <w:lang w:val="en-US"/>
        </w:rPr>
        <w:t>. This would make them eligible for protection under existing labor laws, also making their compensation more stable and clearly definable.</w:t>
      </w:r>
    </w:p>
    <w:p w14:paraId="162276C4" w14:textId="77777777" w:rsidR="00960248" w:rsidRDefault="00960248" w:rsidP="00F55CB8">
      <w:pPr>
        <w:spacing w:line="312" w:lineRule="auto"/>
        <w:rPr>
          <w:rFonts w:ascii="Georgia" w:hAnsi="Georgia"/>
          <w:lang w:val="en-US"/>
        </w:rPr>
      </w:pPr>
    </w:p>
    <w:p w14:paraId="4B7FEAC7" w14:textId="59782B05" w:rsidR="00E82E77" w:rsidRDefault="00960248" w:rsidP="00F55CB8">
      <w:pPr>
        <w:spacing w:line="312" w:lineRule="auto"/>
        <w:rPr>
          <w:rFonts w:ascii="Georgia" w:hAnsi="Georgia"/>
          <w:lang w:val="en-US"/>
        </w:rPr>
      </w:pPr>
      <w:r>
        <w:rPr>
          <w:rFonts w:ascii="Georgia" w:hAnsi="Georgia"/>
          <w:lang w:val="en-US"/>
        </w:rPr>
        <w:t xml:space="preserve">There is </w:t>
      </w:r>
      <w:r w:rsidR="009429E9">
        <w:rPr>
          <w:rFonts w:ascii="Georgia" w:hAnsi="Georgia"/>
          <w:lang w:val="en-US"/>
        </w:rPr>
        <w:t xml:space="preserve">also </w:t>
      </w:r>
      <w:r>
        <w:rPr>
          <w:rFonts w:ascii="Georgia" w:hAnsi="Georgia"/>
          <w:lang w:val="en-US"/>
        </w:rPr>
        <w:t>an ongoing effort on the EU policy making level to pass directives for all EU countries to follow regarding the legal categorization of platform work</w:t>
      </w:r>
      <w:r w:rsidR="009429E9">
        <w:rPr>
          <w:rFonts w:ascii="Georgia" w:hAnsi="Georgia"/>
          <w:lang w:val="en-US"/>
        </w:rPr>
        <w:t>, with new laws waiting to pass</w:t>
      </w:r>
      <w:r w:rsidR="00BE5EDD">
        <w:rPr>
          <w:rFonts w:ascii="Georgia" w:hAnsi="Georgia"/>
          <w:lang w:val="en-US"/>
        </w:rPr>
        <w:t xml:space="preserve"> in</w:t>
      </w:r>
      <w:r w:rsidR="009429E9">
        <w:rPr>
          <w:rFonts w:ascii="Georgia" w:hAnsi="Georgia"/>
          <w:lang w:val="en-US"/>
        </w:rPr>
        <w:t xml:space="preserve"> the EU Parliament</w:t>
      </w:r>
      <w:r w:rsidR="00733836">
        <w:rPr>
          <w:rFonts w:ascii="Georgia" w:hAnsi="Georgia"/>
          <w:lang w:val="en-US"/>
        </w:rPr>
        <w:t xml:space="preserve"> (European Council, 2023)</w:t>
      </w:r>
    </w:p>
    <w:p w14:paraId="2D192088" w14:textId="77777777" w:rsidR="00AB5D51" w:rsidRDefault="00AB5D51" w:rsidP="00F55CB8">
      <w:pPr>
        <w:spacing w:line="312" w:lineRule="auto"/>
        <w:rPr>
          <w:rFonts w:ascii="Georgia" w:hAnsi="Georgia"/>
          <w:lang w:val="en-US"/>
        </w:rPr>
      </w:pPr>
    </w:p>
    <w:p w14:paraId="3946C0C4" w14:textId="77777777" w:rsidR="00385EAB" w:rsidRDefault="00385EAB" w:rsidP="00F55CB8">
      <w:pPr>
        <w:spacing w:line="312" w:lineRule="auto"/>
        <w:rPr>
          <w:rFonts w:ascii="Georgia" w:hAnsi="Georgia"/>
          <w:lang w:val="en-US"/>
        </w:rPr>
      </w:pPr>
    </w:p>
    <w:p w14:paraId="40C8AE07" w14:textId="57164FFD" w:rsidR="00AB5D51" w:rsidRPr="00E11862" w:rsidRDefault="00AB5D51" w:rsidP="00F55CB8">
      <w:pPr>
        <w:spacing w:line="312" w:lineRule="auto"/>
        <w:rPr>
          <w:rFonts w:ascii="Georgia" w:hAnsi="Georgia"/>
          <w:b/>
          <w:bCs/>
          <w:sz w:val="27"/>
          <w:szCs w:val="27"/>
          <w:u w:val="single"/>
          <w:lang w:val="en-US"/>
        </w:rPr>
      </w:pPr>
      <w:r w:rsidRPr="00E11862">
        <w:rPr>
          <w:rFonts w:ascii="Georgia" w:hAnsi="Georgia"/>
          <w:b/>
          <w:bCs/>
          <w:sz w:val="27"/>
          <w:szCs w:val="27"/>
          <w:u w:val="single"/>
          <w:lang w:val="en-US"/>
        </w:rPr>
        <w:t>Policy proposals</w:t>
      </w:r>
    </w:p>
    <w:p w14:paraId="50CDA520" w14:textId="77777777" w:rsidR="00AB5D51" w:rsidRDefault="00AB5D51" w:rsidP="00F55CB8">
      <w:pPr>
        <w:spacing w:line="312" w:lineRule="auto"/>
        <w:rPr>
          <w:rFonts w:ascii="Georgia" w:hAnsi="Georgia"/>
          <w:lang w:val="en-US"/>
        </w:rPr>
      </w:pPr>
    </w:p>
    <w:p w14:paraId="70E806E5" w14:textId="301FDEB2" w:rsidR="00AB5D51" w:rsidRDefault="00960248" w:rsidP="00960248">
      <w:pPr>
        <w:pStyle w:val="ListParagraph"/>
        <w:numPr>
          <w:ilvl w:val="0"/>
          <w:numId w:val="1"/>
        </w:numPr>
        <w:spacing w:line="312" w:lineRule="auto"/>
        <w:rPr>
          <w:rFonts w:ascii="Georgia" w:hAnsi="Georgia"/>
          <w:lang w:val="en-US"/>
        </w:rPr>
      </w:pPr>
      <w:r w:rsidRPr="00960248">
        <w:rPr>
          <w:rFonts w:ascii="Georgia" w:hAnsi="Georgia"/>
          <w:b/>
          <w:bCs/>
          <w:lang w:val="en-US"/>
        </w:rPr>
        <w:t>Establishing clear legal definitions</w:t>
      </w:r>
      <w:r>
        <w:rPr>
          <w:rFonts w:ascii="Georgia" w:hAnsi="Georgia"/>
          <w:lang w:val="en-US"/>
        </w:rPr>
        <w:t xml:space="preserve"> – by unifying legal definitions, </w:t>
      </w:r>
      <w:r w:rsidR="00212123">
        <w:rPr>
          <w:rFonts w:ascii="Georgia" w:hAnsi="Georgia"/>
          <w:lang w:val="en-US"/>
        </w:rPr>
        <w:t xml:space="preserve">governments can </w:t>
      </w:r>
      <w:r w:rsidR="00745857">
        <w:rPr>
          <w:rFonts w:ascii="Georgia" w:hAnsi="Georgia"/>
          <w:lang w:val="en-US"/>
        </w:rPr>
        <w:t>ensur</w:t>
      </w:r>
      <w:r w:rsidR="00212123">
        <w:rPr>
          <w:rFonts w:ascii="Georgia" w:hAnsi="Georgia"/>
          <w:lang w:val="en-US"/>
        </w:rPr>
        <w:t xml:space="preserve">e </w:t>
      </w:r>
      <w:r w:rsidR="00264D98">
        <w:rPr>
          <w:rFonts w:ascii="Georgia" w:hAnsi="Georgia"/>
          <w:lang w:val="en-US"/>
        </w:rPr>
        <w:t xml:space="preserve">that </w:t>
      </w:r>
      <w:r>
        <w:rPr>
          <w:rFonts w:ascii="Georgia" w:hAnsi="Georgia"/>
          <w:lang w:val="en-US"/>
        </w:rPr>
        <w:t>platform work can become a safe way to make a living. As of now, it is a very flexible source of income, but unfortunately, due to insufficient legal coverage, it can be hard for certain people to exist within the working frame that it creates.</w:t>
      </w:r>
      <w:r w:rsidR="00212123">
        <w:rPr>
          <w:rFonts w:ascii="Georgia" w:hAnsi="Georgia"/>
          <w:lang w:val="en-US"/>
        </w:rPr>
        <w:t xml:space="preserve"> </w:t>
      </w:r>
    </w:p>
    <w:p w14:paraId="1507F883" w14:textId="5812EBF2" w:rsidR="00960248" w:rsidRDefault="00960248" w:rsidP="00960248">
      <w:pPr>
        <w:pStyle w:val="ListParagraph"/>
        <w:numPr>
          <w:ilvl w:val="0"/>
          <w:numId w:val="1"/>
        </w:numPr>
        <w:spacing w:line="312" w:lineRule="auto"/>
        <w:rPr>
          <w:rFonts w:ascii="Georgia" w:hAnsi="Georgia"/>
          <w:lang w:val="en-US"/>
        </w:rPr>
      </w:pPr>
      <w:r w:rsidRPr="00960248">
        <w:rPr>
          <w:rFonts w:ascii="Georgia" w:hAnsi="Georgia"/>
          <w:b/>
          <w:bCs/>
          <w:lang w:val="en-US"/>
        </w:rPr>
        <w:t>Enhancing worker protection</w:t>
      </w:r>
      <w:r>
        <w:rPr>
          <w:rFonts w:ascii="Georgia" w:hAnsi="Georgia"/>
          <w:lang w:val="en-US"/>
        </w:rPr>
        <w:t xml:space="preserve"> – closely connected to the first point, a lack of worker protection can very negatively affect those making a living via platform work. The scale of the negative </w:t>
      </w:r>
      <w:r w:rsidR="00264D98">
        <w:rPr>
          <w:rFonts w:ascii="Georgia" w:hAnsi="Georgia"/>
          <w:lang w:val="en-US"/>
        </w:rPr>
        <w:t>effects can</w:t>
      </w:r>
      <w:r>
        <w:rPr>
          <w:rFonts w:ascii="Georgia" w:hAnsi="Georgia"/>
          <w:lang w:val="en-US"/>
        </w:rPr>
        <w:t xml:space="preserve"> be difficult to measure due to a lack of data, but labor protection laws, such as a limit on working hours, exist for very clear and research backed reasons, and platform workers’ needs are no different from any other worker.</w:t>
      </w:r>
      <w:r w:rsidR="00575F38">
        <w:rPr>
          <w:rFonts w:ascii="Georgia" w:hAnsi="Georgia"/>
          <w:lang w:val="en-US"/>
        </w:rPr>
        <w:t xml:space="preserve"> The absence of such laws can trap certain people in very demanding work, with no way to fend for themselves.</w:t>
      </w:r>
    </w:p>
    <w:p w14:paraId="226FAD3D" w14:textId="7B2AE5F6" w:rsidR="00385EAB" w:rsidRDefault="00960248" w:rsidP="00385EAB">
      <w:pPr>
        <w:pStyle w:val="ListParagraph"/>
        <w:numPr>
          <w:ilvl w:val="0"/>
          <w:numId w:val="1"/>
        </w:numPr>
        <w:spacing w:line="312" w:lineRule="auto"/>
        <w:rPr>
          <w:rFonts w:ascii="Georgia" w:hAnsi="Georgia"/>
          <w:lang w:val="en-US"/>
        </w:rPr>
      </w:pPr>
      <w:r>
        <w:rPr>
          <w:rFonts w:ascii="Georgia" w:hAnsi="Georgia"/>
          <w:b/>
          <w:bCs/>
          <w:lang w:val="en-US"/>
        </w:rPr>
        <w:t>Facilitating collective representation</w:t>
      </w:r>
      <w:r>
        <w:rPr>
          <w:rFonts w:ascii="Georgia" w:hAnsi="Georgia"/>
          <w:lang w:val="en-US"/>
        </w:rPr>
        <w:t xml:space="preserve"> – both policy makers across western countries and actual </w:t>
      </w:r>
      <w:r w:rsidR="00385EAB">
        <w:rPr>
          <w:rFonts w:ascii="Georgia" w:hAnsi="Georgia"/>
          <w:lang w:val="en-US"/>
        </w:rPr>
        <w:t xml:space="preserve">platform </w:t>
      </w:r>
      <w:r>
        <w:rPr>
          <w:rFonts w:ascii="Georgia" w:hAnsi="Georgia"/>
          <w:lang w:val="en-US"/>
        </w:rPr>
        <w:t xml:space="preserve">workers as well, face a lack of information and data from platforms. This leads to difficult measuring of their operations, </w:t>
      </w:r>
      <w:r w:rsidR="00385EAB">
        <w:rPr>
          <w:rFonts w:ascii="Georgia" w:hAnsi="Georgia"/>
          <w:lang w:val="en-US"/>
        </w:rPr>
        <w:t>and</w:t>
      </w:r>
      <w:r>
        <w:rPr>
          <w:rFonts w:ascii="Georgia" w:hAnsi="Georgia"/>
          <w:lang w:val="en-US"/>
        </w:rPr>
        <w:t xml:space="preserve"> from the workers’ perspective, it means that they have no means to negotiate wages effectively. Facilitating workers of each specific platform to form unions </w:t>
      </w:r>
      <w:proofErr w:type="gramStart"/>
      <w:r>
        <w:rPr>
          <w:rFonts w:ascii="Georgia" w:hAnsi="Georgia"/>
          <w:lang w:val="en-US"/>
        </w:rPr>
        <w:t>in order to</w:t>
      </w:r>
      <w:proofErr w:type="gramEnd"/>
      <w:r>
        <w:rPr>
          <w:rFonts w:ascii="Georgia" w:hAnsi="Georgia"/>
          <w:lang w:val="en-US"/>
        </w:rPr>
        <w:t xml:space="preserve"> communicates their needs with platforms could improve the working environment as well as push platforms to provide more data to policy makers, data that will be crucial in future policy making initiatives.</w:t>
      </w:r>
    </w:p>
    <w:p w14:paraId="5E22AD39" w14:textId="77777777" w:rsidR="00385EAB" w:rsidRPr="00385EAB" w:rsidRDefault="00385EAB" w:rsidP="00385EAB">
      <w:pPr>
        <w:spacing w:line="312" w:lineRule="auto"/>
        <w:rPr>
          <w:rFonts w:ascii="Georgia" w:hAnsi="Georgia"/>
          <w:lang w:val="en-US"/>
        </w:rPr>
      </w:pPr>
    </w:p>
    <w:p w14:paraId="789F6E05" w14:textId="4CD27E9A" w:rsidR="00733836" w:rsidRDefault="00733836" w:rsidP="00F55CB8">
      <w:pPr>
        <w:spacing w:line="312" w:lineRule="auto"/>
        <w:rPr>
          <w:rFonts w:ascii="Georgia" w:hAnsi="Georgia"/>
          <w:lang w:val="en-US"/>
        </w:rPr>
      </w:pPr>
      <w:r w:rsidRPr="00967243">
        <w:rPr>
          <w:rFonts w:ascii="Georgia" w:hAnsi="Georgia"/>
          <w:b/>
          <w:bCs/>
          <w:sz w:val="27"/>
          <w:szCs w:val="27"/>
          <w:u w:val="single"/>
          <w:lang w:val="en-US"/>
        </w:rPr>
        <w:lastRenderedPageBreak/>
        <w:t>References</w:t>
      </w:r>
    </w:p>
    <w:p w14:paraId="1932AA79" w14:textId="77777777" w:rsidR="0007345B" w:rsidRDefault="0007345B" w:rsidP="00F55CB8">
      <w:pPr>
        <w:spacing w:line="312" w:lineRule="auto"/>
        <w:rPr>
          <w:rFonts w:ascii="Georgia" w:hAnsi="Georgia"/>
          <w:lang w:val="en-US"/>
        </w:rPr>
      </w:pPr>
    </w:p>
    <w:p w14:paraId="18411335" w14:textId="2E120123" w:rsidR="00F55CB8" w:rsidRDefault="00733836" w:rsidP="00F55CB8">
      <w:pPr>
        <w:spacing w:line="312" w:lineRule="auto"/>
        <w:rPr>
          <w:rFonts w:ascii="Georgia" w:hAnsi="Georgia"/>
          <w:lang w:val="en-US"/>
        </w:rPr>
      </w:pPr>
      <w:r>
        <w:rPr>
          <w:rFonts w:ascii="Georgia" w:hAnsi="Georgia"/>
          <w:lang w:val="en-US"/>
        </w:rPr>
        <w:t xml:space="preserve">European Council, European Union, 2023, available online at: </w:t>
      </w:r>
      <w:hyperlink r:id="rId8" w:history="1">
        <w:r w:rsidRPr="004212EA">
          <w:rPr>
            <w:rStyle w:val="Hyperlink"/>
            <w:rFonts w:ascii="Georgia" w:hAnsi="Georgia"/>
            <w:lang w:val="en-US"/>
          </w:rPr>
          <w:t>https://www.consilium.europa.eu/en/press/press-releases/2024/03/11/platform-workers-council-confirms-agreement-on-new-rules-to-improve-their-working-conditions/</w:t>
        </w:r>
      </w:hyperlink>
    </w:p>
    <w:p w14:paraId="13533941" w14:textId="77777777" w:rsidR="00733836" w:rsidRDefault="00733836" w:rsidP="00F55CB8">
      <w:pPr>
        <w:spacing w:line="312" w:lineRule="auto"/>
        <w:rPr>
          <w:rFonts w:ascii="Georgia" w:hAnsi="Georgia"/>
          <w:lang w:val="en-US"/>
        </w:rPr>
      </w:pPr>
    </w:p>
    <w:p w14:paraId="6DC92BDA" w14:textId="5499DEAD" w:rsidR="00733836" w:rsidRDefault="00733836" w:rsidP="00733836">
      <w:pPr>
        <w:spacing w:line="312" w:lineRule="auto"/>
        <w:rPr>
          <w:rFonts w:ascii="Georgia" w:hAnsi="Georgia"/>
        </w:rPr>
      </w:pPr>
      <w:r w:rsidRPr="00733836">
        <w:rPr>
          <w:rFonts w:ascii="Georgia" w:hAnsi="Georgia"/>
        </w:rPr>
        <w:t>European Commission, Joint Research Centre, Fernández-Macías, E., Urzí Brancati, M., González Vázquez, I. et al., Platform workers in Europe – Evidence from the COLLEEM survey, Publications Office,</w:t>
      </w:r>
      <w:r w:rsidRPr="00733836">
        <w:rPr>
          <w:rFonts w:ascii="Georgia" w:hAnsi="Georgia"/>
        </w:rPr>
        <w:br/>
        <w:t xml:space="preserve">2018, </w:t>
      </w:r>
      <w:hyperlink r:id="rId9" w:history="1">
        <w:r w:rsidRPr="00733836">
          <w:rPr>
            <w:rStyle w:val="Hyperlink"/>
            <w:rFonts w:ascii="Georgia" w:hAnsi="Georgia"/>
          </w:rPr>
          <w:t>https://data.europa.eu/doi/10.2760/742789</w:t>
        </w:r>
      </w:hyperlink>
      <w:r w:rsidRPr="00733836">
        <w:rPr>
          <w:rFonts w:ascii="Georgia" w:hAnsi="Georgia"/>
        </w:rPr>
        <w:t xml:space="preserve"> </w:t>
      </w:r>
    </w:p>
    <w:p w14:paraId="7822BFD7" w14:textId="77777777" w:rsidR="00733836" w:rsidRDefault="00733836" w:rsidP="00733836">
      <w:pPr>
        <w:spacing w:line="312" w:lineRule="auto"/>
        <w:rPr>
          <w:rFonts w:ascii="Georgia" w:hAnsi="Georgia"/>
        </w:rPr>
      </w:pPr>
    </w:p>
    <w:p w14:paraId="2DE38922" w14:textId="61511B5F" w:rsidR="00733836" w:rsidRDefault="00733836" w:rsidP="00733836">
      <w:pPr>
        <w:spacing w:line="312" w:lineRule="auto"/>
        <w:rPr>
          <w:rFonts w:ascii="Georgia" w:hAnsi="Georgia"/>
        </w:rPr>
      </w:pPr>
      <w:r>
        <w:rPr>
          <w:rFonts w:ascii="Georgia" w:hAnsi="Georgia"/>
        </w:rPr>
        <w:t xml:space="preserve">European Council, European Union, 2024, available online at: </w:t>
      </w:r>
      <w:hyperlink r:id="rId10" w:history="1">
        <w:r w:rsidR="00A7370A" w:rsidRPr="00733836">
          <w:rPr>
            <w:rStyle w:val="Hyperlink"/>
            <w:rFonts w:ascii="Georgia" w:hAnsi="Georgia"/>
          </w:rPr>
          <w:t>https://www.consilium.europa.eu/en/infographics/platform-economy/#0</w:t>
        </w:r>
      </w:hyperlink>
      <w:r w:rsidRPr="00733836">
        <w:rPr>
          <w:rFonts w:ascii="Georgia" w:hAnsi="Georgia"/>
        </w:rPr>
        <w:t xml:space="preserve"> </w:t>
      </w:r>
    </w:p>
    <w:p w14:paraId="58E8247F" w14:textId="77777777" w:rsidR="00733836" w:rsidRPr="00F55CB8" w:rsidRDefault="00733836" w:rsidP="00F55CB8">
      <w:pPr>
        <w:spacing w:line="312" w:lineRule="auto"/>
        <w:rPr>
          <w:rFonts w:ascii="Georgia" w:hAnsi="Georgia"/>
          <w:lang w:val="en-US"/>
        </w:rPr>
      </w:pPr>
    </w:p>
    <w:sectPr w:rsidR="00733836" w:rsidRPr="00F55C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2F82" w14:textId="77777777" w:rsidR="00442B28" w:rsidRDefault="00442B28" w:rsidP="00F55CB8">
      <w:r>
        <w:separator/>
      </w:r>
    </w:p>
  </w:endnote>
  <w:endnote w:type="continuationSeparator" w:id="0">
    <w:p w14:paraId="6D873895" w14:textId="77777777" w:rsidR="00442B28" w:rsidRDefault="00442B28" w:rsidP="00F5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7DF5" w14:textId="77777777" w:rsidR="00442B28" w:rsidRDefault="00442B28" w:rsidP="00F55CB8">
      <w:r>
        <w:separator/>
      </w:r>
    </w:p>
  </w:footnote>
  <w:footnote w:type="continuationSeparator" w:id="0">
    <w:p w14:paraId="2FA844CF" w14:textId="77777777" w:rsidR="00442B28" w:rsidRDefault="00442B28" w:rsidP="00F5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1D7"/>
    <w:multiLevelType w:val="multilevel"/>
    <w:tmpl w:val="F56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94AAE"/>
    <w:multiLevelType w:val="hybridMultilevel"/>
    <w:tmpl w:val="9E4AFB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2D1FDF"/>
    <w:multiLevelType w:val="multilevel"/>
    <w:tmpl w:val="A76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304464">
    <w:abstractNumId w:val="1"/>
  </w:num>
  <w:num w:numId="2" w16cid:durableId="1615550852">
    <w:abstractNumId w:val="2"/>
  </w:num>
  <w:num w:numId="3" w16cid:durableId="27021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B8"/>
    <w:rsid w:val="0007345B"/>
    <w:rsid w:val="000B52B9"/>
    <w:rsid w:val="000B66C9"/>
    <w:rsid w:val="00212123"/>
    <w:rsid w:val="00264D98"/>
    <w:rsid w:val="002D274F"/>
    <w:rsid w:val="002D5EC3"/>
    <w:rsid w:val="00303B72"/>
    <w:rsid w:val="00332BC8"/>
    <w:rsid w:val="00385EAB"/>
    <w:rsid w:val="004111F1"/>
    <w:rsid w:val="00442B28"/>
    <w:rsid w:val="004D64B9"/>
    <w:rsid w:val="0050595C"/>
    <w:rsid w:val="00575F38"/>
    <w:rsid w:val="00597258"/>
    <w:rsid w:val="006C780D"/>
    <w:rsid w:val="00733836"/>
    <w:rsid w:val="00745857"/>
    <w:rsid w:val="00746E55"/>
    <w:rsid w:val="009429E9"/>
    <w:rsid w:val="00960248"/>
    <w:rsid w:val="00967243"/>
    <w:rsid w:val="00A05B1E"/>
    <w:rsid w:val="00A52743"/>
    <w:rsid w:val="00A7370A"/>
    <w:rsid w:val="00A91CFD"/>
    <w:rsid w:val="00AB5D51"/>
    <w:rsid w:val="00B91659"/>
    <w:rsid w:val="00BE5EDD"/>
    <w:rsid w:val="00C52F00"/>
    <w:rsid w:val="00CE1BF5"/>
    <w:rsid w:val="00E11862"/>
    <w:rsid w:val="00E82E77"/>
    <w:rsid w:val="00F55CB8"/>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1D5E8DE2"/>
  <w15:chartTrackingRefBased/>
  <w15:docId w15:val="{02D8CA1E-7E73-8D4C-86B3-C4864E1F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C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C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C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C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CB8"/>
    <w:rPr>
      <w:rFonts w:eastAsiaTheme="majorEastAsia" w:cstheme="majorBidi"/>
      <w:color w:val="272727" w:themeColor="text1" w:themeTint="D8"/>
    </w:rPr>
  </w:style>
  <w:style w:type="paragraph" w:styleId="Title">
    <w:name w:val="Title"/>
    <w:basedOn w:val="Normal"/>
    <w:next w:val="Normal"/>
    <w:link w:val="TitleChar"/>
    <w:uiPriority w:val="10"/>
    <w:qFormat/>
    <w:rsid w:val="00F55C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C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C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CB8"/>
    <w:rPr>
      <w:i/>
      <w:iCs/>
      <w:color w:val="404040" w:themeColor="text1" w:themeTint="BF"/>
    </w:rPr>
  </w:style>
  <w:style w:type="paragraph" w:styleId="ListParagraph">
    <w:name w:val="List Paragraph"/>
    <w:basedOn w:val="Normal"/>
    <w:uiPriority w:val="34"/>
    <w:qFormat/>
    <w:rsid w:val="00F55CB8"/>
    <w:pPr>
      <w:ind w:left="720"/>
      <w:contextualSpacing/>
    </w:pPr>
  </w:style>
  <w:style w:type="character" w:styleId="IntenseEmphasis">
    <w:name w:val="Intense Emphasis"/>
    <w:basedOn w:val="DefaultParagraphFont"/>
    <w:uiPriority w:val="21"/>
    <w:qFormat/>
    <w:rsid w:val="00F55CB8"/>
    <w:rPr>
      <w:i/>
      <w:iCs/>
      <w:color w:val="0F4761" w:themeColor="accent1" w:themeShade="BF"/>
    </w:rPr>
  </w:style>
  <w:style w:type="paragraph" w:styleId="IntenseQuote">
    <w:name w:val="Intense Quote"/>
    <w:basedOn w:val="Normal"/>
    <w:next w:val="Normal"/>
    <w:link w:val="IntenseQuoteChar"/>
    <w:uiPriority w:val="30"/>
    <w:qFormat/>
    <w:rsid w:val="00F55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CB8"/>
    <w:rPr>
      <w:i/>
      <w:iCs/>
      <w:color w:val="0F4761" w:themeColor="accent1" w:themeShade="BF"/>
    </w:rPr>
  </w:style>
  <w:style w:type="character" w:styleId="IntenseReference">
    <w:name w:val="Intense Reference"/>
    <w:basedOn w:val="DefaultParagraphFont"/>
    <w:uiPriority w:val="32"/>
    <w:qFormat/>
    <w:rsid w:val="00F55CB8"/>
    <w:rPr>
      <w:b/>
      <w:bCs/>
      <w:smallCaps/>
      <w:color w:val="0F4761" w:themeColor="accent1" w:themeShade="BF"/>
      <w:spacing w:val="5"/>
    </w:rPr>
  </w:style>
  <w:style w:type="paragraph" w:styleId="Header">
    <w:name w:val="header"/>
    <w:basedOn w:val="Normal"/>
    <w:link w:val="HeaderChar"/>
    <w:uiPriority w:val="99"/>
    <w:unhideWhenUsed/>
    <w:rsid w:val="00F55CB8"/>
    <w:pPr>
      <w:tabs>
        <w:tab w:val="center" w:pos="4513"/>
        <w:tab w:val="right" w:pos="9026"/>
      </w:tabs>
    </w:pPr>
  </w:style>
  <w:style w:type="character" w:customStyle="1" w:styleId="HeaderChar">
    <w:name w:val="Header Char"/>
    <w:basedOn w:val="DefaultParagraphFont"/>
    <w:link w:val="Header"/>
    <w:uiPriority w:val="99"/>
    <w:rsid w:val="00F55CB8"/>
  </w:style>
  <w:style w:type="paragraph" w:styleId="Footer">
    <w:name w:val="footer"/>
    <w:basedOn w:val="Normal"/>
    <w:link w:val="FooterChar"/>
    <w:uiPriority w:val="99"/>
    <w:unhideWhenUsed/>
    <w:rsid w:val="00F55CB8"/>
    <w:pPr>
      <w:tabs>
        <w:tab w:val="center" w:pos="4513"/>
        <w:tab w:val="right" w:pos="9026"/>
      </w:tabs>
    </w:pPr>
  </w:style>
  <w:style w:type="character" w:customStyle="1" w:styleId="FooterChar">
    <w:name w:val="Footer Char"/>
    <w:basedOn w:val="DefaultParagraphFont"/>
    <w:link w:val="Footer"/>
    <w:uiPriority w:val="99"/>
    <w:rsid w:val="00F55CB8"/>
  </w:style>
  <w:style w:type="paragraph" w:styleId="NormalWeb">
    <w:name w:val="Normal (Web)"/>
    <w:basedOn w:val="Normal"/>
    <w:uiPriority w:val="99"/>
    <w:semiHidden/>
    <w:unhideWhenUsed/>
    <w:rsid w:val="00303B72"/>
    <w:rPr>
      <w:rFonts w:ascii="Times New Roman" w:hAnsi="Times New Roman" w:cs="Times New Roman"/>
    </w:rPr>
  </w:style>
  <w:style w:type="character" w:styleId="Hyperlink">
    <w:name w:val="Hyperlink"/>
    <w:basedOn w:val="DefaultParagraphFont"/>
    <w:uiPriority w:val="99"/>
    <w:unhideWhenUsed/>
    <w:rsid w:val="00733836"/>
    <w:rPr>
      <w:color w:val="467886" w:themeColor="hyperlink"/>
      <w:u w:val="single"/>
    </w:rPr>
  </w:style>
  <w:style w:type="character" w:styleId="UnresolvedMention">
    <w:name w:val="Unresolved Mention"/>
    <w:basedOn w:val="DefaultParagraphFont"/>
    <w:uiPriority w:val="99"/>
    <w:semiHidden/>
    <w:unhideWhenUsed/>
    <w:rsid w:val="00733836"/>
    <w:rPr>
      <w:color w:val="605E5C"/>
      <w:shd w:val="clear" w:color="auto" w:fill="E1DFDD"/>
    </w:rPr>
  </w:style>
  <w:style w:type="character" w:styleId="FollowedHyperlink">
    <w:name w:val="FollowedHyperlink"/>
    <w:basedOn w:val="DefaultParagraphFont"/>
    <w:uiPriority w:val="99"/>
    <w:semiHidden/>
    <w:unhideWhenUsed/>
    <w:rsid w:val="007338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82609">
      <w:bodyDiv w:val="1"/>
      <w:marLeft w:val="0"/>
      <w:marRight w:val="0"/>
      <w:marTop w:val="0"/>
      <w:marBottom w:val="0"/>
      <w:divBdr>
        <w:top w:val="none" w:sz="0" w:space="0" w:color="auto"/>
        <w:left w:val="none" w:sz="0" w:space="0" w:color="auto"/>
        <w:bottom w:val="none" w:sz="0" w:space="0" w:color="auto"/>
        <w:right w:val="none" w:sz="0" w:space="0" w:color="auto"/>
      </w:divBdr>
      <w:divsChild>
        <w:div w:id="1130787747">
          <w:marLeft w:val="0"/>
          <w:marRight w:val="0"/>
          <w:marTop w:val="0"/>
          <w:marBottom w:val="0"/>
          <w:divBdr>
            <w:top w:val="none" w:sz="0" w:space="0" w:color="auto"/>
            <w:left w:val="none" w:sz="0" w:space="0" w:color="auto"/>
            <w:bottom w:val="none" w:sz="0" w:space="0" w:color="auto"/>
            <w:right w:val="none" w:sz="0" w:space="0" w:color="auto"/>
          </w:divBdr>
          <w:divsChild>
            <w:div w:id="1198546088">
              <w:marLeft w:val="0"/>
              <w:marRight w:val="0"/>
              <w:marTop w:val="0"/>
              <w:marBottom w:val="0"/>
              <w:divBdr>
                <w:top w:val="none" w:sz="0" w:space="0" w:color="auto"/>
                <w:left w:val="none" w:sz="0" w:space="0" w:color="auto"/>
                <w:bottom w:val="none" w:sz="0" w:space="0" w:color="auto"/>
                <w:right w:val="none" w:sz="0" w:space="0" w:color="auto"/>
              </w:divBdr>
              <w:divsChild>
                <w:div w:id="364908600">
                  <w:marLeft w:val="0"/>
                  <w:marRight w:val="0"/>
                  <w:marTop w:val="0"/>
                  <w:marBottom w:val="0"/>
                  <w:divBdr>
                    <w:top w:val="none" w:sz="0" w:space="0" w:color="auto"/>
                    <w:left w:val="none" w:sz="0" w:space="0" w:color="auto"/>
                    <w:bottom w:val="none" w:sz="0" w:space="0" w:color="auto"/>
                    <w:right w:val="none" w:sz="0" w:space="0" w:color="auto"/>
                  </w:divBdr>
                  <w:divsChild>
                    <w:div w:id="17525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3190">
      <w:bodyDiv w:val="1"/>
      <w:marLeft w:val="0"/>
      <w:marRight w:val="0"/>
      <w:marTop w:val="0"/>
      <w:marBottom w:val="0"/>
      <w:divBdr>
        <w:top w:val="none" w:sz="0" w:space="0" w:color="auto"/>
        <w:left w:val="none" w:sz="0" w:space="0" w:color="auto"/>
        <w:bottom w:val="none" w:sz="0" w:space="0" w:color="auto"/>
        <w:right w:val="none" w:sz="0" w:space="0" w:color="auto"/>
      </w:divBdr>
      <w:divsChild>
        <w:div w:id="1662124048">
          <w:marLeft w:val="0"/>
          <w:marRight w:val="0"/>
          <w:marTop w:val="0"/>
          <w:marBottom w:val="0"/>
          <w:divBdr>
            <w:top w:val="none" w:sz="0" w:space="0" w:color="auto"/>
            <w:left w:val="none" w:sz="0" w:space="0" w:color="auto"/>
            <w:bottom w:val="none" w:sz="0" w:space="0" w:color="auto"/>
            <w:right w:val="none" w:sz="0" w:space="0" w:color="auto"/>
          </w:divBdr>
          <w:divsChild>
            <w:div w:id="645208715">
              <w:marLeft w:val="0"/>
              <w:marRight w:val="0"/>
              <w:marTop w:val="0"/>
              <w:marBottom w:val="0"/>
              <w:divBdr>
                <w:top w:val="none" w:sz="0" w:space="0" w:color="auto"/>
                <w:left w:val="none" w:sz="0" w:space="0" w:color="auto"/>
                <w:bottom w:val="none" w:sz="0" w:space="0" w:color="auto"/>
                <w:right w:val="none" w:sz="0" w:space="0" w:color="auto"/>
              </w:divBdr>
              <w:divsChild>
                <w:div w:id="1206791319">
                  <w:marLeft w:val="0"/>
                  <w:marRight w:val="0"/>
                  <w:marTop w:val="0"/>
                  <w:marBottom w:val="0"/>
                  <w:divBdr>
                    <w:top w:val="none" w:sz="0" w:space="0" w:color="auto"/>
                    <w:left w:val="none" w:sz="0" w:space="0" w:color="auto"/>
                    <w:bottom w:val="none" w:sz="0" w:space="0" w:color="auto"/>
                    <w:right w:val="none" w:sz="0" w:space="0" w:color="auto"/>
                  </w:divBdr>
                  <w:divsChild>
                    <w:div w:id="20045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9648">
      <w:bodyDiv w:val="1"/>
      <w:marLeft w:val="0"/>
      <w:marRight w:val="0"/>
      <w:marTop w:val="0"/>
      <w:marBottom w:val="0"/>
      <w:divBdr>
        <w:top w:val="none" w:sz="0" w:space="0" w:color="auto"/>
        <w:left w:val="none" w:sz="0" w:space="0" w:color="auto"/>
        <w:bottom w:val="none" w:sz="0" w:space="0" w:color="auto"/>
        <w:right w:val="none" w:sz="0" w:space="0" w:color="auto"/>
      </w:divBdr>
      <w:divsChild>
        <w:div w:id="1759668228">
          <w:marLeft w:val="0"/>
          <w:marRight w:val="0"/>
          <w:marTop w:val="0"/>
          <w:marBottom w:val="0"/>
          <w:divBdr>
            <w:top w:val="none" w:sz="0" w:space="0" w:color="auto"/>
            <w:left w:val="none" w:sz="0" w:space="0" w:color="auto"/>
            <w:bottom w:val="none" w:sz="0" w:space="0" w:color="auto"/>
            <w:right w:val="none" w:sz="0" w:space="0" w:color="auto"/>
          </w:divBdr>
          <w:divsChild>
            <w:div w:id="1676959713">
              <w:marLeft w:val="0"/>
              <w:marRight w:val="0"/>
              <w:marTop w:val="0"/>
              <w:marBottom w:val="0"/>
              <w:divBdr>
                <w:top w:val="none" w:sz="0" w:space="0" w:color="auto"/>
                <w:left w:val="none" w:sz="0" w:space="0" w:color="auto"/>
                <w:bottom w:val="none" w:sz="0" w:space="0" w:color="auto"/>
                <w:right w:val="none" w:sz="0" w:space="0" w:color="auto"/>
              </w:divBdr>
              <w:divsChild>
                <w:div w:id="2119793739">
                  <w:marLeft w:val="0"/>
                  <w:marRight w:val="0"/>
                  <w:marTop w:val="0"/>
                  <w:marBottom w:val="0"/>
                  <w:divBdr>
                    <w:top w:val="none" w:sz="0" w:space="0" w:color="auto"/>
                    <w:left w:val="none" w:sz="0" w:space="0" w:color="auto"/>
                    <w:bottom w:val="none" w:sz="0" w:space="0" w:color="auto"/>
                    <w:right w:val="none" w:sz="0" w:space="0" w:color="auto"/>
                  </w:divBdr>
                  <w:divsChild>
                    <w:div w:id="19464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4535">
      <w:bodyDiv w:val="1"/>
      <w:marLeft w:val="0"/>
      <w:marRight w:val="0"/>
      <w:marTop w:val="0"/>
      <w:marBottom w:val="0"/>
      <w:divBdr>
        <w:top w:val="none" w:sz="0" w:space="0" w:color="auto"/>
        <w:left w:val="none" w:sz="0" w:space="0" w:color="auto"/>
        <w:bottom w:val="none" w:sz="0" w:space="0" w:color="auto"/>
        <w:right w:val="none" w:sz="0" w:space="0" w:color="auto"/>
      </w:divBdr>
      <w:divsChild>
        <w:div w:id="856894070">
          <w:marLeft w:val="0"/>
          <w:marRight w:val="0"/>
          <w:marTop w:val="0"/>
          <w:marBottom w:val="0"/>
          <w:divBdr>
            <w:top w:val="none" w:sz="0" w:space="0" w:color="auto"/>
            <w:left w:val="none" w:sz="0" w:space="0" w:color="auto"/>
            <w:bottom w:val="none" w:sz="0" w:space="0" w:color="auto"/>
            <w:right w:val="none" w:sz="0" w:space="0" w:color="auto"/>
          </w:divBdr>
          <w:divsChild>
            <w:div w:id="1660310051">
              <w:marLeft w:val="0"/>
              <w:marRight w:val="0"/>
              <w:marTop w:val="0"/>
              <w:marBottom w:val="0"/>
              <w:divBdr>
                <w:top w:val="none" w:sz="0" w:space="0" w:color="auto"/>
                <w:left w:val="none" w:sz="0" w:space="0" w:color="auto"/>
                <w:bottom w:val="none" w:sz="0" w:space="0" w:color="auto"/>
                <w:right w:val="none" w:sz="0" w:space="0" w:color="auto"/>
              </w:divBdr>
              <w:divsChild>
                <w:div w:id="14968174">
                  <w:marLeft w:val="0"/>
                  <w:marRight w:val="0"/>
                  <w:marTop w:val="0"/>
                  <w:marBottom w:val="0"/>
                  <w:divBdr>
                    <w:top w:val="none" w:sz="0" w:space="0" w:color="auto"/>
                    <w:left w:val="none" w:sz="0" w:space="0" w:color="auto"/>
                    <w:bottom w:val="none" w:sz="0" w:space="0" w:color="auto"/>
                    <w:right w:val="none" w:sz="0" w:space="0" w:color="auto"/>
                  </w:divBdr>
                  <w:divsChild>
                    <w:div w:id="19084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n/press/press-releases/2024/03/11/platform-workers-council-confirms-agreement-on-new-rules-to-improve-their-working-condition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silium.europa.eu/en/infographics/platform-economy/#0" TargetMode="External"/><Relationship Id="rId4" Type="http://schemas.openxmlformats.org/officeDocument/2006/relationships/webSettings" Target="webSettings.xml"/><Relationship Id="rId9" Type="http://schemas.openxmlformats.org/officeDocument/2006/relationships/hyperlink" Target="https://data.europa.eu/doi/10.2760/742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Bargel</dc:creator>
  <cp:keywords/>
  <dc:description/>
  <cp:lastModifiedBy>Tomáš Bargel</cp:lastModifiedBy>
  <cp:revision>26</cp:revision>
  <dcterms:created xsi:type="dcterms:W3CDTF">2024-05-08T11:05:00Z</dcterms:created>
  <dcterms:modified xsi:type="dcterms:W3CDTF">2024-05-08T12:17:00Z</dcterms:modified>
</cp:coreProperties>
</file>