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3FD" w:rsidRPr="00F24C21" w:rsidRDefault="00EF2E54" w:rsidP="00EF2E54">
      <w:pPr>
        <w:rPr>
          <w:rFonts w:ascii="Times New Roman" w:eastAsia="Calibri" w:hAnsi="Times New Roman"/>
          <w:b/>
          <w:sz w:val="24"/>
          <w:szCs w:val="24"/>
        </w:rPr>
      </w:pPr>
      <w:r w:rsidRPr="00F24C21">
        <w:rPr>
          <w:rFonts w:ascii="Times New Roman" w:eastAsia="Calibri" w:hAnsi="Times New Roman"/>
          <w:b/>
          <w:sz w:val="24"/>
          <w:szCs w:val="24"/>
        </w:rPr>
        <w:t>Introduction:</w:t>
      </w:r>
    </w:p>
    <w:p w:rsidR="005804A1" w:rsidRDefault="007D0E4B" w:rsidP="00B25905">
      <w:pPr>
        <w:rPr>
          <w:rFonts w:ascii="Times New Roman" w:eastAsia="Calibri" w:hAnsi="Times New Roman"/>
          <w:sz w:val="24"/>
          <w:szCs w:val="24"/>
        </w:rPr>
      </w:pPr>
      <w:r w:rsidRPr="00F24C21">
        <w:rPr>
          <w:rFonts w:ascii="Times New Roman" w:eastAsia="Calibri" w:hAnsi="Times New Roman"/>
          <w:sz w:val="24"/>
          <w:szCs w:val="24"/>
        </w:rPr>
        <w:t>Work-life balance is crucial for individual well-being, ensuring a healthy equilibrium between professional responsibilities and personal life pursuits. An imbalance</w:t>
      </w:r>
      <w:r w:rsidR="005804A1">
        <w:rPr>
          <w:rFonts w:ascii="Times New Roman" w:eastAsia="Calibri" w:hAnsi="Times New Roman"/>
          <w:sz w:val="24"/>
          <w:szCs w:val="24"/>
        </w:rPr>
        <w:t xml:space="preserve"> of this overlooked but important concept</w:t>
      </w:r>
      <w:r w:rsidRPr="00F24C21">
        <w:rPr>
          <w:rFonts w:ascii="Times New Roman" w:eastAsia="Calibri" w:hAnsi="Times New Roman"/>
          <w:sz w:val="24"/>
          <w:szCs w:val="24"/>
        </w:rPr>
        <w:t xml:space="preserve"> can lead to stress, burnout, and reduced productivity. In the African context, where extended family networks and traditional values offer significant social support, achieving a balance between work and family is vital for </w:t>
      </w:r>
      <w:r w:rsidR="003932E6" w:rsidRPr="00F24C21">
        <w:rPr>
          <w:rFonts w:ascii="Times New Roman" w:eastAsia="Calibri" w:hAnsi="Times New Roman"/>
          <w:sz w:val="24"/>
          <w:szCs w:val="24"/>
        </w:rPr>
        <w:t xml:space="preserve">the </w:t>
      </w:r>
      <w:r w:rsidRPr="00F24C21">
        <w:rPr>
          <w:rFonts w:ascii="Times New Roman" w:eastAsia="Calibri" w:hAnsi="Times New Roman"/>
          <w:sz w:val="24"/>
          <w:szCs w:val="24"/>
        </w:rPr>
        <w:t xml:space="preserve">overall happiness and </w:t>
      </w:r>
      <w:proofErr w:type="spellStart"/>
      <w:r w:rsidR="00E61793" w:rsidRPr="00F24C21">
        <w:rPr>
          <w:rFonts w:ascii="Times New Roman" w:eastAsia="Calibri" w:hAnsi="Times New Roman"/>
          <w:sz w:val="24"/>
          <w:szCs w:val="24"/>
        </w:rPr>
        <w:t>fulfillment</w:t>
      </w:r>
      <w:proofErr w:type="spellEnd"/>
      <w:r w:rsidR="003932E6" w:rsidRPr="00F24C21">
        <w:rPr>
          <w:rFonts w:ascii="Times New Roman" w:eastAsia="Calibri" w:hAnsi="Times New Roman"/>
          <w:sz w:val="24"/>
          <w:szCs w:val="24"/>
        </w:rPr>
        <w:t xml:space="preserve"> of employees</w:t>
      </w:r>
      <w:r w:rsidR="00E61793" w:rsidRPr="00F24C21">
        <w:rPr>
          <w:rFonts w:ascii="Times New Roman" w:eastAsia="Calibri" w:hAnsi="Times New Roman"/>
          <w:sz w:val="24"/>
          <w:szCs w:val="24"/>
        </w:rPr>
        <w:t xml:space="preserve"> because it</w:t>
      </w:r>
      <w:r w:rsidRPr="00F24C21">
        <w:rPr>
          <w:rFonts w:ascii="Times New Roman" w:eastAsia="Calibri" w:hAnsi="Times New Roman"/>
          <w:sz w:val="24"/>
          <w:szCs w:val="24"/>
        </w:rPr>
        <w:t xml:space="preserve"> allows individuals to manage stress, increase prod</w:t>
      </w:r>
      <w:r w:rsidR="00E3078C" w:rsidRPr="00F24C21">
        <w:rPr>
          <w:rFonts w:ascii="Times New Roman" w:eastAsia="Calibri" w:hAnsi="Times New Roman"/>
          <w:sz w:val="24"/>
          <w:szCs w:val="24"/>
        </w:rPr>
        <w:t>uctivity, reduce stress levels</w:t>
      </w:r>
      <w:r w:rsidRPr="00F24C21">
        <w:rPr>
          <w:rFonts w:ascii="Times New Roman" w:eastAsia="Calibri" w:hAnsi="Times New Roman"/>
          <w:sz w:val="24"/>
          <w:szCs w:val="24"/>
        </w:rPr>
        <w:t>, enhance job satisfaction, and ultimately lea</w:t>
      </w:r>
      <w:r w:rsidR="00E3078C" w:rsidRPr="00F24C21">
        <w:rPr>
          <w:rFonts w:ascii="Times New Roman" w:eastAsia="Calibri" w:hAnsi="Times New Roman"/>
          <w:sz w:val="24"/>
          <w:szCs w:val="24"/>
        </w:rPr>
        <w:t>d to a more fulfilling life both</w:t>
      </w:r>
      <w:r w:rsidRPr="00F24C21">
        <w:rPr>
          <w:rFonts w:ascii="Times New Roman" w:eastAsia="Calibri" w:hAnsi="Times New Roman"/>
          <w:sz w:val="24"/>
          <w:szCs w:val="24"/>
        </w:rPr>
        <w:t xml:space="preserve"> personally and professionally</w:t>
      </w:r>
      <w:r w:rsidR="004873FD" w:rsidRPr="00F24C21">
        <w:rPr>
          <w:rFonts w:ascii="Times New Roman" w:eastAsia="Calibri" w:hAnsi="Times New Roman"/>
          <w:sz w:val="24"/>
          <w:szCs w:val="24"/>
        </w:rPr>
        <w:t xml:space="preserve">. </w:t>
      </w:r>
    </w:p>
    <w:p w:rsidR="00E61793" w:rsidRPr="005804A1" w:rsidRDefault="004873FD" w:rsidP="00EF2E54">
      <w:pPr>
        <w:rPr>
          <w:rFonts w:ascii="Times New Roman" w:eastAsia="Calibri" w:hAnsi="Times New Roman"/>
          <w:sz w:val="24"/>
          <w:szCs w:val="24"/>
        </w:rPr>
      </w:pPr>
      <w:r w:rsidRPr="00F24C21">
        <w:rPr>
          <w:rFonts w:ascii="Times New Roman" w:eastAsia="Calibri" w:hAnsi="Times New Roman"/>
          <w:sz w:val="24"/>
          <w:szCs w:val="24"/>
        </w:rPr>
        <w:t xml:space="preserve">As African economies </w:t>
      </w:r>
      <w:r w:rsidR="003932E6" w:rsidRPr="00F24C21">
        <w:rPr>
          <w:rFonts w:ascii="Times New Roman" w:eastAsia="Calibri" w:hAnsi="Times New Roman"/>
          <w:sz w:val="24"/>
          <w:szCs w:val="24"/>
        </w:rPr>
        <w:t>grow and evolve</w:t>
      </w:r>
      <w:r w:rsidRPr="00F24C21">
        <w:rPr>
          <w:rFonts w:ascii="Times New Roman" w:eastAsia="Calibri" w:hAnsi="Times New Roman"/>
          <w:sz w:val="24"/>
          <w:szCs w:val="24"/>
        </w:rPr>
        <w:t xml:space="preserve">, </w:t>
      </w:r>
      <w:r w:rsidR="00B25905" w:rsidRPr="00F24C21">
        <w:rPr>
          <w:rFonts w:ascii="Times New Roman" w:eastAsia="Calibri" w:hAnsi="Times New Roman"/>
          <w:sz w:val="24"/>
          <w:szCs w:val="24"/>
        </w:rPr>
        <w:t>efforts to addr</w:t>
      </w:r>
      <w:r w:rsidR="00A253FF" w:rsidRPr="00F24C21">
        <w:rPr>
          <w:rFonts w:ascii="Times New Roman" w:eastAsia="Calibri" w:hAnsi="Times New Roman"/>
          <w:sz w:val="24"/>
          <w:szCs w:val="24"/>
        </w:rPr>
        <w:t>ess the challenges face</w:t>
      </w:r>
      <w:r w:rsidR="003932E6" w:rsidRPr="00F24C21">
        <w:rPr>
          <w:rFonts w:ascii="Times New Roman" w:eastAsia="Calibri" w:hAnsi="Times New Roman"/>
          <w:sz w:val="24"/>
          <w:szCs w:val="24"/>
        </w:rPr>
        <w:t>d by workers</w:t>
      </w:r>
      <w:r w:rsidR="00A253FF" w:rsidRPr="00F24C21">
        <w:rPr>
          <w:rFonts w:ascii="Times New Roman" w:eastAsia="Calibri" w:hAnsi="Times New Roman"/>
          <w:sz w:val="24"/>
          <w:szCs w:val="24"/>
        </w:rPr>
        <w:t xml:space="preserve"> </w:t>
      </w:r>
      <w:r w:rsidR="00A253FF" w:rsidRPr="00F24C21">
        <w:rPr>
          <w:rFonts w:ascii="Times New Roman" w:eastAsia="Calibri" w:hAnsi="Times New Roman"/>
          <w:sz w:val="24"/>
          <w:szCs w:val="24"/>
        </w:rPr>
        <w:t>in reconciling their professional</w:t>
      </w:r>
      <w:r w:rsidR="00A253FF" w:rsidRPr="00F24C21">
        <w:rPr>
          <w:rFonts w:ascii="Times New Roman" w:eastAsia="Calibri" w:hAnsi="Times New Roman"/>
          <w:sz w:val="24"/>
          <w:szCs w:val="24"/>
        </w:rPr>
        <w:t xml:space="preserve"> responsibilities with their</w:t>
      </w:r>
      <w:r w:rsidR="00A253FF" w:rsidRPr="00F24C21">
        <w:rPr>
          <w:rFonts w:ascii="Times New Roman" w:eastAsia="Calibri" w:hAnsi="Times New Roman"/>
          <w:sz w:val="24"/>
          <w:szCs w:val="24"/>
        </w:rPr>
        <w:t xml:space="preserve"> familial obligations</w:t>
      </w:r>
      <w:r w:rsidR="00A253FF" w:rsidRPr="00F24C21">
        <w:rPr>
          <w:rFonts w:ascii="Times New Roman" w:eastAsia="Calibri" w:hAnsi="Times New Roman"/>
          <w:sz w:val="24"/>
          <w:szCs w:val="24"/>
        </w:rPr>
        <w:t xml:space="preserve"> have failed. Policies like Nigeria’s </w:t>
      </w:r>
      <w:proofErr w:type="spellStart"/>
      <w:r w:rsidR="003A66E3" w:rsidRPr="00F24C21">
        <w:rPr>
          <w:rFonts w:ascii="Times New Roman" w:eastAsia="Calibri" w:hAnsi="Times New Roman"/>
          <w:sz w:val="24"/>
          <w:szCs w:val="24"/>
        </w:rPr>
        <w:t>Labor</w:t>
      </w:r>
      <w:proofErr w:type="spellEnd"/>
      <w:r w:rsidR="00A253FF" w:rsidRPr="00F24C21">
        <w:rPr>
          <w:rFonts w:ascii="Times New Roman" w:eastAsia="Calibri" w:hAnsi="Times New Roman"/>
          <w:sz w:val="24"/>
          <w:szCs w:val="24"/>
        </w:rPr>
        <w:t xml:space="preserve"> Act 2015</w:t>
      </w:r>
      <w:r w:rsidR="003A66E3" w:rsidRPr="00F24C21">
        <w:rPr>
          <w:rFonts w:ascii="Times New Roman" w:eastAsia="Calibri" w:hAnsi="Times New Roman"/>
          <w:sz w:val="24"/>
          <w:szCs w:val="24"/>
        </w:rPr>
        <w:t>(2</w:t>
      </w:r>
      <w:r w:rsidR="00A253FF" w:rsidRPr="00F24C21">
        <w:rPr>
          <w:rFonts w:ascii="Times New Roman" w:eastAsia="Calibri" w:hAnsi="Times New Roman"/>
          <w:sz w:val="24"/>
          <w:szCs w:val="24"/>
        </w:rPr>
        <w:t xml:space="preserve">7) and Ghana’s </w:t>
      </w:r>
      <w:r w:rsidR="00A253FF" w:rsidRPr="00F24C21">
        <w:rPr>
          <w:rFonts w:ascii="Times New Roman" w:hAnsi="Times New Roman"/>
          <w:color w:val="0D0D0D"/>
          <w:sz w:val="24"/>
          <w:szCs w:val="24"/>
          <w:shd w:val="clear" w:color="auto" w:fill="FFFFFF"/>
        </w:rPr>
        <w:t>Occupational Health and Safety Act, 2020 (Act 1060)</w:t>
      </w:r>
      <w:r w:rsidR="00A253FF" w:rsidRPr="00F24C21">
        <w:rPr>
          <w:rFonts w:ascii="Times New Roman" w:eastAsia="Calibri" w:hAnsi="Times New Roman"/>
          <w:sz w:val="24"/>
          <w:szCs w:val="24"/>
        </w:rPr>
        <w:t xml:space="preserve"> failed</w:t>
      </w:r>
      <w:r w:rsidR="00FC2D26" w:rsidRPr="00F24C21">
        <w:rPr>
          <w:rFonts w:ascii="Times New Roman" w:eastAsia="Calibri" w:hAnsi="Times New Roman"/>
          <w:sz w:val="24"/>
          <w:szCs w:val="24"/>
        </w:rPr>
        <w:t xml:space="preserve"> </w:t>
      </w:r>
      <w:r w:rsidR="00FC2D26" w:rsidRPr="00F24C21">
        <w:rPr>
          <w:rFonts w:ascii="Times New Roman" w:eastAsia="Calibri" w:hAnsi="Times New Roman"/>
          <w:sz w:val="24"/>
          <w:szCs w:val="24"/>
        </w:rPr>
        <w:t>because of the non-uniformity in their implementation</w:t>
      </w:r>
      <w:r w:rsidR="00FC2D26" w:rsidRPr="00F24C21">
        <w:rPr>
          <w:rFonts w:ascii="Times New Roman" w:eastAsia="Calibri" w:hAnsi="Times New Roman"/>
          <w:sz w:val="24"/>
          <w:szCs w:val="24"/>
        </w:rPr>
        <w:t xml:space="preserve"> across organizations. D</w:t>
      </w:r>
      <w:r w:rsidR="00FC2D26" w:rsidRPr="00F24C21">
        <w:rPr>
          <w:rFonts w:ascii="Times New Roman" w:eastAsia="Calibri" w:hAnsi="Times New Roman"/>
          <w:sz w:val="24"/>
          <w:szCs w:val="24"/>
        </w:rPr>
        <w:t xml:space="preserve">iscretionary policies introduced in </w:t>
      </w:r>
      <w:r w:rsidR="005804A1">
        <w:rPr>
          <w:rFonts w:ascii="Times New Roman" w:eastAsia="Calibri" w:hAnsi="Times New Roman"/>
          <w:sz w:val="24"/>
          <w:szCs w:val="24"/>
        </w:rPr>
        <w:t>another</w:t>
      </w:r>
      <w:r w:rsidR="00FC2D26" w:rsidRPr="00F24C21">
        <w:rPr>
          <w:rFonts w:ascii="Times New Roman" w:eastAsia="Calibri" w:hAnsi="Times New Roman"/>
          <w:sz w:val="24"/>
          <w:szCs w:val="24"/>
        </w:rPr>
        <w:t xml:space="preserve"> phase by</w:t>
      </w:r>
      <w:r w:rsidR="00FC2D26" w:rsidRPr="00F24C21">
        <w:rPr>
          <w:rFonts w:ascii="Times New Roman" w:eastAsia="Calibri" w:hAnsi="Times New Roman"/>
          <w:sz w:val="24"/>
          <w:szCs w:val="24"/>
        </w:rPr>
        <w:t xml:space="preserve"> private</w:t>
      </w:r>
      <w:r w:rsidR="00FC2D26" w:rsidRPr="00F24C21">
        <w:rPr>
          <w:rFonts w:ascii="Times New Roman" w:eastAsia="Calibri" w:hAnsi="Times New Roman"/>
          <w:sz w:val="24"/>
          <w:szCs w:val="24"/>
        </w:rPr>
        <w:t xml:space="preserve"> organizations failed in some aspects because of the barriers created by organizational climate and leadership bottlenecks</w:t>
      </w:r>
      <w:r w:rsidR="00FC2D26" w:rsidRPr="00F24C21">
        <w:rPr>
          <w:rFonts w:ascii="Times New Roman" w:eastAsia="Calibri" w:hAnsi="Times New Roman"/>
          <w:sz w:val="24"/>
          <w:szCs w:val="24"/>
        </w:rPr>
        <w:t xml:space="preserve">. </w:t>
      </w:r>
      <w:r w:rsidR="003A66E3" w:rsidRPr="00F24C21">
        <w:rPr>
          <w:rFonts w:ascii="Times New Roman" w:eastAsia="Calibri" w:hAnsi="Times New Roman"/>
          <w:sz w:val="24"/>
          <w:szCs w:val="24"/>
        </w:rPr>
        <w:t xml:space="preserve"> Another underlying factor that</w:t>
      </w:r>
      <w:r w:rsidR="00FC2D26" w:rsidRPr="00F24C21">
        <w:rPr>
          <w:rFonts w:ascii="Times New Roman" w:eastAsia="Calibri" w:hAnsi="Times New Roman"/>
          <w:sz w:val="24"/>
          <w:szCs w:val="24"/>
        </w:rPr>
        <w:t xml:space="preserve"> facilitated</w:t>
      </w:r>
      <w:r w:rsidR="003A66E3" w:rsidRPr="00F24C21">
        <w:rPr>
          <w:rFonts w:ascii="Times New Roman" w:eastAsia="Calibri" w:hAnsi="Times New Roman"/>
          <w:sz w:val="24"/>
          <w:szCs w:val="24"/>
        </w:rPr>
        <w:t xml:space="preserve"> the</w:t>
      </w:r>
      <w:r w:rsidR="00FC2D26" w:rsidRPr="00F24C21">
        <w:rPr>
          <w:rFonts w:ascii="Times New Roman" w:eastAsia="Calibri" w:hAnsi="Times New Roman"/>
          <w:sz w:val="24"/>
          <w:szCs w:val="24"/>
        </w:rPr>
        <w:t xml:space="preserve"> failure of the</w:t>
      </w:r>
      <w:r w:rsidR="003A66E3" w:rsidRPr="00F24C21">
        <w:rPr>
          <w:rFonts w:ascii="Times New Roman" w:eastAsia="Calibri" w:hAnsi="Times New Roman"/>
          <w:sz w:val="24"/>
          <w:szCs w:val="24"/>
        </w:rPr>
        <w:t>se</w:t>
      </w:r>
      <w:r w:rsidR="00FC2D26" w:rsidRPr="00F24C21">
        <w:rPr>
          <w:rFonts w:ascii="Times New Roman" w:eastAsia="Calibri" w:hAnsi="Times New Roman"/>
          <w:sz w:val="24"/>
          <w:szCs w:val="24"/>
        </w:rPr>
        <w:t xml:space="preserve"> previous policies</w:t>
      </w:r>
      <w:r w:rsidR="003A66E3" w:rsidRPr="00F24C21">
        <w:rPr>
          <w:rFonts w:ascii="Times New Roman" w:eastAsia="Calibri" w:hAnsi="Times New Roman"/>
          <w:sz w:val="24"/>
          <w:szCs w:val="24"/>
        </w:rPr>
        <w:t xml:space="preserve"> can be traced to </w:t>
      </w:r>
      <w:r w:rsidR="003932E6" w:rsidRPr="00F24C21">
        <w:rPr>
          <w:rFonts w:ascii="Times New Roman" w:eastAsia="Calibri" w:hAnsi="Times New Roman"/>
          <w:sz w:val="24"/>
          <w:szCs w:val="24"/>
        </w:rPr>
        <w:t xml:space="preserve">a </w:t>
      </w:r>
      <w:r w:rsidR="00FC2D26" w:rsidRPr="00F24C21">
        <w:rPr>
          <w:rFonts w:ascii="Times New Roman" w:eastAsia="Calibri" w:hAnsi="Times New Roman"/>
          <w:sz w:val="24"/>
          <w:szCs w:val="24"/>
        </w:rPr>
        <w:t>lack of reliable information about which employees qualify for work-life programs and wha</w:t>
      </w:r>
      <w:r w:rsidR="00FC2D26" w:rsidRPr="00F24C21">
        <w:rPr>
          <w:rFonts w:ascii="Times New Roman" w:eastAsia="Calibri" w:hAnsi="Times New Roman"/>
          <w:sz w:val="24"/>
          <w:szCs w:val="24"/>
        </w:rPr>
        <w:t>t benefits are available</w:t>
      </w:r>
      <w:r w:rsidR="00FC2D26" w:rsidRPr="00F24C21">
        <w:rPr>
          <w:rFonts w:ascii="Times New Roman" w:eastAsia="Calibri" w:hAnsi="Times New Roman"/>
          <w:sz w:val="24"/>
          <w:szCs w:val="24"/>
        </w:rPr>
        <w:t>.</w:t>
      </w:r>
      <w:r w:rsidR="005804A1">
        <w:rPr>
          <w:rFonts w:ascii="Times New Roman" w:eastAsia="Calibri" w:hAnsi="Times New Roman"/>
          <w:sz w:val="24"/>
          <w:szCs w:val="24"/>
        </w:rPr>
        <w:t xml:space="preserve"> </w:t>
      </w:r>
      <w:r w:rsidR="007531C1" w:rsidRPr="00F24C21">
        <w:rPr>
          <w:rFonts w:ascii="Times New Roman" w:eastAsia="Calibri" w:hAnsi="Times New Roman"/>
          <w:sz w:val="24"/>
          <w:szCs w:val="24"/>
        </w:rPr>
        <w:t>To</w:t>
      </w:r>
      <w:r w:rsidR="007531C1" w:rsidRPr="00F24C21">
        <w:rPr>
          <w:rFonts w:ascii="Times New Roman" w:eastAsia="Calibri" w:hAnsi="Times New Roman"/>
          <w:sz w:val="24"/>
          <w:szCs w:val="24"/>
        </w:rPr>
        <w:t xml:space="preserve"> address these challenges, this proposal advocates for comprehensive policies </w:t>
      </w:r>
      <w:r w:rsidR="007531C1" w:rsidRPr="00F24C21">
        <w:rPr>
          <w:rFonts w:ascii="Times New Roman" w:eastAsia="Calibri" w:hAnsi="Times New Roman"/>
          <w:sz w:val="24"/>
          <w:szCs w:val="24"/>
        </w:rPr>
        <w:t>that acknowledge</w:t>
      </w:r>
      <w:r w:rsidR="007531C1" w:rsidRPr="00F24C21">
        <w:rPr>
          <w:rFonts w:ascii="Times New Roman" w:eastAsia="Calibri" w:hAnsi="Times New Roman"/>
          <w:sz w:val="24"/>
          <w:szCs w:val="24"/>
        </w:rPr>
        <w:t xml:space="preserve"> the diverse cultural contexts within which work and family life intersect in Africa. </w:t>
      </w:r>
      <w:r w:rsidR="00F24C21" w:rsidRPr="00F24C21">
        <w:rPr>
          <w:rFonts w:ascii="Times New Roman" w:eastAsia="Calibri" w:hAnsi="Times New Roman"/>
          <w:sz w:val="24"/>
          <w:szCs w:val="24"/>
        </w:rPr>
        <w:t>T</w:t>
      </w:r>
      <w:r w:rsidR="00F24C21" w:rsidRPr="00F24C21">
        <w:rPr>
          <w:rFonts w:ascii="Times New Roman" w:eastAsia="Calibri" w:hAnsi="Times New Roman"/>
          <w:sz w:val="24"/>
          <w:szCs w:val="24"/>
        </w:rPr>
        <w:t>ailored towards global best practices</w:t>
      </w:r>
      <w:r w:rsidR="00F24C21" w:rsidRPr="00F24C21">
        <w:rPr>
          <w:rFonts w:ascii="Times New Roman" w:eastAsia="Calibri" w:hAnsi="Times New Roman"/>
          <w:sz w:val="24"/>
          <w:szCs w:val="24"/>
        </w:rPr>
        <w:t>, the proposed policies</w:t>
      </w:r>
      <w:r w:rsidR="00F24C21" w:rsidRPr="00F24C21">
        <w:rPr>
          <w:rFonts w:ascii="Times New Roman" w:hAnsi="Times New Roman"/>
          <w:sz w:val="24"/>
          <w:szCs w:val="24"/>
        </w:rPr>
        <w:t xml:space="preserve"> encompass</w:t>
      </w:r>
      <w:r w:rsidR="00F24C21" w:rsidRPr="00F24C21">
        <w:rPr>
          <w:rFonts w:ascii="Times New Roman" w:hAnsi="Times New Roman"/>
          <w:sz w:val="24"/>
          <w:szCs w:val="24"/>
        </w:rPr>
        <w:t xml:space="preserve"> a range of </w:t>
      </w:r>
      <w:r w:rsidR="00F24C21" w:rsidRPr="00F24C21">
        <w:rPr>
          <w:rFonts w:ascii="Times New Roman" w:hAnsi="Times New Roman"/>
          <w:sz w:val="24"/>
          <w:szCs w:val="24"/>
        </w:rPr>
        <w:t xml:space="preserve">unique </w:t>
      </w:r>
      <w:r w:rsidR="00F24C21" w:rsidRPr="00F24C21">
        <w:rPr>
          <w:rFonts w:ascii="Times New Roman" w:hAnsi="Times New Roman"/>
          <w:sz w:val="24"/>
          <w:szCs w:val="24"/>
        </w:rPr>
        <w:t>measures</w:t>
      </w:r>
      <w:r w:rsidR="00F24C21" w:rsidRPr="00F24C21">
        <w:rPr>
          <w:rFonts w:ascii="Times New Roman" w:hAnsi="Times New Roman"/>
          <w:sz w:val="24"/>
          <w:szCs w:val="24"/>
        </w:rPr>
        <w:t xml:space="preserve"> to facilitate</w:t>
      </w:r>
      <w:r w:rsidR="00F24C21" w:rsidRPr="00F24C21">
        <w:rPr>
          <w:rFonts w:ascii="Times New Roman" w:hAnsi="Times New Roman"/>
          <w:sz w:val="24"/>
          <w:szCs w:val="24"/>
        </w:rPr>
        <w:t xml:space="preserve"> a ba</w:t>
      </w:r>
      <w:r w:rsidR="00F24C21" w:rsidRPr="00F24C21">
        <w:rPr>
          <w:rFonts w:ascii="Times New Roman" w:hAnsi="Times New Roman"/>
          <w:sz w:val="24"/>
          <w:szCs w:val="24"/>
        </w:rPr>
        <w:t>lanced workforce across Africa.</w:t>
      </w:r>
    </w:p>
    <w:p w:rsidR="00EF2E54" w:rsidRPr="00F24C21" w:rsidRDefault="00EF2E54" w:rsidP="00EF2E54">
      <w:pPr>
        <w:rPr>
          <w:rFonts w:ascii="Times New Roman" w:eastAsia="Calibri" w:hAnsi="Times New Roman"/>
          <w:b/>
          <w:sz w:val="24"/>
          <w:szCs w:val="24"/>
        </w:rPr>
      </w:pPr>
      <w:r w:rsidRPr="00F24C21">
        <w:rPr>
          <w:rFonts w:ascii="Times New Roman" w:eastAsia="Calibri" w:hAnsi="Times New Roman"/>
          <w:b/>
          <w:sz w:val="24"/>
          <w:szCs w:val="24"/>
        </w:rPr>
        <w:t>POLICY PROPOSALS</w:t>
      </w:r>
    </w:p>
    <w:p w:rsidR="00EF2E54" w:rsidRPr="00F24C21" w:rsidRDefault="00EF2E54" w:rsidP="00EF2E54">
      <w:pPr>
        <w:pStyle w:val="ListParagraph"/>
        <w:numPr>
          <w:ilvl w:val="0"/>
          <w:numId w:val="1"/>
        </w:numPr>
        <w:rPr>
          <w:rFonts w:ascii="Times New Roman" w:eastAsia="Calibri" w:hAnsi="Times New Roman"/>
          <w:sz w:val="24"/>
          <w:szCs w:val="24"/>
        </w:rPr>
      </w:pPr>
      <w:r w:rsidRPr="00F24C21">
        <w:rPr>
          <w:rFonts w:ascii="Times New Roman" w:eastAsia="Calibri" w:hAnsi="Times New Roman"/>
          <w:b/>
          <w:sz w:val="24"/>
          <w:szCs w:val="24"/>
        </w:rPr>
        <w:t xml:space="preserve">Cultural Integration Initiatives: </w:t>
      </w:r>
    </w:p>
    <w:p w:rsidR="00EF2E54" w:rsidRPr="00F24C21" w:rsidRDefault="00EF2E54" w:rsidP="00EF2E54">
      <w:pPr>
        <w:pStyle w:val="ListParagraph"/>
        <w:numPr>
          <w:ilvl w:val="0"/>
          <w:numId w:val="2"/>
        </w:numPr>
        <w:rPr>
          <w:rFonts w:ascii="Times New Roman" w:eastAsia="Calibri" w:hAnsi="Times New Roman"/>
          <w:sz w:val="24"/>
          <w:szCs w:val="24"/>
        </w:rPr>
      </w:pPr>
      <w:r w:rsidRPr="00F24C21">
        <w:rPr>
          <w:rFonts w:ascii="Times New Roman" w:eastAsia="Calibri" w:hAnsi="Times New Roman"/>
          <w:sz w:val="24"/>
          <w:szCs w:val="24"/>
        </w:rPr>
        <w:t xml:space="preserve">Encourage employers to recognize and respect the cultural diversity of their workforce by incorporating cultural festivals and celebrations into company policies and activities. </w:t>
      </w:r>
    </w:p>
    <w:p w:rsidR="00EF2E54" w:rsidRPr="00F24C21" w:rsidRDefault="00EF2E54" w:rsidP="00EF2E54">
      <w:pPr>
        <w:pStyle w:val="ListParagraph"/>
        <w:numPr>
          <w:ilvl w:val="0"/>
          <w:numId w:val="2"/>
        </w:numPr>
        <w:rPr>
          <w:rFonts w:ascii="Times New Roman" w:eastAsia="Calibri" w:hAnsi="Times New Roman"/>
          <w:sz w:val="24"/>
          <w:szCs w:val="24"/>
        </w:rPr>
      </w:pPr>
      <w:r w:rsidRPr="00F24C21">
        <w:rPr>
          <w:rFonts w:ascii="Times New Roman" w:eastAsia="Calibri" w:hAnsi="Times New Roman"/>
          <w:sz w:val="24"/>
          <w:szCs w:val="24"/>
        </w:rPr>
        <w:t xml:space="preserve">Guarantee paid parental leave for both mothers and fathers, with a minimum duration that allows for adequate bonding time with </w:t>
      </w:r>
      <w:proofErr w:type="spellStart"/>
      <w:r w:rsidRPr="00F24C21">
        <w:rPr>
          <w:rFonts w:ascii="Times New Roman" w:eastAsia="Calibri" w:hAnsi="Times New Roman"/>
          <w:sz w:val="24"/>
          <w:szCs w:val="24"/>
        </w:rPr>
        <w:t>newborns</w:t>
      </w:r>
      <w:proofErr w:type="spellEnd"/>
      <w:r w:rsidRPr="00F24C21">
        <w:rPr>
          <w:rFonts w:ascii="Times New Roman" w:eastAsia="Calibri" w:hAnsi="Times New Roman"/>
          <w:sz w:val="24"/>
          <w:szCs w:val="24"/>
        </w:rPr>
        <w:t>.</w:t>
      </w:r>
    </w:p>
    <w:p w:rsidR="00EF2E54" w:rsidRPr="00F24C21" w:rsidRDefault="00EF2E54" w:rsidP="00EF2E54">
      <w:pPr>
        <w:pStyle w:val="ListParagraph"/>
        <w:numPr>
          <w:ilvl w:val="0"/>
          <w:numId w:val="2"/>
        </w:numPr>
        <w:rPr>
          <w:rFonts w:ascii="Times New Roman" w:eastAsia="Calibri" w:hAnsi="Times New Roman"/>
          <w:sz w:val="24"/>
          <w:szCs w:val="24"/>
        </w:rPr>
      </w:pPr>
      <w:r w:rsidRPr="00F24C21">
        <w:rPr>
          <w:rFonts w:ascii="Times New Roman" w:eastAsia="Calibri" w:hAnsi="Times New Roman"/>
          <w:sz w:val="24"/>
          <w:szCs w:val="24"/>
        </w:rPr>
        <w:t xml:space="preserve">Facilitate cross-cultural awareness training programs to promote understanding and appreciation of different cultural traditions and practices among employees. </w:t>
      </w:r>
    </w:p>
    <w:p w:rsidR="00EF2E54" w:rsidRPr="00F24C21" w:rsidRDefault="00EF2E54" w:rsidP="00EF2E54">
      <w:pPr>
        <w:pStyle w:val="ListParagraph"/>
        <w:numPr>
          <w:ilvl w:val="0"/>
          <w:numId w:val="2"/>
        </w:numPr>
        <w:rPr>
          <w:rFonts w:ascii="Times New Roman" w:eastAsia="Calibri" w:hAnsi="Times New Roman"/>
          <w:sz w:val="24"/>
          <w:szCs w:val="24"/>
        </w:rPr>
      </w:pPr>
      <w:r w:rsidRPr="00F24C21">
        <w:rPr>
          <w:rFonts w:ascii="Times New Roman" w:eastAsia="Calibri" w:hAnsi="Times New Roman"/>
          <w:sz w:val="24"/>
          <w:szCs w:val="24"/>
        </w:rPr>
        <w:t>Provide flexible scheduling options or designated leave days to allow employees to participate in cultural festivals and celebrations without compromising their work commitments.</w:t>
      </w:r>
    </w:p>
    <w:p w:rsidR="00EF2E54" w:rsidRPr="00F24C21" w:rsidRDefault="00EF2E54" w:rsidP="00EF2E54">
      <w:pPr>
        <w:pStyle w:val="ListParagraph"/>
        <w:rPr>
          <w:rFonts w:ascii="Times New Roman" w:eastAsia="Calibri" w:hAnsi="Times New Roman"/>
          <w:sz w:val="24"/>
          <w:szCs w:val="24"/>
        </w:rPr>
      </w:pPr>
      <w:r w:rsidRPr="00F24C21">
        <w:rPr>
          <w:rFonts w:ascii="Times New Roman" w:eastAsia="Calibri" w:hAnsi="Times New Roman"/>
          <w:sz w:val="24"/>
          <w:szCs w:val="24"/>
        </w:rPr>
        <w:t xml:space="preserve"> </w:t>
      </w:r>
    </w:p>
    <w:p w:rsidR="00EF2E54" w:rsidRPr="00F24C21" w:rsidRDefault="00EF2E54" w:rsidP="00EF2E54">
      <w:pPr>
        <w:pStyle w:val="ListParagraph"/>
        <w:numPr>
          <w:ilvl w:val="0"/>
          <w:numId w:val="1"/>
        </w:numPr>
        <w:rPr>
          <w:rFonts w:ascii="Times New Roman" w:eastAsia="Calibri" w:hAnsi="Times New Roman"/>
          <w:sz w:val="24"/>
          <w:szCs w:val="24"/>
        </w:rPr>
      </w:pPr>
      <w:r w:rsidRPr="00F24C21">
        <w:rPr>
          <w:rFonts w:ascii="Times New Roman" w:eastAsia="Calibri" w:hAnsi="Times New Roman"/>
          <w:b/>
          <w:sz w:val="24"/>
          <w:szCs w:val="24"/>
        </w:rPr>
        <w:t xml:space="preserve">Formalized Community-Based Childcare and Parental Leave: </w:t>
      </w:r>
    </w:p>
    <w:p w:rsidR="00EF2E54" w:rsidRPr="00F24C21" w:rsidRDefault="00EF2E54" w:rsidP="00EF2E54">
      <w:pPr>
        <w:pStyle w:val="ListParagraph"/>
        <w:numPr>
          <w:ilvl w:val="0"/>
          <w:numId w:val="3"/>
        </w:numPr>
        <w:rPr>
          <w:rFonts w:ascii="Times New Roman" w:eastAsia="Calibri" w:hAnsi="Times New Roman"/>
          <w:sz w:val="24"/>
          <w:szCs w:val="24"/>
        </w:rPr>
      </w:pPr>
      <w:r w:rsidRPr="00F24C21">
        <w:rPr>
          <w:rFonts w:ascii="Times New Roman" w:eastAsia="Calibri" w:hAnsi="Times New Roman"/>
          <w:sz w:val="24"/>
          <w:szCs w:val="24"/>
        </w:rPr>
        <w:t xml:space="preserve">Establish a legal framework to regulate community-based childcare services with defined roles, responsibilities, and licensing requirements for caregivers and childcare facilities.  </w:t>
      </w:r>
    </w:p>
    <w:p w:rsidR="00EF2E54" w:rsidRPr="00F24C21" w:rsidRDefault="00EF2E54" w:rsidP="00EF2E54">
      <w:pPr>
        <w:pStyle w:val="ListParagraph"/>
        <w:numPr>
          <w:ilvl w:val="0"/>
          <w:numId w:val="3"/>
        </w:numPr>
        <w:rPr>
          <w:rFonts w:ascii="Times New Roman" w:eastAsia="Calibri" w:hAnsi="Times New Roman"/>
          <w:sz w:val="24"/>
          <w:szCs w:val="24"/>
        </w:rPr>
      </w:pPr>
      <w:r w:rsidRPr="00F24C21">
        <w:rPr>
          <w:rFonts w:ascii="Times New Roman" w:eastAsia="Calibri" w:hAnsi="Times New Roman"/>
          <w:sz w:val="24"/>
          <w:szCs w:val="24"/>
        </w:rPr>
        <w:t>Provide government funding and resources to support establishing and operating formalized c</w:t>
      </w:r>
      <w:r w:rsidR="00BA70F4">
        <w:rPr>
          <w:rFonts w:ascii="Times New Roman" w:eastAsia="Calibri" w:hAnsi="Times New Roman"/>
          <w:sz w:val="24"/>
          <w:szCs w:val="24"/>
        </w:rPr>
        <w:t xml:space="preserve">ommunity-based childcare </w:t>
      </w:r>
      <w:r w:rsidR="00362F5B">
        <w:rPr>
          <w:rFonts w:ascii="Times New Roman" w:eastAsia="Calibri" w:hAnsi="Times New Roman"/>
          <w:sz w:val="24"/>
          <w:szCs w:val="24"/>
        </w:rPr>
        <w:t>centers</w:t>
      </w:r>
      <w:bookmarkStart w:id="0" w:name="_GoBack"/>
      <w:bookmarkEnd w:id="0"/>
      <w:r w:rsidRPr="00F24C21">
        <w:rPr>
          <w:rFonts w:ascii="Times New Roman" w:eastAsia="Calibri" w:hAnsi="Times New Roman"/>
          <w:sz w:val="24"/>
          <w:szCs w:val="24"/>
        </w:rPr>
        <w:t>.</w:t>
      </w:r>
    </w:p>
    <w:p w:rsidR="00EF2E54" w:rsidRPr="00F24C21" w:rsidRDefault="00EF2E54" w:rsidP="00EF2E54">
      <w:pPr>
        <w:pStyle w:val="ListParagraph"/>
        <w:numPr>
          <w:ilvl w:val="0"/>
          <w:numId w:val="3"/>
        </w:numPr>
        <w:rPr>
          <w:rFonts w:ascii="Times New Roman" w:eastAsia="Calibri" w:hAnsi="Times New Roman"/>
          <w:sz w:val="24"/>
          <w:szCs w:val="24"/>
        </w:rPr>
      </w:pPr>
      <w:r w:rsidRPr="00F24C21">
        <w:rPr>
          <w:rFonts w:ascii="Times New Roman" w:eastAsia="Calibri" w:hAnsi="Times New Roman"/>
          <w:sz w:val="24"/>
          <w:szCs w:val="24"/>
        </w:rPr>
        <w:lastRenderedPageBreak/>
        <w:t>Implement training programs and certification processes for caregivers and promote ongoing professional development to maintain quality standards and ensure continuous improvement.</w:t>
      </w:r>
    </w:p>
    <w:p w:rsidR="00EF2E54" w:rsidRPr="00F24C21" w:rsidRDefault="00F72EA9" w:rsidP="00EF2E54">
      <w:pPr>
        <w:pStyle w:val="ListParagraph"/>
        <w:numPr>
          <w:ilvl w:val="0"/>
          <w:numId w:val="3"/>
        </w:numPr>
        <w:rPr>
          <w:rFonts w:ascii="Times New Roman" w:eastAsia="Calibri" w:hAnsi="Times New Roman"/>
          <w:sz w:val="24"/>
          <w:szCs w:val="24"/>
        </w:rPr>
      </w:pPr>
      <w:r>
        <w:rPr>
          <w:rFonts w:ascii="Times New Roman" w:eastAsia="Calibri" w:hAnsi="Times New Roman"/>
          <w:sz w:val="24"/>
          <w:szCs w:val="24"/>
        </w:rPr>
        <w:t>To create a supportive and inclusive childcare environment, foster partnerships between parents, caregivers, and community stakeholders</w:t>
      </w:r>
      <w:r w:rsidR="00EF2E54" w:rsidRPr="00F24C21">
        <w:rPr>
          <w:rFonts w:ascii="Times New Roman" w:eastAsia="Calibri" w:hAnsi="Times New Roman"/>
          <w:sz w:val="24"/>
          <w:szCs w:val="24"/>
        </w:rPr>
        <w:t>.</w:t>
      </w:r>
    </w:p>
    <w:p w:rsidR="00EF2E54" w:rsidRPr="00F24C21" w:rsidRDefault="00EF2E54" w:rsidP="00EF2E54">
      <w:pPr>
        <w:pStyle w:val="ListParagraph"/>
        <w:rPr>
          <w:rFonts w:ascii="Times New Roman" w:eastAsia="Calibri" w:hAnsi="Times New Roman"/>
          <w:sz w:val="24"/>
          <w:szCs w:val="24"/>
        </w:rPr>
      </w:pPr>
      <w:r w:rsidRPr="00F24C21">
        <w:rPr>
          <w:rFonts w:ascii="Times New Roman" w:eastAsia="Calibri" w:hAnsi="Times New Roman"/>
          <w:sz w:val="24"/>
          <w:szCs w:val="24"/>
        </w:rPr>
        <w:t xml:space="preserve"> </w:t>
      </w:r>
    </w:p>
    <w:p w:rsidR="00EF2E54" w:rsidRPr="00F24C21" w:rsidRDefault="00EF2E54" w:rsidP="00EF2E54">
      <w:pPr>
        <w:pStyle w:val="ListParagraph"/>
        <w:numPr>
          <w:ilvl w:val="0"/>
          <w:numId w:val="1"/>
        </w:numPr>
        <w:rPr>
          <w:rFonts w:ascii="Times New Roman" w:eastAsia="Calibri" w:hAnsi="Times New Roman"/>
          <w:b/>
          <w:sz w:val="24"/>
          <w:szCs w:val="24"/>
        </w:rPr>
      </w:pPr>
      <w:r w:rsidRPr="00F24C21">
        <w:rPr>
          <w:rFonts w:ascii="Times New Roman" w:eastAsia="Calibri" w:hAnsi="Times New Roman"/>
          <w:b/>
          <w:sz w:val="24"/>
          <w:szCs w:val="24"/>
        </w:rPr>
        <w:t>Flexible Working Arrangements:</w:t>
      </w:r>
    </w:p>
    <w:p w:rsidR="00EF2E54" w:rsidRPr="00F24C21" w:rsidRDefault="00EF2E54" w:rsidP="00EF2E54">
      <w:pPr>
        <w:pStyle w:val="ListParagraph"/>
        <w:numPr>
          <w:ilvl w:val="0"/>
          <w:numId w:val="4"/>
        </w:numPr>
        <w:rPr>
          <w:rFonts w:ascii="Times New Roman" w:eastAsia="Calibri" w:hAnsi="Times New Roman"/>
          <w:sz w:val="24"/>
          <w:szCs w:val="24"/>
        </w:rPr>
      </w:pPr>
      <w:r w:rsidRPr="00F24C21">
        <w:rPr>
          <w:rFonts w:ascii="Times New Roman" w:eastAsia="Calibri" w:hAnsi="Times New Roman"/>
          <w:sz w:val="24"/>
          <w:szCs w:val="24"/>
        </w:rPr>
        <w:t>Enact legislation or regulatory frameworks mandating employers to offer flexible working arrangements, such as telecommuting, flexible hours, and compressed workweeks.</w:t>
      </w:r>
    </w:p>
    <w:p w:rsidR="00EF2E54" w:rsidRPr="00F24C21" w:rsidRDefault="00EF2E54" w:rsidP="00EF2E54">
      <w:pPr>
        <w:pStyle w:val="ListParagraph"/>
        <w:numPr>
          <w:ilvl w:val="0"/>
          <w:numId w:val="4"/>
        </w:numPr>
        <w:rPr>
          <w:rFonts w:ascii="Times New Roman" w:eastAsia="Calibri" w:hAnsi="Times New Roman"/>
          <w:sz w:val="24"/>
          <w:szCs w:val="24"/>
        </w:rPr>
      </w:pPr>
      <w:r w:rsidRPr="00F24C21">
        <w:rPr>
          <w:rFonts w:ascii="Times New Roman" w:eastAsia="Calibri" w:hAnsi="Times New Roman"/>
          <w:sz w:val="24"/>
          <w:szCs w:val="24"/>
        </w:rPr>
        <w:t>Provide incentives, such as tax breaks or subsidies, to companies that implement flexible work policies.</w:t>
      </w:r>
    </w:p>
    <w:p w:rsidR="00EF2E54" w:rsidRDefault="00EF2E54" w:rsidP="00F72EA9">
      <w:pPr>
        <w:pStyle w:val="ListParagraph"/>
        <w:numPr>
          <w:ilvl w:val="0"/>
          <w:numId w:val="4"/>
        </w:numPr>
        <w:rPr>
          <w:rFonts w:ascii="Times New Roman" w:eastAsia="Calibri" w:hAnsi="Times New Roman"/>
          <w:sz w:val="24"/>
          <w:szCs w:val="24"/>
        </w:rPr>
      </w:pPr>
      <w:r w:rsidRPr="00F24C21">
        <w:rPr>
          <w:rFonts w:ascii="Times New Roman" w:eastAsia="Calibri" w:hAnsi="Times New Roman"/>
          <w:sz w:val="24"/>
          <w:szCs w:val="24"/>
        </w:rPr>
        <w:t>Establish guidelines for monitoring and evaluating the effectiveness of flexible working arrangements to ensure they meet the needs of both employees and employers.</w:t>
      </w:r>
    </w:p>
    <w:p w:rsidR="00F72EA9" w:rsidRPr="00F72EA9" w:rsidRDefault="00F72EA9" w:rsidP="00F72EA9">
      <w:pPr>
        <w:pStyle w:val="ListParagraph"/>
        <w:rPr>
          <w:rFonts w:ascii="Times New Roman" w:eastAsia="Calibri" w:hAnsi="Times New Roman"/>
          <w:sz w:val="24"/>
          <w:szCs w:val="24"/>
        </w:rPr>
      </w:pPr>
    </w:p>
    <w:p w:rsidR="00EF2E54" w:rsidRPr="00F24C21" w:rsidRDefault="00EF2E54" w:rsidP="00EF2E54">
      <w:pPr>
        <w:pStyle w:val="ListParagraph"/>
        <w:numPr>
          <w:ilvl w:val="0"/>
          <w:numId w:val="1"/>
        </w:numPr>
        <w:rPr>
          <w:rFonts w:ascii="Times New Roman" w:eastAsia="Calibri" w:hAnsi="Times New Roman"/>
          <w:b/>
          <w:sz w:val="24"/>
          <w:szCs w:val="24"/>
        </w:rPr>
      </w:pPr>
      <w:r w:rsidRPr="00F24C21">
        <w:rPr>
          <w:rFonts w:ascii="Times New Roman" w:eastAsia="Calibri" w:hAnsi="Times New Roman"/>
          <w:b/>
          <w:sz w:val="24"/>
          <w:szCs w:val="24"/>
        </w:rPr>
        <w:t>Elder and Dependent Care Support:</w:t>
      </w:r>
    </w:p>
    <w:p w:rsidR="00EF2E54" w:rsidRPr="00F24C21" w:rsidRDefault="00EF2E54" w:rsidP="00EF2E54">
      <w:pPr>
        <w:pStyle w:val="ListParagraph"/>
        <w:numPr>
          <w:ilvl w:val="0"/>
          <w:numId w:val="5"/>
        </w:numPr>
        <w:rPr>
          <w:rFonts w:ascii="Times New Roman" w:eastAsia="Calibri" w:hAnsi="Times New Roman"/>
          <w:sz w:val="24"/>
          <w:szCs w:val="24"/>
        </w:rPr>
      </w:pPr>
      <w:r w:rsidRPr="00F24C21">
        <w:rPr>
          <w:rFonts w:ascii="Times New Roman" w:eastAsia="Calibri" w:hAnsi="Times New Roman"/>
          <w:sz w:val="24"/>
          <w:szCs w:val="24"/>
        </w:rPr>
        <w:t>Develop policies that recognize and support employees with eldercare responsibilities, including flexible work arrangements and paid leave options.</w:t>
      </w:r>
    </w:p>
    <w:p w:rsidR="00EF2E54" w:rsidRPr="00F24C21" w:rsidRDefault="00EF2E54" w:rsidP="00EF2E54">
      <w:pPr>
        <w:pStyle w:val="ListParagraph"/>
        <w:numPr>
          <w:ilvl w:val="0"/>
          <w:numId w:val="5"/>
        </w:numPr>
        <w:rPr>
          <w:rFonts w:ascii="Times New Roman" w:eastAsia="Calibri" w:hAnsi="Times New Roman"/>
          <w:sz w:val="24"/>
          <w:szCs w:val="24"/>
        </w:rPr>
      </w:pPr>
      <w:r w:rsidRPr="00F24C21">
        <w:rPr>
          <w:rFonts w:ascii="Times New Roman" w:eastAsia="Calibri" w:hAnsi="Times New Roman"/>
          <w:sz w:val="24"/>
          <w:szCs w:val="24"/>
        </w:rPr>
        <w:t>Establish partnerships with community organizations and NGOs to provide resources and support services for caregivers of elderly family members.</w:t>
      </w:r>
    </w:p>
    <w:p w:rsidR="00EF2E54" w:rsidRPr="00F24C21" w:rsidRDefault="00EF2E54" w:rsidP="00EF2E54">
      <w:pPr>
        <w:pStyle w:val="ListParagraph"/>
        <w:numPr>
          <w:ilvl w:val="0"/>
          <w:numId w:val="5"/>
        </w:numPr>
        <w:rPr>
          <w:rFonts w:ascii="Times New Roman" w:eastAsia="Calibri" w:hAnsi="Times New Roman"/>
          <w:sz w:val="24"/>
          <w:szCs w:val="24"/>
        </w:rPr>
      </w:pPr>
      <w:r w:rsidRPr="00F24C21">
        <w:rPr>
          <w:rFonts w:ascii="Times New Roman" w:eastAsia="Calibri" w:hAnsi="Times New Roman"/>
          <w:sz w:val="24"/>
          <w:szCs w:val="24"/>
        </w:rPr>
        <w:t>Offer training programs and workshops to educate employers and employees on the importance of elder and dependent care and how to navigate caregiving responsibilities while maintaining productivity at work.</w:t>
      </w:r>
    </w:p>
    <w:p w:rsidR="00EF2E54" w:rsidRPr="00F24C21" w:rsidRDefault="00EF2E54" w:rsidP="00EF2E54">
      <w:pPr>
        <w:pStyle w:val="ListParagraph"/>
        <w:rPr>
          <w:rFonts w:ascii="Times New Roman" w:eastAsia="Calibri" w:hAnsi="Times New Roman"/>
          <w:sz w:val="24"/>
          <w:szCs w:val="24"/>
        </w:rPr>
      </w:pPr>
      <w:r w:rsidRPr="00F24C21">
        <w:rPr>
          <w:rFonts w:ascii="Times New Roman" w:eastAsia="Calibri" w:hAnsi="Times New Roman"/>
          <w:sz w:val="24"/>
          <w:szCs w:val="24"/>
        </w:rPr>
        <w:t xml:space="preserve"> </w:t>
      </w:r>
    </w:p>
    <w:p w:rsidR="00EF2E54" w:rsidRPr="00F24C21" w:rsidRDefault="00EF2E54" w:rsidP="00EF2E54">
      <w:pPr>
        <w:pStyle w:val="ListParagraph"/>
        <w:numPr>
          <w:ilvl w:val="0"/>
          <w:numId w:val="1"/>
        </w:numPr>
        <w:rPr>
          <w:rFonts w:ascii="Times New Roman" w:eastAsia="Calibri" w:hAnsi="Times New Roman"/>
          <w:b/>
          <w:sz w:val="24"/>
          <w:szCs w:val="24"/>
        </w:rPr>
      </w:pPr>
      <w:r w:rsidRPr="00F24C21">
        <w:rPr>
          <w:rFonts w:ascii="Times New Roman" w:eastAsia="Calibri" w:hAnsi="Times New Roman"/>
          <w:b/>
          <w:sz w:val="24"/>
          <w:szCs w:val="24"/>
        </w:rPr>
        <w:t>Gender Equality and Work-Life Balance:</w:t>
      </w:r>
    </w:p>
    <w:p w:rsidR="00EF2E54" w:rsidRPr="00F24C21" w:rsidRDefault="00EF2E54" w:rsidP="00EF2E54">
      <w:pPr>
        <w:pStyle w:val="ListParagraph"/>
        <w:numPr>
          <w:ilvl w:val="0"/>
          <w:numId w:val="6"/>
        </w:numPr>
        <w:rPr>
          <w:rFonts w:ascii="Times New Roman" w:eastAsia="Calibri" w:hAnsi="Times New Roman"/>
          <w:sz w:val="24"/>
          <w:szCs w:val="24"/>
        </w:rPr>
      </w:pPr>
      <w:r w:rsidRPr="00F24C21">
        <w:rPr>
          <w:rFonts w:ascii="Times New Roman" w:eastAsia="Calibri" w:hAnsi="Times New Roman"/>
          <w:sz w:val="24"/>
          <w:szCs w:val="24"/>
        </w:rPr>
        <w:t>Implement measures to promote gender equality in the workplace, including equal pay for equal work, gender-sensitive recruitment and promotion practices, and measures to combat workplace discrimination and harassment.</w:t>
      </w:r>
    </w:p>
    <w:p w:rsidR="00EF2E54" w:rsidRPr="00F24C21" w:rsidRDefault="00EF2E54" w:rsidP="00EF2E54">
      <w:pPr>
        <w:pStyle w:val="ListParagraph"/>
        <w:numPr>
          <w:ilvl w:val="0"/>
          <w:numId w:val="6"/>
        </w:numPr>
        <w:rPr>
          <w:rFonts w:ascii="Times New Roman" w:eastAsia="Calibri" w:hAnsi="Times New Roman"/>
          <w:sz w:val="24"/>
          <w:szCs w:val="24"/>
        </w:rPr>
      </w:pPr>
      <w:r w:rsidRPr="00F24C21">
        <w:rPr>
          <w:rFonts w:ascii="Times New Roman" w:eastAsia="Calibri" w:hAnsi="Times New Roman"/>
          <w:sz w:val="24"/>
          <w:szCs w:val="24"/>
        </w:rPr>
        <w:t>Provide targeted support and resources for women, such as mentorship programs, leadership development initiatives, and childcare subsidies, to help them balance work and family responsibilities.</w:t>
      </w:r>
    </w:p>
    <w:p w:rsidR="00EF2E54" w:rsidRPr="00F24C21" w:rsidRDefault="00EF2E54" w:rsidP="00EF2E54">
      <w:pPr>
        <w:pStyle w:val="ListParagraph"/>
        <w:numPr>
          <w:ilvl w:val="0"/>
          <w:numId w:val="6"/>
        </w:numPr>
        <w:rPr>
          <w:rFonts w:ascii="Times New Roman" w:eastAsia="Calibri" w:hAnsi="Times New Roman"/>
          <w:sz w:val="24"/>
          <w:szCs w:val="24"/>
        </w:rPr>
      </w:pPr>
      <w:r w:rsidRPr="00F24C21">
        <w:rPr>
          <w:rFonts w:ascii="Times New Roman" w:eastAsia="Calibri" w:hAnsi="Times New Roman"/>
          <w:sz w:val="24"/>
          <w:szCs w:val="24"/>
        </w:rPr>
        <w:t>Conduct awareness campaigns to challenge traditional gender norms and stereotypes that contribute to the unequal distribution of caregiving responsibilities between men and women.</w:t>
      </w:r>
    </w:p>
    <w:p w:rsidR="00DC2FD4" w:rsidRDefault="00EF2E54" w:rsidP="00EF2E54">
      <w:pPr>
        <w:rPr>
          <w:rFonts w:ascii="Times New Roman" w:eastAsia="Calibri" w:hAnsi="Times New Roman"/>
          <w:color w:val="0D0D0D"/>
          <w:sz w:val="24"/>
          <w:szCs w:val="24"/>
          <w:shd w:val="clear" w:color="auto" w:fill="FFFFFF"/>
        </w:rPr>
      </w:pPr>
      <w:r w:rsidRPr="00F24C21">
        <w:rPr>
          <w:rFonts w:ascii="Times New Roman" w:eastAsia="Calibri" w:hAnsi="Times New Roman"/>
          <w:color w:val="0D0D0D"/>
          <w:sz w:val="24"/>
          <w:szCs w:val="24"/>
          <w:shd w:val="clear" w:color="auto" w:fill="FFFFFF"/>
        </w:rPr>
        <w:t>Implementing these policies requires collaboration between the government, traditional rulers, employers, civil society organizations, and other stakeholders. By implementing these policy measures, African countries can create more inclusive and sustainable workplaces that support the well-being of employees and their families, while also driving economic growth and development in an equitable society.</w:t>
      </w:r>
    </w:p>
    <w:p w:rsidR="00DC2FD4" w:rsidRDefault="00DC2FD4" w:rsidP="00EF2E54">
      <w:pPr>
        <w:rPr>
          <w:rFonts w:ascii="Times New Roman" w:eastAsia="Calibri" w:hAnsi="Times New Roman"/>
          <w:color w:val="0D0D0D"/>
          <w:sz w:val="24"/>
          <w:szCs w:val="24"/>
          <w:shd w:val="clear" w:color="auto" w:fill="FFFFFF"/>
        </w:rPr>
      </w:pPr>
    </w:p>
    <w:p w:rsidR="00F72EA9" w:rsidRDefault="00F72EA9" w:rsidP="00EF2E54">
      <w:pPr>
        <w:rPr>
          <w:rFonts w:ascii="Times New Roman" w:eastAsia="Calibri" w:hAnsi="Times New Roman"/>
          <w:b/>
          <w:color w:val="0D0D0D"/>
          <w:sz w:val="24"/>
          <w:szCs w:val="24"/>
          <w:shd w:val="clear" w:color="auto" w:fill="FFFFFF"/>
        </w:rPr>
      </w:pPr>
    </w:p>
    <w:p w:rsidR="00F72EA9" w:rsidRDefault="00F72EA9" w:rsidP="00EF2E54">
      <w:pPr>
        <w:rPr>
          <w:rFonts w:ascii="Times New Roman" w:eastAsia="Calibri" w:hAnsi="Times New Roman"/>
          <w:b/>
          <w:color w:val="0D0D0D"/>
          <w:sz w:val="24"/>
          <w:szCs w:val="24"/>
          <w:shd w:val="clear" w:color="auto" w:fill="FFFFFF"/>
        </w:rPr>
      </w:pPr>
    </w:p>
    <w:p w:rsidR="00F72EA9" w:rsidRDefault="00F72EA9" w:rsidP="00EF2E54">
      <w:pPr>
        <w:rPr>
          <w:rFonts w:ascii="Times New Roman" w:eastAsia="Calibri" w:hAnsi="Times New Roman"/>
          <w:b/>
          <w:color w:val="0D0D0D"/>
          <w:sz w:val="24"/>
          <w:szCs w:val="24"/>
          <w:shd w:val="clear" w:color="auto" w:fill="FFFFFF"/>
        </w:rPr>
      </w:pPr>
    </w:p>
    <w:p w:rsidR="00761771" w:rsidRPr="005804A1" w:rsidRDefault="00F24C21" w:rsidP="00EF2E54">
      <w:pPr>
        <w:rPr>
          <w:rFonts w:ascii="Times New Roman" w:eastAsia="Calibri" w:hAnsi="Times New Roman"/>
          <w:b/>
          <w:sz w:val="24"/>
          <w:szCs w:val="24"/>
        </w:rPr>
      </w:pPr>
      <w:r w:rsidRPr="005804A1">
        <w:rPr>
          <w:rFonts w:ascii="Times New Roman" w:eastAsia="Calibri" w:hAnsi="Times New Roman"/>
          <w:b/>
          <w:color w:val="0D0D0D"/>
          <w:sz w:val="24"/>
          <w:szCs w:val="24"/>
          <w:shd w:val="clear" w:color="auto" w:fill="FFFFFF"/>
        </w:rPr>
        <w:t>References</w:t>
      </w:r>
    </w:p>
    <w:p w:rsidR="000026F9" w:rsidRDefault="002149DE">
      <w:pPr>
        <w:rPr>
          <w:rFonts w:ascii="Times New Roman" w:hAnsi="Times New Roman"/>
          <w:color w:val="222222"/>
          <w:sz w:val="24"/>
          <w:szCs w:val="24"/>
          <w:shd w:val="clear" w:color="auto" w:fill="FFFFFF"/>
        </w:rPr>
      </w:pPr>
      <w:proofErr w:type="spellStart"/>
      <w:r w:rsidRPr="002149DE">
        <w:rPr>
          <w:rFonts w:ascii="Times New Roman" w:hAnsi="Times New Roman"/>
          <w:color w:val="222222"/>
          <w:sz w:val="24"/>
          <w:szCs w:val="24"/>
          <w:shd w:val="clear" w:color="auto" w:fill="FFFFFF"/>
        </w:rPr>
        <w:t>Bett</w:t>
      </w:r>
      <w:proofErr w:type="spellEnd"/>
      <w:r w:rsidRPr="002149DE">
        <w:rPr>
          <w:rFonts w:ascii="Times New Roman" w:hAnsi="Times New Roman"/>
          <w:color w:val="222222"/>
          <w:sz w:val="24"/>
          <w:szCs w:val="24"/>
          <w:shd w:val="clear" w:color="auto" w:fill="FFFFFF"/>
        </w:rPr>
        <w:t xml:space="preserve">, F., Sang, H., &amp; </w:t>
      </w:r>
      <w:proofErr w:type="spellStart"/>
      <w:r w:rsidRPr="002149DE">
        <w:rPr>
          <w:rFonts w:ascii="Times New Roman" w:hAnsi="Times New Roman"/>
          <w:color w:val="222222"/>
          <w:sz w:val="24"/>
          <w:szCs w:val="24"/>
          <w:shd w:val="clear" w:color="auto" w:fill="FFFFFF"/>
        </w:rPr>
        <w:t>Chepkwony</w:t>
      </w:r>
      <w:proofErr w:type="spellEnd"/>
      <w:r w:rsidRPr="002149DE">
        <w:rPr>
          <w:rFonts w:ascii="Times New Roman" w:hAnsi="Times New Roman"/>
          <w:color w:val="222222"/>
          <w:sz w:val="24"/>
          <w:szCs w:val="24"/>
          <w:shd w:val="clear" w:color="auto" w:fill="FFFFFF"/>
        </w:rPr>
        <w:t xml:space="preserve">, P. (2022). Flexible Work Arrangement and Employee Performance: An Evidence of Work-life Balance Practices. </w:t>
      </w:r>
      <w:r w:rsidRPr="000026F9">
        <w:rPr>
          <w:rFonts w:ascii="Times New Roman" w:hAnsi="Times New Roman"/>
          <w:i/>
          <w:color w:val="222222"/>
          <w:sz w:val="24"/>
          <w:szCs w:val="24"/>
          <w:shd w:val="clear" w:color="auto" w:fill="FFFFFF"/>
        </w:rPr>
        <w:t>East African Journal of Business and Economics,</w:t>
      </w:r>
      <w:r w:rsidRPr="002149DE">
        <w:rPr>
          <w:rFonts w:ascii="Times New Roman" w:hAnsi="Times New Roman"/>
          <w:color w:val="222222"/>
          <w:sz w:val="24"/>
          <w:szCs w:val="24"/>
          <w:shd w:val="clear" w:color="auto" w:fill="FFFFFF"/>
        </w:rPr>
        <w:t xml:space="preserve"> 5(1), 80-89</w:t>
      </w:r>
      <w:r w:rsidR="000026F9">
        <w:rPr>
          <w:rFonts w:ascii="Times New Roman" w:hAnsi="Times New Roman"/>
          <w:color w:val="222222"/>
          <w:sz w:val="24"/>
          <w:szCs w:val="24"/>
          <w:shd w:val="clear" w:color="auto" w:fill="FFFFFF"/>
        </w:rPr>
        <w:t>.</w:t>
      </w:r>
    </w:p>
    <w:p w:rsidR="002149DE" w:rsidRDefault="00761771">
      <w:pPr>
        <w:rPr>
          <w:rFonts w:ascii="Times New Roman" w:hAnsi="Times New Roman"/>
          <w:color w:val="222222"/>
          <w:sz w:val="24"/>
          <w:szCs w:val="24"/>
          <w:shd w:val="clear" w:color="auto" w:fill="FFFFFF"/>
        </w:rPr>
      </w:pPr>
      <w:proofErr w:type="spellStart"/>
      <w:r w:rsidRPr="00F24C21">
        <w:rPr>
          <w:rFonts w:ascii="Times New Roman" w:hAnsi="Times New Roman"/>
          <w:color w:val="222222"/>
          <w:sz w:val="24"/>
          <w:szCs w:val="24"/>
          <w:shd w:val="clear" w:color="auto" w:fill="FFFFFF"/>
        </w:rPr>
        <w:t>Brough</w:t>
      </w:r>
      <w:proofErr w:type="spellEnd"/>
      <w:r w:rsidRPr="00F24C21">
        <w:rPr>
          <w:rFonts w:ascii="Times New Roman" w:hAnsi="Times New Roman"/>
          <w:color w:val="222222"/>
          <w:sz w:val="24"/>
          <w:szCs w:val="24"/>
          <w:shd w:val="clear" w:color="auto" w:fill="FFFFFF"/>
        </w:rPr>
        <w:t xml:space="preserve">, P., </w:t>
      </w:r>
      <w:proofErr w:type="spellStart"/>
      <w:r w:rsidRPr="00F24C21">
        <w:rPr>
          <w:rFonts w:ascii="Times New Roman" w:hAnsi="Times New Roman"/>
          <w:color w:val="222222"/>
          <w:sz w:val="24"/>
          <w:szCs w:val="24"/>
          <w:shd w:val="clear" w:color="auto" w:fill="FFFFFF"/>
        </w:rPr>
        <w:t>Timms</w:t>
      </w:r>
      <w:proofErr w:type="spellEnd"/>
      <w:r w:rsidRPr="00F24C21">
        <w:rPr>
          <w:rFonts w:ascii="Times New Roman" w:hAnsi="Times New Roman"/>
          <w:color w:val="222222"/>
          <w:sz w:val="24"/>
          <w:szCs w:val="24"/>
          <w:shd w:val="clear" w:color="auto" w:fill="FFFFFF"/>
        </w:rPr>
        <w:t xml:space="preserve">, C., Chan, X.W., Hawkes, A., Rasmussen, L. (2020). Work–Life Balance: Definitions, Causes, </w:t>
      </w:r>
      <w:r w:rsidR="000026F9">
        <w:rPr>
          <w:rFonts w:ascii="Times New Roman" w:hAnsi="Times New Roman"/>
          <w:color w:val="222222"/>
          <w:sz w:val="24"/>
          <w:szCs w:val="24"/>
          <w:shd w:val="clear" w:color="auto" w:fill="FFFFFF"/>
        </w:rPr>
        <w:t xml:space="preserve">and Consequences. </w:t>
      </w:r>
      <w:r w:rsidR="000026F9" w:rsidRPr="000026F9">
        <w:rPr>
          <w:rFonts w:ascii="Times New Roman" w:hAnsi="Times New Roman"/>
          <w:i/>
          <w:color w:val="222222"/>
          <w:sz w:val="24"/>
          <w:szCs w:val="24"/>
          <w:shd w:val="clear" w:color="auto" w:fill="FFFFFF"/>
        </w:rPr>
        <w:t>Journal of Social E</w:t>
      </w:r>
      <w:r w:rsidRPr="000026F9">
        <w:rPr>
          <w:rFonts w:ascii="Times New Roman" w:hAnsi="Times New Roman"/>
          <w:i/>
          <w:color w:val="222222"/>
          <w:sz w:val="24"/>
          <w:szCs w:val="24"/>
          <w:shd w:val="clear" w:color="auto" w:fill="FFFFFF"/>
        </w:rPr>
        <w:t>conomic</w:t>
      </w:r>
      <w:r w:rsidR="000026F9" w:rsidRPr="000026F9">
        <w:rPr>
          <w:rFonts w:ascii="Times New Roman" w:hAnsi="Times New Roman"/>
          <w:i/>
          <w:color w:val="222222"/>
          <w:sz w:val="24"/>
          <w:szCs w:val="24"/>
          <w:shd w:val="clear" w:color="auto" w:fill="FFFFFF"/>
        </w:rPr>
        <w:t>s</w:t>
      </w:r>
      <w:r w:rsidR="000026F9">
        <w:rPr>
          <w:rFonts w:ascii="Times New Roman" w:hAnsi="Times New Roman"/>
          <w:color w:val="222222"/>
          <w:sz w:val="24"/>
          <w:szCs w:val="24"/>
          <w:shd w:val="clear" w:color="auto" w:fill="FFFFFF"/>
        </w:rPr>
        <w:t>, 66, 32-35</w:t>
      </w:r>
      <w:r w:rsidRPr="00F24C21">
        <w:rPr>
          <w:rFonts w:ascii="Times New Roman" w:hAnsi="Times New Roman"/>
          <w:color w:val="222222"/>
          <w:sz w:val="24"/>
          <w:szCs w:val="24"/>
          <w:shd w:val="clear" w:color="auto" w:fill="FFFFFF"/>
        </w:rPr>
        <w:t>.</w:t>
      </w:r>
    </w:p>
    <w:p w:rsidR="000026F9" w:rsidRDefault="00DC2FD4">
      <w:pPr>
        <w:rPr>
          <w:rFonts w:ascii="Times New Roman" w:hAnsi="Times New Roman"/>
          <w:color w:val="222222"/>
          <w:sz w:val="24"/>
          <w:szCs w:val="24"/>
          <w:shd w:val="clear" w:color="auto" w:fill="FFFFFF"/>
        </w:rPr>
      </w:pPr>
      <w:proofErr w:type="spellStart"/>
      <w:r w:rsidRPr="00DC2FD4">
        <w:rPr>
          <w:rFonts w:ascii="Times New Roman" w:hAnsi="Times New Roman"/>
          <w:color w:val="222222"/>
          <w:sz w:val="24"/>
          <w:szCs w:val="24"/>
          <w:shd w:val="clear" w:color="auto" w:fill="FFFFFF"/>
        </w:rPr>
        <w:t>Jegathesan</w:t>
      </w:r>
      <w:proofErr w:type="spellEnd"/>
      <w:r w:rsidRPr="00DC2FD4">
        <w:rPr>
          <w:rFonts w:ascii="Times New Roman" w:hAnsi="Times New Roman"/>
          <w:color w:val="222222"/>
          <w:sz w:val="24"/>
          <w:szCs w:val="24"/>
          <w:shd w:val="clear" w:color="auto" w:fill="FFFFFF"/>
        </w:rPr>
        <w:t xml:space="preserve"> T, </w:t>
      </w:r>
      <w:proofErr w:type="spellStart"/>
      <w:r w:rsidRPr="00DC2FD4">
        <w:rPr>
          <w:rFonts w:ascii="Times New Roman" w:hAnsi="Times New Roman"/>
          <w:color w:val="222222"/>
          <w:sz w:val="24"/>
          <w:szCs w:val="24"/>
          <w:shd w:val="clear" w:color="auto" w:fill="FFFFFF"/>
        </w:rPr>
        <w:t>Yousafzai</w:t>
      </w:r>
      <w:proofErr w:type="spellEnd"/>
      <w:r w:rsidRPr="00DC2FD4">
        <w:rPr>
          <w:rFonts w:ascii="Times New Roman" w:hAnsi="Times New Roman"/>
          <w:color w:val="222222"/>
          <w:sz w:val="24"/>
          <w:szCs w:val="24"/>
          <w:shd w:val="clear" w:color="auto" w:fill="FFFFFF"/>
        </w:rPr>
        <w:t xml:space="preserve"> A, Mantel M, </w:t>
      </w:r>
      <w:proofErr w:type="spellStart"/>
      <w:r w:rsidRPr="00DC2FD4">
        <w:rPr>
          <w:rFonts w:ascii="Times New Roman" w:hAnsi="Times New Roman"/>
          <w:color w:val="222222"/>
          <w:sz w:val="24"/>
          <w:szCs w:val="24"/>
          <w:shd w:val="clear" w:color="auto" w:fill="FFFFFF"/>
        </w:rPr>
        <w:t>Sereni</w:t>
      </w:r>
      <w:proofErr w:type="spellEnd"/>
      <w:r w:rsidRPr="00DC2FD4">
        <w:rPr>
          <w:rFonts w:ascii="Times New Roman" w:hAnsi="Times New Roman"/>
          <w:color w:val="222222"/>
          <w:sz w:val="24"/>
          <w:szCs w:val="24"/>
          <w:shd w:val="clear" w:color="auto" w:fill="FFFFFF"/>
        </w:rPr>
        <w:t xml:space="preserve"> V, Armstrong RW and </w:t>
      </w:r>
      <w:proofErr w:type="spellStart"/>
      <w:r w:rsidRPr="00DC2FD4">
        <w:rPr>
          <w:rFonts w:ascii="Times New Roman" w:hAnsi="Times New Roman"/>
          <w:color w:val="222222"/>
          <w:sz w:val="24"/>
          <w:szCs w:val="24"/>
          <w:shd w:val="clear" w:color="auto" w:fill="FFFFFF"/>
        </w:rPr>
        <w:t>Minhas</w:t>
      </w:r>
      <w:proofErr w:type="spellEnd"/>
      <w:r w:rsidRPr="00DC2FD4">
        <w:rPr>
          <w:rFonts w:ascii="Times New Roman" w:hAnsi="Times New Roman"/>
          <w:color w:val="222222"/>
          <w:sz w:val="24"/>
          <w:szCs w:val="24"/>
          <w:shd w:val="clear" w:color="auto" w:fill="FFFFFF"/>
        </w:rPr>
        <w:t xml:space="preserve"> RS (2023) Informal settlements and the care of children 0–3 ye</w:t>
      </w:r>
      <w:r>
        <w:rPr>
          <w:rFonts w:ascii="Times New Roman" w:hAnsi="Times New Roman"/>
          <w:color w:val="222222"/>
          <w:sz w:val="24"/>
          <w:szCs w:val="24"/>
          <w:shd w:val="clear" w:color="auto" w:fill="FFFFFF"/>
        </w:rPr>
        <w:t>ars of age: a qualitative study</w:t>
      </w:r>
      <w:r w:rsidRPr="00DC2FD4">
        <w:rPr>
          <w:rFonts w:ascii="Times New Roman" w:hAnsi="Times New Roman"/>
          <w:color w:val="222222"/>
          <w:sz w:val="24"/>
          <w:szCs w:val="24"/>
          <w:shd w:val="clear" w:color="auto" w:fill="FFFFFF"/>
        </w:rPr>
        <w:t xml:space="preserve">. </w:t>
      </w:r>
      <w:r w:rsidR="000026F9" w:rsidRPr="000026F9">
        <w:rPr>
          <w:rFonts w:ascii="Times New Roman" w:hAnsi="Times New Roman"/>
          <w:i/>
          <w:color w:val="222222"/>
          <w:sz w:val="24"/>
          <w:szCs w:val="24"/>
          <w:shd w:val="clear" w:color="auto" w:fill="FFFFFF"/>
        </w:rPr>
        <w:t>Journal of public health</w:t>
      </w:r>
      <w:r w:rsidR="000026F9">
        <w:rPr>
          <w:rFonts w:ascii="Times New Roman" w:hAnsi="Times New Roman"/>
          <w:color w:val="222222"/>
          <w:sz w:val="24"/>
          <w:szCs w:val="24"/>
          <w:shd w:val="clear" w:color="auto" w:fill="FFFFFF"/>
        </w:rPr>
        <w:t>, 7, 43-45.</w:t>
      </w:r>
    </w:p>
    <w:p w:rsidR="000026F9" w:rsidRPr="000026F9" w:rsidRDefault="002149DE">
      <w:pPr>
        <w:rPr>
          <w:rFonts w:ascii="Arial" w:hAnsi="Arial"/>
        </w:rPr>
      </w:pPr>
      <w:proofErr w:type="spellStart"/>
      <w:r w:rsidRPr="002149DE">
        <w:rPr>
          <w:rFonts w:ascii="Times New Roman" w:hAnsi="Times New Roman"/>
          <w:color w:val="222222"/>
          <w:sz w:val="24"/>
          <w:szCs w:val="24"/>
          <w:shd w:val="clear" w:color="auto" w:fill="FFFFFF"/>
        </w:rPr>
        <w:t>Kagher</w:t>
      </w:r>
      <w:proofErr w:type="spellEnd"/>
      <w:r w:rsidRPr="002149DE">
        <w:rPr>
          <w:rFonts w:ascii="Times New Roman" w:hAnsi="Times New Roman"/>
          <w:color w:val="222222"/>
          <w:sz w:val="24"/>
          <w:szCs w:val="24"/>
          <w:shd w:val="clear" w:color="auto" w:fill="FFFFFF"/>
        </w:rPr>
        <w:t xml:space="preserve">, </w:t>
      </w:r>
      <w:proofErr w:type="spellStart"/>
      <w:r w:rsidRPr="002149DE">
        <w:rPr>
          <w:rFonts w:ascii="Times New Roman" w:hAnsi="Times New Roman"/>
          <w:color w:val="222222"/>
          <w:sz w:val="24"/>
          <w:szCs w:val="24"/>
          <w:shd w:val="clear" w:color="auto" w:fill="FFFFFF"/>
        </w:rPr>
        <w:t>Loliya</w:t>
      </w:r>
      <w:proofErr w:type="spellEnd"/>
      <w:r w:rsidRPr="002149DE">
        <w:rPr>
          <w:rFonts w:ascii="Times New Roman" w:hAnsi="Times New Roman"/>
          <w:color w:val="222222"/>
          <w:sz w:val="24"/>
          <w:szCs w:val="24"/>
          <w:shd w:val="clear" w:color="auto" w:fill="FFFFFF"/>
        </w:rPr>
        <w:t xml:space="preserve"> &amp; </w:t>
      </w:r>
      <w:proofErr w:type="spellStart"/>
      <w:r w:rsidRPr="002149DE">
        <w:rPr>
          <w:rFonts w:ascii="Times New Roman" w:hAnsi="Times New Roman"/>
          <w:color w:val="222222"/>
          <w:sz w:val="24"/>
          <w:szCs w:val="24"/>
          <w:shd w:val="clear" w:color="auto" w:fill="FFFFFF"/>
        </w:rPr>
        <w:t>Chinwah</w:t>
      </w:r>
      <w:proofErr w:type="spellEnd"/>
      <w:r w:rsidRPr="002149DE">
        <w:rPr>
          <w:rFonts w:ascii="Times New Roman" w:hAnsi="Times New Roman"/>
          <w:color w:val="222222"/>
          <w:sz w:val="24"/>
          <w:szCs w:val="24"/>
          <w:shd w:val="clear" w:color="auto" w:fill="FFFFFF"/>
        </w:rPr>
        <w:t xml:space="preserve">, </w:t>
      </w:r>
      <w:proofErr w:type="spellStart"/>
      <w:r w:rsidRPr="002149DE">
        <w:rPr>
          <w:rFonts w:ascii="Times New Roman" w:hAnsi="Times New Roman"/>
          <w:color w:val="222222"/>
          <w:sz w:val="24"/>
          <w:szCs w:val="24"/>
          <w:shd w:val="clear" w:color="auto" w:fill="FFFFFF"/>
        </w:rPr>
        <w:t>Kaine</w:t>
      </w:r>
      <w:proofErr w:type="spellEnd"/>
      <w:r w:rsidRPr="002149DE">
        <w:rPr>
          <w:rFonts w:ascii="Times New Roman" w:hAnsi="Times New Roman"/>
          <w:color w:val="222222"/>
          <w:sz w:val="24"/>
          <w:szCs w:val="24"/>
          <w:shd w:val="clear" w:color="auto" w:fill="FFFFFF"/>
        </w:rPr>
        <w:t>. (2023). Understanding the Concept and P</w:t>
      </w:r>
      <w:r w:rsidR="000026F9">
        <w:rPr>
          <w:rFonts w:ascii="Times New Roman" w:hAnsi="Times New Roman"/>
          <w:color w:val="222222"/>
          <w:sz w:val="24"/>
          <w:szCs w:val="24"/>
          <w:shd w:val="clear" w:color="auto" w:fill="FFFFFF"/>
        </w:rPr>
        <w:t xml:space="preserve">ractice of Work-Life Balance: </w:t>
      </w:r>
      <w:r w:rsidRPr="002149DE">
        <w:rPr>
          <w:rFonts w:ascii="Times New Roman" w:hAnsi="Times New Roman"/>
          <w:color w:val="222222"/>
          <w:sz w:val="24"/>
          <w:szCs w:val="24"/>
          <w:shd w:val="clear" w:color="auto" w:fill="FFFFFF"/>
        </w:rPr>
        <w:t>Case of Nig</w:t>
      </w:r>
      <w:r w:rsidR="000026F9">
        <w:rPr>
          <w:rFonts w:ascii="Times New Roman" w:hAnsi="Times New Roman"/>
          <w:color w:val="222222"/>
          <w:sz w:val="24"/>
          <w:szCs w:val="24"/>
          <w:shd w:val="clear" w:color="auto" w:fill="FFFFFF"/>
        </w:rPr>
        <w:t xml:space="preserve">erian Entrepreneurial Women. </w:t>
      </w:r>
      <w:r w:rsidR="000026F9">
        <w:rPr>
          <w:rFonts w:ascii="Times New Roman" w:hAnsi="Times New Roman"/>
          <w:i/>
          <w:iCs/>
          <w:sz w:val="24"/>
          <w:szCs w:val="24"/>
        </w:rPr>
        <w:t>Southern Economic Journal</w:t>
      </w:r>
      <w:r w:rsidR="000026F9">
        <w:rPr>
          <w:rFonts w:ascii="Times New Roman" w:hAnsi="Times New Roman"/>
          <w:sz w:val="24"/>
          <w:szCs w:val="24"/>
        </w:rPr>
        <w:t>,</w:t>
      </w:r>
      <w:r w:rsidR="000026F9">
        <w:rPr>
          <w:rFonts w:ascii="Arial" w:hAnsi="Arial"/>
        </w:rPr>
        <w:t xml:space="preserve"> </w:t>
      </w:r>
      <w:r w:rsidR="000026F9">
        <w:rPr>
          <w:rFonts w:ascii="Times New Roman" w:hAnsi="Times New Roman"/>
          <w:color w:val="222222"/>
          <w:sz w:val="24"/>
          <w:szCs w:val="24"/>
          <w:shd w:val="clear" w:color="auto" w:fill="FFFFFF"/>
        </w:rPr>
        <w:t>10, 45.</w:t>
      </w:r>
    </w:p>
    <w:p w:rsidR="005804A1" w:rsidRDefault="000026F9">
      <w:pPr>
        <w:rPr>
          <w:rFonts w:ascii="Times New Roman" w:hAnsi="Times New Roman"/>
          <w:color w:val="222222"/>
          <w:sz w:val="24"/>
          <w:szCs w:val="24"/>
          <w:shd w:val="clear" w:color="auto" w:fill="FFFFFF"/>
        </w:rPr>
      </w:pPr>
      <w:r w:rsidRPr="002149DE">
        <w:rPr>
          <w:rFonts w:ascii="Times New Roman" w:hAnsi="Times New Roman"/>
          <w:color w:val="222222"/>
          <w:sz w:val="24"/>
          <w:szCs w:val="24"/>
          <w:shd w:val="clear" w:color="auto" w:fill="FFFFFF"/>
        </w:rPr>
        <w:t xml:space="preserve"> </w:t>
      </w:r>
      <w:proofErr w:type="spellStart"/>
      <w:r w:rsidR="002149DE" w:rsidRPr="002149DE">
        <w:rPr>
          <w:rFonts w:ascii="Times New Roman" w:hAnsi="Times New Roman"/>
          <w:color w:val="222222"/>
          <w:sz w:val="24"/>
          <w:szCs w:val="24"/>
          <w:shd w:val="clear" w:color="auto" w:fill="FFFFFF"/>
        </w:rPr>
        <w:t>Owusu</w:t>
      </w:r>
      <w:proofErr w:type="spellEnd"/>
      <w:r w:rsidR="002149DE" w:rsidRPr="002149DE">
        <w:rPr>
          <w:rFonts w:ascii="Times New Roman" w:hAnsi="Times New Roman"/>
          <w:color w:val="222222"/>
          <w:sz w:val="24"/>
          <w:szCs w:val="24"/>
          <w:shd w:val="clear" w:color="auto" w:fill="FFFFFF"/>
        </w:rPr>
        <w:t xml:space="preserve">, Evelyn. (2024). Gender Equality and Work-life Balance in the Digital Era: A </w:t>
      </w:r>
      <w:proofErr w:type="spellStart"/>
      <w:r w:rsidR="002149DE" w:rsidRPr="002149DE">
        <w:rPr>
          <w:rFonts w:ascii="Times New Roman" w:hAnsi="Times New Roman"/>
          <w:color w:val="222222"/>
          <w:sz w:val="24"/>
          <w:szCs w:val="24"/>
          <w:shd w:val="clear" w:color="auto" w:fill="FFFFFF"/>
        </w:rPr>
        <w:t>Bibliometric</w:t>
      </w:r>
      <w:proofErr w:type="spellEnd"/>
      <w:r w:rsidR="002149DE" w:rsidRPr="002149DE">
        <w:rPr>
          <w:rFonts w:ascii="Times New Roman" w:hAnsi="Times New Roman"/>
          <w:color w:val="222222"/>
          <w:sz w:val="24"/>
          <w:szCs w:val="24"/>
          <w:shd w:val="clear" w:color="auto" w:fill="FFFFFF"/>
        </w:rPr>
        <w:t xml:space="preserve"> Analysis. </w:t>
      </w:r>
      <w:r w:rsidR="002149DE" w:rsidRPr="000026F9">
        <w:rPr>
          <w:rFonts w:ascii="Times New Roman" w:hAnsi="Times New Roman"/>
          <w:i/>
          <w:color w:val="222222"/>
          <w:sz w:val="24"/>
          <w:szCs w:val="24"/>
          <w:shd w:val="clear" w:color="auto" w:fill="FFFFFF"/>
        </w:rPr>
        <w:t>Virtual Economics</w:t>
      </w:r>
      <w:r>
        <w:rPr>
          <w:rFonts w:ascii="Times New Roman" w:hAnsi="Times New Roman"/>
          <w:color w:val="222222"/>
          <w:sz w:val="24"/>
          <w:szCs w:val="24"/>
          <w:shd w:val="clear" w:color="auto" w:fill="FFFFFF"/>
        </w:rPr>
        <w:t>. 7. 82-89</w:t>
      </w:r>
      <w:r w:rsidR="002149DE" w:rsidRPr="002149DE">
        <w:rPr>
          <w:rFonts w:ascii="Times New Roman" w:hAnsi="Times New Roman"/>
          <w:color w:val="222222"/>
          <w:sz w:val="24"/>
          <w:szCs w:val="24"/>
          <w:shd w:val="clear" w:color="auto" w:fill="FFFFFF"/>
        </w:rPr>
        <w:t>.</w:t>
      </w:r>
    </w:p>
    <w:sectPr w:rsidR="005804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0575F8"/>
    <w:multiLevelType w:val="multilevel"/>
    <w:tmpl w:val="0FA8E8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A600A99"/>
    <w:multiLevelType w:val="multilevel"/>
    <w:tmpl w:val="8DFEE8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32FE7970"/>
    <w:multiLevelType w:val="multilevel"/>
    <w:tmpl w:val="0184A6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F6A159E"/>
    <w:multiLevelType w:val="multilevel"/>
    <w:tmpl w:val="EC50567A"/>
    <w:lvl w:ilvl="0">
      <w:start w:val="1"/>
      <w:numFmt w:val="decimal"/>
      <w:lvlText w:val="%1."/>
      <w:lvlJc w:val="left"/>
      <w:pPr>
        <w:ind w:left="360" w:hanging="360"/>
      </w:pPr>
      <w:rPr>
        <w:rFonts w:ascii="Times New Roman" w:hAnsi="Times New Roman" w:cs="Times New Roman" w:hint="default"/>
        <w:b/>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4">
    <w:nsid w:val="77D756FD"/>
    <w:multiLevelType w:val="multilevel"/>
    <w:tmpl w:val="03CCE6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7B040A0F"/>
    <w:multiLevelType w:val="multilevel"/>
    <w:tmpl w:val="03A63A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lvlOverride w:ilvl="2"/>
    <w:lvlOverride w:ilvl="3"/>
    <w:lvlOverride w:ilvl="4"/>
    <w:lvlOverride w:ilvl="5"/>
    <w:lvlOverride w:ilvl="6"/>
    <w:lvlOverride w:ilvl="7"/>
    <w:lvlOverride w:ilvl="8"/>
  </w:num>
  <w:num w:numId="3">
    <w:abstractNumId w:val="4"/>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 w:numId="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E54"/>
    <w:rsid w:val="000026F9"/>
    <w:rsid w:val="00123DD5"/>
    <w:rsid w:val="002149DE"/>
    <w:rsid w:val="00362F5B"/>
    <w:rsid w:val="003932E6"/>
    <w:rsid w:val="003A66E3"/>
    <w:rsid w:val="004873FD"/>
    <w:rsid w:val="005804A1"/>
    <w:rsid w:val="007531C1"/>
    <w:rsid w:val="00761771"/>
    <w:rsid w:val="00791CF4"/>
    <w:rsid w:val="007D0E4B"/>
    <w:rsid w:val="0098612F"/>
    <w:rsid w:val="00A253FF"/>
    <w:rsid w:val="00B25905"/>
    <w:rsid w:val="00BA70F4"/>
    <w:rsid w:val="00C45121"/>
    <w:rsid w:val="00DC2FD4"/>
    <w:rsid w:val="00E3078C"/>
    <w:rsid w:val="00E61793"/>
    <w:rsid w:val="00E85A13"/>
    <w:rsid w:val="00EF2E54"/>
    <w:rsid w:val="00F24C21"/>
    <w:rsid w:val="00F72EA9"/>
    <w:rsid w:val="00FC2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87FA65-E318-4A45-8CB6-431C043A9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E54"/>
    <w:pPr>
      <w:spacing w:before="100" w:beforeAutospacing="1" w:line="256" w:lineRule="auto"/>
    </w:pPr>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F2E54"/>
    <w:pPr>
      <w:ind w:left="720"/>
      <w:contextualSpacing/>
    </w:pPr>
  </w:style>
  <w:style w:type="character" w:styleId="Hyperlink">
    <w:name w:val="Hyperlink"/>
    <w:basedOn w:val="DefaultParagraphFont"/>
    <w:uiPriority w:val="99"/>
    <w:unhideWhenUsed/>
    <w:rsid w:val="00DC2F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533581">
      <w:bodyDiv w:val="1"/>
      <w:marLeft w:val="0"/>
      <w:marRight w:val="0"/>
      <w:marTop w:val="0"/>
      <w:marBottom w:val="0"/>
      <w:divBdr>
        <w:top w:val="none" w:sz="0" w:space="0" w:color="auto"/>
        <w:left w:val="none" w:sz="0" w:space="0" w:color="auto"/>
        <w:bottom w:val="none" w:sz="0" w:space="0" w:color="auto"/>
        <w:right w:val="none" w:sz="0" w:space="0" w:color="auto"/>
      </w:divBdr>
    </w:div>
    <w:div w:id="608197327">
      <w:bodyDiv w:val="1"/>
      <w:marLeft w:val="0"/>
      <w:marRight w:val="0"/>
      <w:marTop w:val="0"/>
      <w:marBottom w:val="0"/>
      <w:divBdr>
        <w:top w:val="none" w:sz="0" w:space="0" w:color="auto"/>
        <w:left w:val="none" w:sz="0" w:space="0" w:color="auto"/>
        <w:bottom w:val="none" w:sz="0" w:space="0" w:color="auto"/>
        <w:right w:val="none" w:sz="0" w:space="0" w:color="auto"/>
      </w:divBdr>
    </w:div>
    <w:div w:id="150990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1059</TotalTime>
  <Pages>3</Pages>
  <Words>813</Words>
  <Characters>5331</Characters>
  <Application>Microsoft Office Word</Application>
  <DocSecurity>0</DocSecurity>
  <Lines>98</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dcterms:created xsi:type="dcterms:W3CDTF">2024-05-12T18:27:00Z</dcterms:created>
  <dcterms:modified xsi:type="dcterms:W3CDTF">2024-05-13T16:16:00Z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8cc9fe41-7a45-4606-8d68-55b89f8e00ad</vt:lpwstr>
  </property>
</Properties>
</file>