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BB" w:rsidRDefault="000970BB" w:rsidP="000F3771">
      <w:pPr>
        <w:spacing w:before="120" w:after="120"/>
        <w:rPr>
          <w:rFonts w:ascii="Arial" w:hAnsi="Arial" w:cs="Arial"/>
          <w:b/>
          <w:color w:val="548DD4"/>
          <w:sz w:val="36"/>
          <w:szCs w:val="36"/>
        </w:rPr>
      </w:pPr>
      <w:r w:rsidRPr="00A310A5">
        <w:rPr>
          <w:rFonts w:ascii="Arial" w:hAnsi="Arial" w:cs="Arial"/>
          <w:b/>
          <w:color w:val="548DD4"/>
          <w:sz w:val="36"/>
          <w:szCs w:val="36"/>
        </w:rPr>
        <w:t>Cvičení č.</w:t>
      </w:r>
      <w:r>
        <w:rPr>
          <w:rFonts w:ascii="Arial" w:hAnsi="Arial" w:cs="Arial"/>
          <w:b/>
          <w:color w:val="548DD4"/>
          <w:sz w:val="36"/>
          <w:szCs w:val="36"/>
        </w:rPr>
        <w:t xml:space="preserve"> 9: Veřejné příjmy, úvod do daňové teorie</w:t>
      </w:r>
    </w:p>
    <w:p w:rsidR="000970BB" w:rsidRPr="00712F88" w:rsidRDefault="000970BB" w:rsidP="000F3771">
      <w:pPr>
        <w:spacing w:before="120" w:after="120"/>
        <w:rPr>
          <w:rFonts w:ascii="Arial" w:hAnsi="Arial" w:cs="Arial"/>
          <w:b/>
          <w:color w:val="548DD4"/>
          <w:sz w:val="32"/>
          <w:szCs w:val="32"/>
        </w:rPr>
      </w:pPr>
      <w:r w:rsidRPr="00712F88">
        <w:rPr>
          <w:rFonts w:ascii="Arial" w:hAnsi="Arial" w:cs="Arial"/>
          <w:b/>
          <w:color w:val="548DD4"/>
          <w:sz w:val="32"/>
          <w:szCs w:val="32"/>
        </w:rPr>
        <w:t>A: Veřejné příjmy</w:t>
      </w:r>
    </w:p>
    <w:p w:rsidR="000970BB" w:rsidRDefault="000970BB" w:rsidP="003B57B7">
      <w:pPr>
        <w:pStyle w:val="ListParagraph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Veřejné příjmy – mezinárodní komparace 2010 (% HDP)</w:t>
      </w:r>
    </w:p>
    <w:p w:rsidR="000970BB" w:rsidRDefault="000970BB" w:rsidP="000775D4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82E6F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5" o:spid="_x0000_i1025" type="#_x0000_t75" style="width:510.75pt;height:23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">
            <v:imagedata r:id="rId7" o:title=""/>
            <o:lock v:ext="edit" aspectratio="f"/>
          </v:shape>
        </w:pict>
      </w:r>
    </w:p>
    <w:p w:rsidR="000970BB" w:rsidRPr="000775D4" w:rsidRDefault="000970BB" w:rsidP="000775D4">
      <w:pPr>
        <w:spacing w:before="120" w:after="120"/>
        <w:jc w:val="both"/>
        <w:rPr>
          <w:rFonts w:ascii="Times New Roman" w:hAnsi="Times New Roman"/>
          <w:i/>
          <w:sz w:val="20"/>
          <w:szCs w:val="20"/>
        </w:rPr>
      </w:pPr>
      <w:r w:rsidRPr="000775D4">
        <w:rPr>
          <w:rFonts w:ascii="Times New Roman" w:hAnsi="Times New Roman"/>
          <w:i/>
          <w:sz w:val="20"/>
          <w:szCs w:val="20"/>
        </w:rPr>
        <w:t>Zdroj: Eurostat 2011</w:t>
      </w:r>
    </w:p>
    <w:p w:rsidR="000970BB" w:rsidRDefault="000970BB" w:rsidP="003B57B7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Veřejné příjmy v ČR, členění dle rozpočtové skladby</w:t>
      </w:r>
    </w:p>
    <w:p w:rsidR="000970BB" w:rsidRDefault="000970BB" w:rsidP="005E10F1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E10F1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bulka MF ČR (2010c)</w:t>
      </w:r>
    </w:p>
    <w:p w:rsidR="000970BB" w:rsidRDefault="000970BB" w:rsidP="006D5F65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na daňové a nedaňové + jejich vývoj dle tabulky</w:t>
      </w:r>
    </w:p>
    <w:p w:rsidR="000970BB" w:rsidRPr="006D5F65" w:rsidRDefault="000970BB" w:rsidP="006D5F65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4"/>
          <w:szCs w:val="24"/>
        </w:rPr>
      </w:pPr>
    </w:p>
    <w:p w:rsidR="000970BB" w:rsidRDefault="000970BB" w:rsidP="000F3771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v ČR – poměrové ukazatele (%HDP, ESA 95)</w:t>
      </w:r>
    </w:p>
    <w:p w:rsidR="000970BB" w:rsidRDefault="000970BB" w:rsidP="000F377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82E6F">
        <w:rPr>
          <w:rFonts w:ascii="Times New Roman" w:hAnsi="Times New Roman"/>
          <w:noProof/>
          <w:sz w:val="24"/>
          <w:szCs w:val="24"/>
          <w:lang w:eastAsia="cs-CZ"/>
        </w:rPr>
        <w:pict>
          <v:shape id="obrázek 1" o:spid="_x0000_i1026" type="#_x0000_t75" style="width:507pt;height:159.75pt;visibility:visible">
            <v:imagedata r:id="rId8" o:title=""/>
          </v:shape>
        </w:pict>
      </w:r>
    </w:p>
    <w:p w:rsidR="000970BB" w:rsidRPr="00AF087E" w:rsidRDefault="000970BB" w:rsidP="006E3994">
      <w:pPr>
        <w:spacing w:before="120" w:after="120"/>
        <w:jc w:val="both"/>
        <w:rPr>
          <w:rFonts w:ascii="Times New Roman" w:hAnsi="Times New Roman"/>
          <w:i/>
          <w:sz w:val="20"/>
          <w:szCs w:val="20"/>
        </w:rPr>
      </w:pPr>
      <w:r w:rsidRPr="00AF087E">
        <w:rPr>
          <w:rFonts w:ascii="Times New Roman" w:hAnsi="Times New Roman"/>
          <w:i/>
          <w:sz w:val="20"/>
          <w:szCs w:val="20"/>
        </w:rPr>
        <w:t>Zdroj: MF ČR (2011)</w:t>
      </w:r>
    </w:p>
    <w:p w:rsidR="000970BB" w:rsidRDefault="000970BB" w:rsidP="00712F88">
      <w:pPr>
        <w:pStyle w:val="ListParagraph"/>
        <w:numPr>
          <w:ilvl w:val="0"/>
          <w:numId w:val="6"/>
        </w:numPr>
        <w:ind w:hanging="73"/>
        <w:rPr>
          <w:rFonts w:ascii="Times New Roman" w:hAnsi="Times New Roman"/>
          <w:sz w:val="24"/>
          <w:szCs w:val="24"/>
        </w:rPr>
      </w:pPr>
      <w:r w:rsidRPr="00D13F20">
        <w:rPr>
          <w:rFonts w:ascii="Times New Roman" w:hAnsi="Times New Roman"/>
          <w:sz w:val="24"/>
          <w:szCs w:val="24"/>
        </w:rPr>
        <w:t>Členění dle rozpočtové skladby:</w:t>
      </w:r>
    </w:p>
    <w:p w:rsidR="000970BB" w:rsidRDefault="000970BB" w:rsidP="00D13F20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D13F20">
        <w:rPr>
          <w:rFonts w:ascii="Times New Roman" w:hAnsi="Times New Roman"/>
          <w:sz w:val="24"/>
          <w:szCs w:val="24"/>
        </w:rPr>
        <w:t>daňové příjmy – viz dále</w:t>
      </w:r>
    </w:p>
    <w:p w:rsidR="000970BB" w:rsidRDefault="000970BB" w:rsidP="00D13F20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D13F20">
        <w:rPr>
          <w:rFonts w:ascii="Times New Roman" w:hAnsi="Times New Roman"/>
          <w:sz w:val="24"/>
          <w:szCs w:val="24"/>
        </w:rPr>
        <w:t>nedaňové příjmy – příjmy rozpočtů za služby, které jsou poskytovány veřejnosti, přijaté vratky dotací, pokuty a jiné sankční platby, příjmy z prodeje nekapitálového majetku, přijaté splátky návratných finančních výpomocí a ostatní příjmy (např. poplatky za správu rádiového spektra, licence UMTS, příjmy z dobrovolného pojistného SZ, soudní poplatky, …)</w:t>
      </w:r>
    </w:p>
    <w:p w:rsidR="000970BB" w:rsidRDefault="000970BB" w:rsidP="00D13F20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D13F20">
        <w:rPr>
          <w:rFonts w:ascii="Times New Roman" w:hAnsi="Times New Roman"/>
          <w:sz w:val="24"/>
          <w:szCs w:val="24"/>
        </w:rPr>
        <w:t>kapitálové příjmy – příjmy z prodeje dlouh</w:t>
      </w:r>
      <w:r>
        <w:rPr>
          <w:rFonts w:ascii="Times New Roman" w:hAnsi="Times New Roman"/>
          <w:sz w:val="24"/>
          <w:szCs w:val="24"/>
        </w:rPr>
        <w:t>odobého majetku</w:t>
      </w:r>
    </w:p>
    <w:p w:rsidR="000970BB" w:rsidRDefault="000970BB" w:rsidP="00D13F20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D13F20">
        <w:rPr>
          <w:rFonts w:ascii="Times New Roman" w:hAnsi="Times New Roman"/>
          <w:sz w:val="24"/>
          <w:szCs w:val="24"/>
        </w:rPr>
        <w:t>přijaté dotace – příjmy z rozpočtu EU (strukturální fondy, Fond soudržnosti, komunitární programy, společná zemědělská politika, od 2007 už NE kompenzační platby); příjmy z bankovního účtu, který je nástupcem FNM</w:t>
      </w:r>
    </w:p>
    <w:p w:rsidR="000970BB" w:rsidRDefault="000970BB" w:rsidP="006D5F6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0970BB" w:rsidRDefault="000970BB" w:rsidP="00712F88">
      <w:pPr>
        <w:pStyle w:val="ListParagraph"/>
        <w:numPr>
          <w:ilvl w:val="0"/>
          <w:numId w:val="6"/>
        </w:numPr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veřejných příjmů ČR dle rozpočtové skladby (GFS 1986/GFSM 2001)</w:t>
      </w:r>
    </w:p>
    <w:tbl>
      <w:tblPr>
        <w:tblW w:w="10125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1706"/>
        <w:gridCol w:w="935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0970BB" w:rsidRPr="00B82E6F" w:rsidTr="00094784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V mld.Kč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2010*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2011*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Daňové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594,7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1 060,0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1 098,8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1 224,2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1 276,5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1 156,7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1 245,0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1 261,8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Nedaňové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Kapitálové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Přijaté dotace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140,4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1 060,5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1 162,8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1 223,4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1 359,4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1 450,2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1 368,8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1 454,6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1 521,0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V % HDP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2010*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2011*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Daňové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Nedaňové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Kapitálové příjmy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Přijaté dotace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0970BB" w:rsidRPr="00B82E6F" w:rsidTr="00094784">
        <w:trPr>
          <w:cantSplit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B82E6F" w:rsidRDefault="000970BB" w:rsidP="000947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2E6F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</w:tbl>
    <w:p w:rsidR="000970BB" w:rsidRPr="00BD2454" w:rsidRDefault="000970BB" w:rsidP="00BD2454">
      <w:pPr>
        <w:rPr>
          <w:rFonts w:ascii="Times New Roman" w:hAnsi="Times New Roman"/>
          <w:i/>
          <w:sz w:val="24"/>
          <w:szCs w:val="24"/>
        </w:rPr>
      </w:pPr>
      <w:r w:rsidRPr="00BD2454">
        <w:rPr>
          <w:rFonts w:ascii="Times New Roman" w:hAnsi="Times New Roman"/>
          <w:i/>
          <w:sz w:val="20"/>
          <w:szCs w:val="20"/>
        </w:rPr>
        <w:t>Pozn: rok 2010 – předběžná data, rok 2011 – rozpočet</w:t>
      </w:r>
      <w:r w:rsidRPr="00BD2454">
        <w:rPr>
          <w:rFonts w:ascii="Times New Roman" w:hAnsi="Times New Roman"/>
          <w:i/>
          <w:sz w:val="20"/>
          <w:szCs w:val="20"/>
        </w:rPr>
        <w:br/>
        <w:t>Zdroj: MF ČR (2010b) a MF ČR (2010c)</w:t>
      </w:r>
    </w:p>
    <w:p w:rsidR="000970BB" w:rsidRDefault="000970BB" w:rsidP="003B57B7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Příjmy jednotlivých složek veřejných rozpočtů v roce 2012 v mld. Kč</w:t>
      </w:r>
    </w:p>
    <w:p w:rsidR="000970BB" w:rsidRPr="004B17A2" w:rsidRDefault="000970BB" w:rsidP="004B17A2">
      <w:pPr>
        <w:pStyle w:val="ListParagraph"/>
        <w:numPr>
          <w:ilvl w:val="0"/>
          <w:numId w:val="6"/>
        </w:numPr>
        <w:spacing w:before="120" w:after="120"/>
        <w:ind w:hanging="7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Tabulka MF ČR (Návrh státního rozpočtu na rok 2012)</w:t>
      </w:r>
    </w:p>
    <w:p w:rsidR="000970BB" w:rsidRPr="004B17A2" w:rsidRDefault="000970BB" w:rsidP="004B17A2">
      <w:pPr>
        <w:pStyle w:val="ListParagraph"/>
        <w:spacing w:before="120" w:after="12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0970BB" w:rsidRDefault="000970BB" w:rsidP="003B57B7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Daňová kvóta a den daňové svobody</w:t>
      </w:r>
    </w:p>
    <w:p w:rsidR="000970BB" w:rsidRDefault="000970BB" w:rsidP="00712F88">
      <w:pPr>
        <w:pStyle w:val="ListParagraph"/>
        <w:numPr>
          <w:ilvl w:val="0"/>
          <w:numId w:val="6"/>
        </w:numPr>
        <w:spacing w:before="120" w:after="120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Daňová kvóta úzká (jednoduchá) x široká (složená) v ČR</w:t>
      </w:r>
    </w:p>
    <w:tbl>
      <w:tblPr>
        <w:tblW w:w="10392" w:type="dxa"/>
        <w:tblInd w:w="-3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576"/>
        <w:gridCol w:w="576"/>
        <w:gridCol w:w="576"/>
        <w:gridCol w:w="577"/>
        <w:gridCol w:w="577"/>
        <w:gridCol w:w="577"/>
        <w:gridCol w:w="578"/>
        <w:gridCol w:w="577"/>
        <w:gridCol w:w="577"/>
        <w:gridCol w:w="577"/>
        <w:gridCol w:w="578"/>
        <w:gridCol w:w="577"/>
        <w:gridCol w:w="756"/>
        <w:gridCol w:w="681"/>
      </w:tblGrid>
      <w:tr w:rsidR="000970BB" w:rsidRPr="00B82E6F" w:rsidTr="00094784">
        <w:trPr>
          <w:cantSplit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2009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2011*</w:t>
            </w:r>
          </w:p>
        </w:tc>
      </w:tr>
      <w:tr w:rsidR="000970BB" w:rsidRPr="00B82E6F" w:rsidTr="00094784">
        <w:trPr>
          <w:cantSplit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Složená daňová kvóta (daně a pojistné/HDP)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34,1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33,9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35,8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37,3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36,8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36,4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35,2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34,4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35,2</w:t>
            </w:r>
          </w:p>
        </w:tc>
      </w:tr>
      <w:tr w:rsidR="000970BB" w:rsidRPr="00B82E6F" w:rsidTr="00094784">
        <w:trPr>
          <w:cantSplit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Jednoduchá daňová kvóta (daně/HDP)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21,2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18,6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BB" w:rsidRPr="002C336A" w:rsidRDefault="000970BB" w:rsidP="00094784">
            <w:pPr>
              <w:spacing w:after="0"/>
              <w:jc w:val="righ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C336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19,0</w:t>
            </w:r>
          </w:p>
        </w:tc>
      </w:tr>
    </w:tbl>
    <w:p w:rsidR="000970BB" w:rsidRPr="002C336A" w:rsidRDefault="000970BB" w:rsidP="002C336A">
      <w:pPr>
        <w:rPr>
          <w:rFonts w:ascii="Times New Roman" w:hAnsi="Times New Roman"/>
          <w:i/>
          <w:sz w:val="20"/>
          <w:szCs w:val="20"/>
        </w:rPr>
      </w:pPr>
      <w:r w:rsidRPr="002C336A">
        <w:rPr>
          <w:rFonts w:ascii="Times New Roman" w:hAnsi="Times New Roman"/>
          <w:i/>
          <w:sz w:val="20"/>
          <w:szCs w:val="20"/>
        </w:rPr>
        <w:t>Zdroj: MF ČR (2010a).</w:t>
      </w:r>
    </w:p>
    <w:p w:rsidR="000970BB" w:rsidRDefault="000970BB" w:rsidP="00712F88">
      <w:pPr>
        <w:pStyle w:val="ListParagraph"/>
        <w:numPr>
          <w:ilvl w:val="0"/>
          <w:numId w:val="6"/>
        </w:numPr>
        <w:spacing w:before="120" w:after="120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daňové svobody = 15. 6. 2011 v ČR (Liberální institut, 2011)</w:t>
      </w:r>
    </w:p>
    <w:p w:rsidR="000970BB" w:rsidRPr="00712F88" w:rsidRDefault="000970BB" w:rsidP="00712F8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0970BB" w:rsidRPr="00712F88" w:rsidRDefault="000970BB" w:rsidP="002C336A">
      <w:pPr>
        <w:spacing w:before="120" w:after="120"/>
        <w:jc w:val="both"/>
        <w:rPr>
          <w:rFonts w:ascii="Times New Roman" w:hAnsi="Times New Roman"/>
          <w:b/>
          <w:color w:val="548DD4"/>
          <w:sz w:val="32"/>
          <w:szCs w:val="32"/>
        </w:rPr>
      </w:pPr>
      <w:r w:rsidRPr="00712F88">
        <w:rPr>
          <w:rFonts w:ascii="Times New Roman" w:hAnsi="Times New Roman"/>
          <w:b/>
          <w:color w:val="548DD4"/>
          <w:sz w:val="32"/>
          <w:szCs w:val="32"/>
        </w:rPr>
        <w:t>B: Úvod do daňové teorie</w:t>
      </w:r>
    </w:p>
    <w:p w:rsidR="000970BB" w:rsidRDefault="000970BB" w:rsidP="00712F88">
      <w:pPr>
        <w:pStyle w:val="Heading1"/>
        <w:numPr>
          <w:ilvl w:val="0"/>
          <w:numId w:val="9"/>
        </w:numPr>
        <w:ind w:left="426" w:hanging="426"/>
      </w:pPr>
      <w:r>
        <w:t>Definice daně</w:t>
      </w:r>
    </w:p>
    <w:p w:rsidR="000970BB" w:rsidRPr="00712F88" w:rsidRDefault="000970BB" w:rsidP="00E957CD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povinná,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neúčelová a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zákonem 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předem sazbou stanovená částka, kterou se více méně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>pravidelně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odčerpává na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>nenávratném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principu část nominálního důchodu ekonomického subjektu,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>ve prospěch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veřejného peněžního fondu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>bez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poskytnutí </w:t>
      </w:r>
      <w:r w:rsidRPr="00712F88">
        <w:rPr>
          <w:rFonts w:ascii="Times New Roman" w:hAnsi="Times New Roman"/>
          <w:b/>
          <w:bCs/>
          <w:sz w:val="24"/>
          <w:szCs w:val="24"/>
          <w:lang w:eastAsia="cs-CZ"/>
        </w:rPr>
        <w:t>ekvivalentního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protiplnění</w:t>
      </w:r>
      <w:r w:rsidRPr="00712F88">
        <w:rPr>
          <w:rFonts w:ascii="Times New Roman" w:hAnsi="Times New Roman"/>
          <w:sz w:val="20"/>
          <w:szCs w:val="20"/>
          <w:lang w:eastAsia="cs-CZ"/>
        </w:rPr>
        <w:t>.  (Radvan, str. 23)</w:t>
      </w:r>
      <w:r w:rsidRPr="00712F8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970BB" w:rsidRPr="00E957CD" w:rsidRDefault="000970BB" w:rsidP="00E957CD">
      <w:pPr>
        <w:pStyle w:val="ListParagraph"/>
        <w:numPr>
          <w:ilvl w:val="0"/>
          <w:numId w:val="6"/>
        </w:numPr>
        <w:spacing w:before="120" w:after="120"/>
        <w:ind w:hanging="73"/>
        <w:jc w:val="both"/>
        <w:rPr>
          <w:lang w:eastAsia="cs-CZ"/>
        </w:rPr>
      </w:pPr>
      <w:r>
        <w:rPr>
          <w:rFonts w:ascii="Times New Roman" w:hAnsi="Times New Roman"/>
          <w:lang w:eastAsia="cs-CZ"/>
        </w:rPr>
        <w:t>daň x poplatek (správní, soudní, místní poplatky – daně, jiné)</w:t>
      </w:r>
    </w:p>
    <w:p w:rsidR="000970BB" w:rsidRPr="00352304" w:rsidRDefault="000970BB" w:rsidP="00352304">
      <w:pPr>
        <w:pStyle w:val="ListParagraph"/>
        <w:numPr>
          <w:ilvl w:val="0"/>
          <w:numId w:val="6"/>
        </w:numPr>
        <w:spacing w:before="120" w:after="120"/>
        <w:ind w:hanging="73"/>
        <w:jc w:val="both"/>
        <w:rPr>
          <w:lang w:eastAsia="cs-CZ"/>
        </w:rPr>
      </w:pPr>
      <w:r>
        <w:rPr>
          <w:rFonts w:ascii="Times New Roman" w:hAnsi="Times New Roman"/>
          <w:lang w:eastAsia="cs-CZ"/>
        </w:rPr>
        <w:t>SZP</w:t>
      </w:r>
    </w:p>
    <w:p w:rsidR="000970BB" w:rsidRDefault="000970BB" w:rsidP="00352304">
      <w:pPr>
        <w:pStyle w:val="ListParagraph"/>
        <w:spacing w:before="120" w:after="120"/>
        <w:ind w:left="357"/>
        <w:jc w:val="both"/>
        <w:rPr>
          <w:lang w:eastAsia="cs-CZ"/>
        </w:rPr>
      </w:pPr>
    </w:p>
    <w:p w:rsidR="000970BB" w:rsidRPr="00E957CD" w:rsidRDefault="000970BB" w:rsidP="00E957CD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sz w:val="28"/>
          <w:szCs w:val="28"/>
          <w:lang w:eastAsia="cs-CZ"/>
        </w:rPr>
      </w:pPr>
      <w:r w:rsidRPr="00E957CD">
        <w:rPr>
          <w:rFonts w:ascii="Arial" w:hAnsi="Arial" w:cs="Arial"/>
          <w:b/>
          <w:sz w:val="28"/>
          <w:szCs w:val="28"/>
          <w:lang w:eastAsia="cs-CZ"/>
        </w:rPr>
        <w:t>Teoretické třídění daní</w:t>
      </w:r>
    </w:p>
    <w:p w:rsidR="000970BB" w:rsidRDefault="000970BB" w:rsidP="00E957CD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dopadu daně: přímé x nepřímé</w:t>
      </w:r>
    </w:p>
    <w:p w:rsidR="000970BB" w:rsidRDefault="000970BB" w:rsidP="00E957CD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objektu (předmětu): důchodové x majetkové x transferové x subjektové (daň z hlavy) x spotřební (kus, litr,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970BB" w:rsidRDefault="000970BB" w:rsidP="00E957CD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použité sazby: pevná sazba x procentní sazby</w:t>
      </w:r>
    </w:p>
    <w:p w:rsidR="000970BB" w:rsidRDefault="000970BB" w:rsidP="00E957C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Procentní sazba: lineární (proporcionální) x </w:t>
      </w:r>
      <w:r w:rsidRPr="00E957CD">
        <w:rPr>
          <w:rFonts w:ascii="Times New Roman" w:hAnsi="Times New Roman"/>
          <w:b/>
          <w:sz w:val="24"/>
          <w:szCs w:val="24"/>
        </w:rPr>
        <w:t>progresivní</w:t>
      </w:r>
      <w:r>
        <w:rPr>
          <w:rFonts w:ascii="Times New Roman" w:hAnsi="Times New Roman"/>
          <w:sz w:val="24"/>
          <w:szCs w:val="24"/>
        </w:rPr>
        <w:t xml:space="preserve"> x regresivní</w:t>
      </w:r>
    </w:p>
    <w:p w:rsidR="000970BB" w:rsidRPr="00E957CD" w:rsidRDefault="000970BB" w:rsidP="00E957CD">
      <w:pPr>
        <w:pStyle w:val="ListParagraph"/>
        <w:numPr>
          <w:ilvl w:val="0"/>
          <w:numId w:val="6"/>
        </w:numPr>
        <w:spacing w:after="0" w:line="240" w:lineRule="auto"/>
        <w:ind w:hanging="73"/>
        <w:rPr>
          <w:rFonts w:ascii="Times New Roman" w:hAnsi="Times New Roman"/>
          <w:sz w:val="24"/>
          <w:szCs w:val="24"/>
          <w:u w:val="single"/>
        </w:rPr>
      </w:pPr>
      <w:r w:rsidRPr="00E957CD">
        <w:rPr>
          <w:rFonts w:ascii="Times New Roman" w:hAnsi="Times New Roman"/>
          <w:sz w:val="24"/>
          <w:szCs w:val="24"/>
          <w:u w:val="single"/>
        </w:rPr>
        <w:t xml:space="preserve">Progrese: </w:t>
      </w:r>
    </w:p>
    <w:p w:rsidR="000970BB" w:rsidRDefault="000970BB" w:rsidP="00E957C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Progrese sazby - typicky DPFO</w:t>
      </w:r>
    </w:p>
    <w:p w:rsidR="000970BB" w:rsidRDefault="000970BB" w:rsidP="00E957C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Progrese dopadu – podíl zaplacené daně na příjmu poplatníka</w:t>
      </w:r>
    </w:p>
    <w:p w:rsidR="000970BB" w:rsidRPr="00400F3F" w:rsidRDefault="000970BB" w:rsidP="00400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0BB" w:rsidRDefault="000970BB" w:rsidP="00400F3F">
      <w:pPr>
        <w:pStyle w:val="ListParagraph"/>
        <w:numPr>
          <w:ilvl w:val="0"/>
          <w:numId w:val="6"/>
        </w:numPr>
        <w:spacing w:after="0" w:line="240" w:lineRule="auto"/>
        <w:ind w:hanging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Příklady: </w:t>
      </w:r>
    </w:p>
    <w:p w:rsidR="000970BB" w:rsidRDefault="000970BB" w:rsidP="00400F3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Dvěma poplatníkům, jejichž příjmy činí </w:t>
      </w:r>
      <w:smartTag w:uri="urn:schemas-microsoft-com:office:smarttags" w:element="metricconverter">
        <w:smartTagPr>
          <w:attr w:name="ProductID" w:val="100 a"/>
        </w:smartTagPr>
        <w:r>
          <w:rPr>
            <w:rFonts w:ascii="Times New Roman" w:hAnsi="Times New Roman"/>
            <w:sz w:val="24"/>
            <w:szCs w:val="24"/>
          </w:rPr>
          <w:t>100 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a"/>
        </w:smartTagPr>
        <w:r>
          <w:rPr>
            <w:rFonts w:ascii="Times New Roman" w:hAnsi="Times New Roman"/>
            <w:sz w:val="24"/>
            <w:szCs w:val="24"/>
          </w:rPr>
          <w:t>200 a</w:t>
        </w:r>
      </w:smartTag>
      <w:r>
        <w:rPr>
          <w:rFonts w:ascii="Times New Roman" w:hAnsi="Times New Roman"/>
          <w:sz w:val="24"/>
          <w:szCs w:val="24"/>
        </w:rPr>
        <w:t xml:space="preserve"> daňová sazba je 20%, je v následujícím roce zavedena sleva na dani 10 jednotek, ale sazba se zvýší na 27%. K jaké změně dojde u poplatníků a u státu jako výběrčího daně.</w:t>
      </w:r>
    </w:p>
    <w:p w:rsidR="000970BB" w:rsidRDefault="000970BB" w:rsidP="00400F3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Poplatníci z předchozího příkladu kupují chleba a pivo (80,20 x 100, 80). Jaký dopad na poplatníky bude mít daň, která je obsažená v ceně a jak se to změní, pokud je daň 10% a 25%.</w:t>
      </w:r>
    </w:p>
    <w:p w:rsidR="000970BB" w:rsidRDefault="000970BB" w:rsidP="00400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0BB" w:rsidRDefault="000970BB" w:rsidP="00400F3F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400F3F">
        <w:rPr>
          <w:rFonts w:ascii="Arial" w:hAnsi="Arial" w:cs="Arial"/>
          <w:b/>
          <w:sz w:val="28"/>
          <w:szCs w:val="28"/>
        </w:rPr>
        <w:t>Daňový systém v</w:t>
      </w:r>
      <w:r>
        <w:rPr>
          <w:rFonts w:ascii="Arial" w:hAnsi="Arial" w:cs="Arial"/>
          <w:b/>
          <w:sz w:val="28"/>
          <w:szCs w:val="28"/>
        </w:rPr>
        <w:t> </w:t>
      </w:r>
      <w:r w:rsidRPr="00400F3F">
        <w:rPr>
          <w:rFonts w:ascii="Arial" w:hAnsi="Arial" w:cs="Arial"/>
          <w:b/>
          <w:sz w:val="28"/>
          <w:szCs w:val="28"/>
        </w:rPr>
        <w:t>ČR</w:t>
      </w:r>
    </w:p>
    <w:p w:rsidR="000970BB" w:rsidRDefault="000970BB" w:rsidP="00306F14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DPFO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Proporcionální 15% (dříve progresivní), daňový základ tzv. superhrubá mzda, úlevy (poplatník, dítě, úroky z hypotéky)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DPPO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19% z daňového základu, snaha o harmonizaci mezi zeměmi EU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Dvojí zdanění dividend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Majetkové daně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 z nemovitostí, silniční daň, daň z převodu nemovitostí, daň dědická, daň darovací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Vyměřované na základě majetku (daně in rem) – výměra, peněžní hodnota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Přímé daně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Nepřímá, výnosově nejsilnější daň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Dvě sazby (Jaké opatření by bylo vhodné přijmout, pokud by došlo k zavedené jednosazbové DPH?)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Harmonizace EU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Spotřební daně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Minerální oleje, pivo, víno, líh a lihoviny, tabák, ekologické daně (2008) – zemní plyn, elektřina, pevné paliva</w:t>
      </w:r>
    </w:p>
    <w:p w:rsidR="000970BB" w:rsidRDefault="000970BB" w:rsidP="00306F1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Harmonizace EU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SZP</w:t>
      </w:r>
    </w:p>
    <w:p w:rsidR="000970BB" w:rsidRDefault="000970BB" w:rsidP="00234A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Nejvýnosnější „daně“, existence účelovosti a někdy i ekvivalence</w:t>
      </w:r>
    </w:p>
    <w:p w:rsidR="000970BB" w:rsidRDefault="000970BB" w:rsidP="00234A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Vybírají ZP a ČSSZ</w:t>
      </w:r>
    </w:p>
    <w:p w:rsidR="000970BB" w:rsidRPr="000A5D4C" w:rsidRDefault="000970BB" w:rsidP="000A5D4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dělená mezi zaměstnance (4,5% a 6,5%) a zaměstnavatele (9</w:t>
      </w:r>
      <w:r w:rsidRPr="000A5D4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a 25%</w:t>
      </w:r>
      <w:r w:rsidRPr="000A5D4C">
        <w:rPr>
          <w:rFonts w:ascii="Times New Roman" w:hAnsi="Times New Roman"/>
          <w:sz w:val="24"/>
          <w:szCs w:val="24"/>
        </w:rPr>
        <w:t>) ―&gt; proč?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clo</w:t>
      </w:r>
    </w:p>
    <w:p w:rsidR="000970BB" w:rsidRDefault="000970BB" w:rsidP="00234A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Nepřímá „daň“, zanedbatelný výnos, 75% výnosu do rozpočtu EU</w:t>
      </w: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poplatní (místní daně)</w:t>
      </w:r>
    </w:p>
    <w:p w:rsidR="000970BB" w:rsidRDefault="000970BB" w:rsidP="00F1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0BB" w:rsidRPr="00F12EAC" w:rsidRDefault="000970BB" w:rsidP="00F1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daňových příjmů veřejných rozpočtů v ČR (2002-2011, v %)</w:t>
      </w:r>
    </w:p>
    <w:p w:rsidR="000970BB" w:rsidRDefault="000970BB" w:rsidP="004B1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250">
        <w:rPr>
          <w:noProof/>
          <w:lang w:eastAsia="cs-CZ"/>
        </w:rPr>
        <w:pict>
          <v:shape id="_x0000_i1027" type="#_x0000_t75" style="width:438.75pt;height:225.75pt;visibility:visible">
            <v:imagedata r:id="rId9" o:title=""/>
          </v:shape>
        </w:pict>
      </w:r>
    </w:p>
    <w:p w:rsidR="000970BB" w:rsidRDefault="000970BB" w:rsidP="004B17A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17A2">
        <w:rPr>
          <w:rFonts w:ascii="Times New Roman" w:hAnsi="Times New Roman"/>
          <w:i/>
          <w:sz w:val="20"/>
          <w:szCs w:val="20"/>
        </w:rPr>
        <w:t>Zdroj: MF ČR (2010b) a MF ČR (2010c)</w:t>
      </w:r>
    </w:p>
    <w:p w:rsidR="000970BB" w:rsidRDefault="000970BB" w:rsidP="004B17A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970BB" w:rsidRDefault="000970BB" w:rsidP="00A068B8">
      <w:pPr>
        <w:pStyle w:val="ListParagraph"/>
        <w:numPr>
          <w:ilvl w:val="0"/>
          <w:numId w:val="6"/>
        </w:numPr>
        <w:spacing w:after="0" w:line="240" w:lineRule="auto"/>
        <w:ind w:hanging="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Jaké požadavky by měli splňovat ideální daně?</w:t>
      </w:r>
    </w:p>
    <w:p w:rsidR="000970BB" w:rsidRDefault="000970BB" w:rsidP="004B17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 by měl být jejich výnos?</w:t>
      </w:r>
    </w:p>
    <w:p w:rsidR="000970BB" w:rsidRDefault="000970BB" w:rsidP="004B17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Jsou dnešní daně spravedlivé?</w:t>
      </w:r>
    </w:p>
    <w:p w:rsidR="000970BB" w:rsidRDefault="000970BB" w:rsidP="004B17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by měly být náklady na jejich výběr (náklady veřejného, soukromého sektoru, DWL – nadměrné daňové břemeno)</w:t>
      </w:r>
    </w:p>
    <w:p w:rsidR="000970BB" w:rsidRPr="004B17A2" w:rsidRDefault="000970BB" w:rsidP="004B17A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Ovlivňují daně chování jedinců?</w:t>
      </w:r>
    </w:p>
    <w:p w:rsidR="000970BB" w:rsidRPr="0059609F" w:rsidRDefault="000970BB" w:rsidP="004B17A2">
      <w:pPr>
        <w:pStyle w:val="Heading1"/>
      </w:pPr>
      <w:r w:rsidRPr="00321250">
        <w:rPr>
          <w:noProof/>
        </w:rPr>
        <w:pict>
          <v:shape id="obrázek 4" o:spid="_x0000_i1028" type="#_x0000_t75" alt="diskuze" style="width:32.25pt;height:30.75pt;visibility:visible">
            <v:imagedata r:id="rId10" o:title=""/>
          </v:shape>
        </w:pict>
      </w:r>
      <w:r>
        <w:t xml:space="preserve">4. </w:t>
      </w:r>
      <w:r w:rsidRPr="0059609F">
        <w:t>Změny daňového systému od 200</w:t>
      </w:r>
      <w:r>
        <w:t>7 (</w:t>
      </w:r>
      <w:r w:rsidRPr="007D58F1">
        <w:t>se zaměřením na DPFO a SZP</w:t>
      </w:r>
      <w:r>
        <w:t>)</w:t>
      </w:r>
    </w:p>
    <w:p w:rsidR="000970BB" w:rsidRPr="004B17A2" w:rsidRDefault="000970BB" w:rsidP="004B17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7A2">
        <w:rPr>
          <w:rFonts w:ascii="Times New Roman" w:hAnsi="Times New Roman"/>
          <w:bCs/>
          <w:sz w:val="24"/>
          <w:szCs w:val="24"/>
        </w:rPr>
        <w:t>velmi stručně popište hlavní body úprav daňového systému od 2007 se zaměřením na uvedené daně</w:t>
      </w:r>
    </w:p>
    <w:p w:rsidR="000970BB" w:rsidRPr="004B17A2" w:rsidRDefault="000970BB" w:rsidP="004B17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7A2">
        <w:rPr>
          <w:rFonts w:ascii="Times New Roman" w:hAnsi="Times New Roman"/>
          <w:bCs/>
          <w:sz w:val="24"/>
          <w:szCs w:val="24"/>
        </w:rPr>
        <w:t>podrobněji analyzujte změny u DPFO a SZP, včetně nalezení faktorů, které stojí za popsanými změnami</w:t>
      </w:r>
    </w:p>
    <w:p w:rsidR="000970BB" w:rsidRPr="004B17A2" w:rsidRDefault="000970BB" w:rsidP="004B17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7A2">
        <w:rPr>
          <w:rFonts w:ascii="Times New Roman" w:hAnsi="Times New Roman"/>
          <w:bCs/>
          <w:sz w:val="24"/>
          <w:szCs w:val="24"/>
        </w:rPr>
        <w:t>identifikujte zájmové skupiny, kterých se daňová reforma dotkla, a prezentujte, jak na ně reforma dopadla</w:t>
      </w:r>
    </w:p>
    <w:p w:rsidR="000970BB" w:rsidRPr="004B17A2" w:rsidRDefault="000970BB" w:rsidP="004B17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17A2">
        <w:rPr>
          <w:rFonts w:ascii="Times New Roman" w:hAnsi="Times New Roman"/>
          <w:bCs/>
          <w:sz w:val="24"/>
          <w:szCs w:val="24"/>
        </w:rPr>
        <w:t>diskutujte hlavní názory na úpravy daní, které v ČR platí od roku 2008; v závěru připojte vlastní názor a shrňte výsledek diskuse</w:t>
      </w:r>
    </w:p>
    <w:p w:rsidR="000970BB" w:rsidRPr="0059609F" w:rsidRDefault="000970BB" w:rsidP="004B17A2">
      <w:pPr>
        <w:pStyle w:val="Heading1"/>
      </w:pPr>
      <w:r w:rsidRPr="00321250">
        <w:rPr>
          <w:noProof/>
        </w:rPr>
        <w:pict>
          <v:shape id="obrázek 5" o:spid="_x0000_i1029" type="#_x0000_t75" alt="diskuze" style="width:32.25pt;height:30.75pt;visibility:visible">
            <v:imagedata r:id="rId10" o:title=""/>
          </v:shape>
        </w:pict>
      </w:r>
      <w:r>
        <w:t xml:space="preserve">5. </w:t>
      </w:r>
      <w:r w:rsidRPr="0059609F">
        <w:t>Změny daňového systému od 200</w:t>
      </w:r>
      <w:r>
        <w:t>7 (</w:t>
      </w:r>
      <w:r w:rsidRPr="002222E6">
        <w:t>se zaměřením na DPH a SD</w:t>
      </w:r>
      <w:r>
        <w:t>)</w:t>
      </w:r>
    </w:p>
    <w:p w:rsidR="000970BB" w:rsidRPr="00352304" w:rsidRDefault="000970BB" w:rsidP="004B17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304">
        <w:rPr>
          <w:rFonts w:ascii="Times New Roman" w:hAnsi="Times New Roman"/>
          <w:sz w:val="24"/>
          <w:szCs w:val="24"/>
        </w:rPr>
        <w:t>velmi stručně popište hlavní body úprav daňového systému od 2007 se zaměřením na uvedené daně</w:t>
      </w:r>
    </w:p>
    <w:p w:rsidR="000970BB" w:rsidRPr="00352304" w:rsidRDefault="000970BB" w:rsidP="004B17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304">
        <w:rPr>
          <w:rFonts w:ascii="Times New Roman" w:hAnsi="Times New Roman"/>
          <w:sz w:val="24"/>
          <w:szCs w:val="24"/>
        </w:rPr>
        <w:t>podrobněji analyzujte změny u DPH a SD, včetně nalezení faktorů, které stojí za popsanými změnami</w:t>
      </w:r>
    </w:p>
    <w:p w:rsidR="000970BB" w:rsidRPr="00352304" w:rsidRDefault="000970BB" w:rsidP="004B17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304">
        <w:rPr>
          <w:rFonts w:ascii="Times New Roman" w:hAnsi="Times New Roman"/>
          <w:sz w:val="24"/>
          <w:szCs w:val="24"/>
        </w:rPr>
        <w:t>identifikujte zájmové skupiny, kterých se daňová reforma dotkla, a prezentujte, jak na ně reforma dopadla</w:t>
      </w:r>
    </w:p>
    <w:p w:rsidR="000970BB" w:rsidRPr="00352304" w:rsidRDefault="000970BB" w:rsidP="004B17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304">
        <w:rPr>
          <w:rFonts w:ascii="Times New Roman" w:hAnsi="Times New Roman"/>
          <w:sz w:val="24"/>
          <w:szCs w:val="24"/>
        </w:rPr>
        <w:t>diskutujte potenciální dopady připravované změny u DPH v souvislosti s důchodovou reformou</w:t>
      </w:r>
    </w:p>
    <w:p w:rsidR="000970BB" w:rsidRDefault="000970BB" w:rsidP="0035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0BB" w:rsidRPr="00352304" w:rsidRDefault="000970BB" w:rsidP="0035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70BB" w:rsidRDefault="000970BB" w:rsidP="003B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0BB" w:rsidRDefault="000970BB" w:rsidP="00352304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352304">
        <w:rPr>
          <w:rFonts w:ascii="Arial" w:hAnsi="Arial" w:cs="Arial"/>
          <w:b/>
          <w:sz w:val="28"/>
          <w:szCs w:val="28"/>
        </w:rPr>
        <w:t>DÚ na dostudování</w:t>
      </w:r>
    </w:p>
    <w:p w:rsidR="000970BB" w:rsidRPr="00352304" w:rsidRDefault="000970BB" w:rsidP="00A068B8">
      <w:pPr>
        <w:pStyle w:val="ListParagraph"/>
        <w:numPr>
          <w:ilvl w:val="0"/>
          <w:numId w:val="6"/>
        </w:numPr>
        <w:tabs>
          <w:tab w:val="clear" w:pos="357"/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Lafferova křivka; Taxman (Beatles); daň na </w:t>
      </w:r>
      <w:smartTag w:uri="urn:schemas-microsoft-com:office:smarttags" w:element="metricconverter">
        <w:smartTagPr>
          <w:attr w:name="ProductID" w:val="1 l"/>
        </w:smartTagPr>
        <w:r>
          <w:rPr>
            <w:rFonts w:ascii="Times New Roman" w:hAnsi="Times New Roman"/>
            <w:sz w:val="24"/>
            <w:szCs w:val="24"/>
          </w:rPr>
          <w:t>1 l</w:t>
        </w:r>
      </w:smartTag>
      <w:r>
        <w:rPr>
          <w:rFonts w:ascii="Times New Roman" w:hAnsi="Times New Roman"/>
          <w:sz w:val="24"/>
          <w:szCs w:val="24"/>
        </w:rPr>
        <w:t xml:space="preserve"> 100% alkoholu; koeficient u daně z nemovitostí v Praze; sazby daně na vyplacené dividendy, v čem je podstata Švarc systému</w:t>
      </w:r>
    </w:p>
    <w:p w:rsidR="000970BB" w:rsidRDefault="000970BB" w:rsidP="003B57B7">
      <w:pPr>
        <w:spacing w:before="120" w:after="120"/>
        <w:jc w:val="both"/>
        <w:rPr>
          <w:rFonts w:ascii="Arial" w:hAnsi="Arial" w:cs="Arial"/>
          <w:b/>
          <w:color w:val="548DD4"/>
          <w:sz w:val="32"/>
          <w:szCs w:val="32"/>
        </w:rPr>
      </w:pPr>
    </w:p>
    <w:p w:rsidR="000970BB" w:rsidRDefault="000970BB" w:rsidP="003B57B7">
      <w:pPr>
        <w:spacing w:before="120" w:after="120"/>
        <w:jc w:val="both"/>
        <w:rPr>
          <w:rFonts w:ascii="Arial" w:hAnsi="Arial" w:cs="Arial"/>
          <w:b/>
          <w:color w:val="548DD4"/>
          <w:sz w:val="24"/>
          <w:szCs w:val="24"/>
        </w:rPr>
      </w:pPr>
      <w:r>
        <w:rPr>
          <w:rFonts w:ascii="Arial" w:hAnsi="Arial" w:cs="Arial"/>
          <w:b/>
          <w:color w:val="548DD4"/>
          <w:sz w:val="32"/>
          <w:szCs w:val="32"/>
        </w:rPr>
        <w:t xml:space="preserve">C: </w:t>
      </w:r>
      <w:r w:rsidRPr="00301CE9">
        <w:rPr>
          <w:rFonts w:ascii="Arial" w:hAnsi="Arial" w:cs="Arial"/>
          <w:b/>
          <w:color w:val="548DD4"/>
          <w:sz w:val="32"/>
          <w:szCs w:val="32"/>
        </w:rPr>
        <w:t>Doporučená literatura a zdroje</w:t>
      </w:r>
      <w:r>
        <w:rPr>
          <w:rFonts w:ascii="Arial" w:hAnsi="Arial" w:cs="Arial"/>
          <w:b/>
          <w:color w:val="548DD4"/>
          <w:sz w:val="32"/>
          <w:szCs w:val="32"/>
        </w:rPr>
        <w:t xml:space="preserve"> </w:t>
      </w:r>
      <w:r w:rsidRPr="00301CE9">
        <w:rPr>
          <w:rFonts w:ascii="Arial" w:hAnsi="Arial" w:cs="Arial"/>
          <w:b/>
          <w:color w:val="548DD4"/>
          <w:sz w:val="24"/>
          <w:szCs w:val="24"/>
        </w:rPr>
        <w:t>(pozor, pro lenost není dodržena citační norma)</w:t>
      </w:r>
    </w:p>
    <w:p w:rsidR="000970BB" w:rsidRPr="000A5D4C" w:rsidRDefault="000970BB" w:rsidP="003523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>Eurostat (2011). Total general government revenue (% of GDP) [online]. Dostupné z &lt;</w:t>
      </w:r>
      <w:hyperlink r:id="rId11" w:history="1">
        <w:r w:rsidRPr="000A5D4C">
          <w:rPr>
            <w:rStyle w:val="Hyperlink"/>
            <w:rFonts w:ascii="Times New Roman" w:hAnsi="Times New Roman"/>
            <w:sz w:val="24"/>
            <w:szCs w:val="24"/>
          </w:rPr>
          <w:t>http://epp.eurostat.ec.europa.eu/tgm/table.do?tab=table&amp;init=1&amp;language=en&amp;pcode=tec00021&amp;plugin=1</w:t>
        </w:r>
      </w:hyperlink>
      <w:r w:rsidRPr="000A5D4C">
        <w:rPr>
          <w:rFonts w:ascii="Times New Roman" w:hAnsi="Times New Roman"/>
          <w:sz w:val="24"/>
          <w:szCs w:val="24"/>
        </w:rPr>
        <w:t>&gt;</w:t>
      </w:r>
    </w:p>
    <w:p w:rsidR="000970BB" w:rsidRPr="000A5D4C" w:rsidRDefault="000970BB" w:rsidP="003B57B7">
      <w:pPr>
        <w:pStyle w:val="ListParagraph"/>
        <w:spacing w:before="120" w:after="120"/>
        <w:ind w:left="714"/>
        <w:rPr>
          <w:rFonts w:ascii="Times New Roman" w:hAnsi="Times New Roman"/>
          <w:sz w:val="24"/>
          <w:szCs w:val="24"/>
        </w:rPr>
      </w:pPr>
    </w:p>
    <w:p w:rsidR="000970BB" w:rsidRPr="000A5D4C" w:rsidRDefault="000970BB" w:rsidP="00352304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>MF ČR (2010a). Fiskální výhled (květen 2011) [online]. Dostupné z &lt;</w:t>
      </w:r>
      <w:hyperlink r:id="rId12" w:history="1">
        <w:r w:rsidRPr="000A5D4C">
          <w:rPr>
            <w:rStyle w:val="Hyperlink"/>
            <w:rFonts w:ascii="Times New Roman" w:hAnsi="Times New Roman"/>
            <w:sz w:val="24"/>
            <w:szCs w:val="24"/>
          </w:rPr>
          <w:t>http://www.mfcr.cz/cps/rde/xchg/mfcr/xsl/ek_fiskalni_vyhledy.html</w:t>
        </w:r>
      </w:hyperlink>
      <w:r w:rsidRPr="000A5D4C">
        <w:rPr>
          <w:rFonts w:ascii="Times New Roman" w:hAnsi="Times New Roman"/>
          <w:sz w:val="24"/>
          <w:szCs w:val="24"/>
        </w:rPr>
        <w:t>&gt;</w:t>
      </w:r>
    </w:p>
    <w:p w:rsidR="000970BB" w:rsidRPr="000A5D4C" w:rsidRDefault="000970BB" w:rsidP="00352304">
      <w:pPr>
        <w:pStyle w:val="ListParagraph"/>
        <w:rPr>
          <w:rFonts w:ascii="Times New Roman" w:hAnsi="Times New Roman"/>
          <w:sz w:val="24"/>
          <w:szCs w:val="24"/>
        </w:rPr>
      </w:pPr>
    </w:p>
    <w:p w:rsidR="000970BB" w:rsidRPr="000A5D4C" w:rsidRDefault="000970BB" w:rsidP="00352304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>MF ČR (2010b). Zpráva k návrhu zákona o státním rozpočtu ČR na rok 2011 [online]. Dostupné z &lt;</w:t>
      </w:r>
      <w:hyperlink r:id="rId13" w:history="1">
        <w:r w:rsidRPr="000A5D4C">
          <w:rPr>
            <w:rStyle w:val="Hyperlink"/>
            <w:rFonts w:ascii="Times New Roman" w:hAnsi="Times New Roman"/>
            <w:sz w:val="24"/>
            <w:szCs w:val="24"/>
          </w:rPr>
          <w:t>http://www.psp.cz/sqw/text/text2.sqw?idd=63993</w:t>
        </w:r>
      </w:hyperlink>
      <w:r w:rsidRPr="000A5D4C">
        <w:rPr>
          <w:rFonts w:ascii="Times New Roman" w:hAnsi="Times New Roman"/>
          <w:sz w:val="24"/>
          <w:szCs w:val="24"/>
        </w:rPr>
        <w:t>&gt;</w:t>
      </w:r>
    </w:p>
    <w:p w:rsidR="000970BB" w:rsidRPr="000A5D4C" w:rsidRDefault="000970BB" w:rsidP="00352304">
      <w:pPr>
        <w:pStyle w:val="ListParagraph"/>
        <w:rPr>
          <w:rFonts w:ascii="Times New Roman" w:hAnsi="Times New Roman"/>
          <w:sz w:val="24"/>
          <w:szCs w:val="24"/>
        </w:rPr>
      </w:pPr>
    </w:p>
    <w:p w:rsidR="000970BB" w:rsidRPr="000A5D4C" w:rsidRDefault="000970BB" w:rsidP="000A5D4C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>Liberální institut (201</w:t>
      </w:r>
      <w:r>
        <w:rPr>
          <w:rFonts w:ascii="Times New Roman" w:hAnsi="Times New Roman"/>
          <w:sz w:val="24"/>
          <w:szCs w:val="24"/>
        </w:rPr>
        <w:t>1</w:t>
      </w:r>
      <w:r w:rsidRPr="000A5D4C">
        <w:rPr>
          <w:rFonts w:ascii="Times New Roman" w:hAnsi="Times New Roman"/>
          <w:sz w:val="24"/>
          <w:szCs w:val="24"/>
        </w:rPr>
        <w:t>). Den daňové svobody 2011 [online]. Dostupné z &lt;</w:t>
      </w:r>
      <w:hyperlink r:id="rId14" w:history="1">
        <w:r w:rsidRPr="000A5D4C">
          <w:rPr>
            <w:rStyle w:val="Hyperlink"/>
            <w:rFonts w:ascii="Times New Roman" w:hAnsi="Times New Roman"/>
            <w:sz w:val="24"/>
            <w:szCs w:val="24"/>
            <w:lang w:val="pl-PL"/>
          </w:rPr>
          <w:t>http://www.libinst.cz/komentare.php?id=591</w:t>
        </w:r>
      </w:hyperlink>
      <w:r w:rsidRPr="000A5D4C">
        <w:rPr>
          <w:rFonts w:ascii="Times New Roman" w:hAnsi="Times New Roman"/>
          <w:sz w:val="24"/>
          <w:szCs w:val="24"/>
        </w:rPr>
        <w:t>&gt;</w:t>
      </w:r>
    </w:p>
    <w:p w:rsidR="000970BB" w:rsidRPr="000A5D4C" w:rsidRDefault="000970BB" w:rsidP="000A5D4C">
      <w:pPr>
        <w:pStyle w:val="ListParagraph"/>
        <w:rPr>
          <w:rFonts w:ascii="Times New Roman" w:hAnsi="Times New Roman"/>
          <w:sz w:val="24"/>
          <w:szCs w:val="24"/>
        </w:rPr>
      </w:pPr>
    </w:p>
    <w:p w:rsidR="000970BB" w:rsidRPr="000A5D4C" w:rsidRDefault="000970BB" w:rsidP="000A5D4C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 xml:space="preserve">PEKOVÁ, J. </w:t>
      </w:r>
      <w:r w:rsidRPr="000A5D4C">
        <w:rPr>
          <w:rFonts w:ascii="Times New Roman" w:hAnsi="Times New Roman"/>
          <w:i/>
          <w:sz w:val="24"/>
          <w:szCs w:val="24"/>
        </w:rPr>
        <w:t>Veřejné finance – úvod do problematiky.</w:t>
      </w:r>
      <w:r w:rsidRPr="000A5D4C">
        <w:rPr>
          <w:rFonts w:ascii="Times New Roman" w:hAnsi="Times New Roman"/>
          <w:sz w:val="24"/>
          <w:szCs w:val="24"/>
        </w:rPr>
        <w:t xml:space="preserve"> 4. aktualizované a rozšířené vyd. Praha: ASPI, 2008. 508 s. ISBN 978-80-7357-358-4  (kapitola 6: Veřejné příjmy str. 294 – 344)</w:t>
      </w:r>
    </w:p>
    <w:p w:rsidR="000970BB" w:rsidRPr="000A5D4C" w:rsidRDefault="000970BB" w:rsidP="000A5D4C">
      <w:pPr>
        <w:pStyle w:val="ListParagraph"/>
        <w:rPr>
          <w:rFonts w:ascii="Times New Roman" w:hAnsi="Times New Roman"/>
          <w:sz w:val="24"/>
          <w:szCs w:val="24"/>
        </w:rPr>
      </w:pPr>
    </w:p>
    <w:p w:rsidR="000970BB" w:rsidRPr="000A5D4C" w:rsidRDefault="000970BB" w:rsidP="000A5D4C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0A5D4C">
        <w:rPr>
          <w:rFonts w:ascii="Times New Roman" w:hAnsi="Times New Roman"/>
          <w:sz w:val="24"/>
          <w:szCs w:val="24"/>
        </w:rPr>
        <w:t xml:space="preserve">HAMERNÍKOVÁ, B.; MAAYTOVÁ, A. a kol. </w:t>
      </w:r>
      <w:r w:rsidRPr="000A5D4C">
        <w:rPr>
          <w:rFonts w:ascii="Times New Roman" w:hAnsi="Times New Roman"/>
          <w:i/>
          <w:sz w:val="24"/>
          <w:szCs w:val="24"/>
        </w:rPr>
        <w:t>Veřejné finance.</w:t>
      </w:r>
      <w:r w:rsidRPr="000A5D4C">
        <w:rPr>
          <w:rFonts w:ascii="Times New Roman" w:hAnsi="Times New Roman"/>
          <w:sz w:val="24"/>
          <w:szCs w:val="24"/>
        </w:rPr>
        <w:t xml:space="preserve"> 1. vyd. Praha: ASPI, 2007. 364 s. ISBN 978-80-73577-301-0 (kapitola 5: Veřejné příjmy - charakteristika, druhy a členění  str. 118 – 135</w:t>
      </w:r>
    </w:p>
    <w:p w:rsidR="000970BB" w:rsidRPr="000A5D4C" w:rsidRDefault="000970BB" w:rsidP="000A5D4C">
      <w:pPr>
        <w:spacing w:before="120" w:after="120"/>
        <w:ind w:left="357"/>
        <w:rPr>
          <w:rFonts w:ascii="Times New Roman" w:hAnsi="Times New Roman"/>
          <w:sz w:val="24"/>
          <w:szCs w:val="24"/>
        </w:rPr>
      </w:pPr>
    </w:p>
    <w:p w:rsidR="000970BB" w:rsidRPr="0084506B" w:rsidRDefault="000970BB" w:rsidP="003B57B7">
      <w:pPr>
        <w:pStyle w:val="ListParagraph"/>
        <w:rPr>
          <w:rFonts w:ascii="Times New Roman" w:hAnsi="Times New Roman"/>
          <w:sz w:val="24"/>
          <w:szCs w:val="24"/>
        </w:rPr>
      </w:pPr>
    </w:p>
    <w:p w:rsidR="000970BB" w:rsidRDefault="000970BB"/>
    <w:sectPr w:rsidR="000970BB" w:rsidSect="00DA4599">
      <w:headerReference w:type="default" r:id="rId15"/>
      <w:footerReference w:type="default" r:id="rId16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BB" w:rsidRDefault="000970BB" w:rsidP="00762CA9">
      <w:pPr>
        <w:spacing w:after="0" w:line="240" w:lineRule="auto"/>
      </w:pPr>
      <w:r>
        <w:separator/>
      </w:r>
    </w:p>
  </w:endnote>
  <w:endnote w:type="continuationSeparator" w:id="0">
    <w:p w:rsidR="000970BB" w:rsidRDefault="000970BB" w:rsidP="0076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B" w:rsidRDefault="000970B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970BB" w:rsidRDefault="00097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BB" w:rsidRDefault="000970BB" w:rsidP="00762CA9">
      <w:pPr>
        <w:spacing w:after="0" w:line="240" w:lineRule="auto"/>
      </w:pPr>
      <w:r>
        <w:separator/>
      </w:r>
    </w:p>
  </w:footnote>
  <w:footnote w:type="continuationSeparator" w:id="0">
    <w:p w:rsidR="000970BB" w:rsidRDefault="000970BB" w:rsidP="0076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B" w:rsidRDefault="000970BB" w:rsidP="00A974A4">
    <w:pPr>
      <w:pStyle w:val="Header"/>
      <w:jc w:val="center"/>
      <w:rPr>
        <w:rFonts w:ascii="Times New Roman" w:hAnsi="Times New Roman"/>
        <w:b/>
        <w:sz w:val="40"/>
        <w:szCs w:val="40"/>
      </w:rPr>
    </w:pPr>
    <w:r>
      <w:rPr>
        <w:rFonts w:ascii="Times New Roman" w:hAnsi="Times New Roman"/>
        <w:b/>
        <w:sz w:val="40"/>
        <w:szCs w:val="40"/>
      </w:rPr>
      <w:t>Základy veřejných financí a veřejné správy</w:t>
    </w:r>
  </w:p>
  <w:p w:rsidR="000970BB" w:rsidRPr="00A974A4" w:rsidRDefault="000970BB" w:rsidP="00A974A4">
    <w:pPr>
      <w:pStyle w:val="Header"/>
      <w:jc w:val="center"/>
      <w:rPr>
        <w:rFonts w:ascii="Times New Roman" w:hAnsi="Times New Roman"/>
        <w:b/>
        <w:sz w:val="40"/>
        <w:szCs w:val="40"/>
      </w:rPr>
    </w:pPr>
    <w:r w:rsidRPr="001A6545">
      <w:rPr>
        <w:rFonts w:ascii="Times New Roman" w:hAnsi="Times New Roman"/>
        <w:b/>
        <w:sz w:val="40"/>
        <w:szCs w:val="40"/>
      </w:rPr>
      <w:t>osnova cvičení</w:t>
    </w:r>
  </w:p>
  <w:p w:rsidR="000970BB" w:rsidRDefault="000970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95B"/>
    <w:multiLevelType w:val="hybridMultilevel"/>
    <w:tmpl w:val="D790510A"/>
    <w:lvl w:ilvl="0" w:tplc="CE7E7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C9C"/>
    <w:multiLevelType w:val="multilevel"/>
    <w:tmpl w:val="B490797A"/>
    <w:styleLink w:val="StylSodrkami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47C20"/>
    <w:multiLevelType w:val="multilevel"/>
    <w:tmpl w:val="B490797A"/>
    <w:numStyleLink w:val="StylSodrkami"/>
  </w:abstractNum>
  <w:abstractNum w:abstractNumId="3">
    <w:nsid w:val="0D8428BC"/>
    <w:multiLevelType w:val="hybridMultilevel"/>
    <w:tmpl w:val="9E2A2192"/>
    <w:lvl w:ilvl="0" w:tplc="09A4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6EC2"/>
    <w:multiLevelType w:val="hybridMultilevel"/>
    <w:tmpl w:val="8458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47535"/>
    <w:multiLevelType w:val="hybridMultilevel"/>
    <w:tmpl w:val="978664C2"/>
    <w:lvl w:ilvl="0" w:tplc="40BA7E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1283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082B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2C65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5609B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FCFD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7EB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925C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DA9F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9B167C2"/>
    <w:multiLevelType w:val="hybridMultilevel"/>
    <w:tmpl w:val="A9BE5FE6"/>
    <w:lvl w:ilvl="0" w:tplc="C3BA2B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162FD"/>
    <w:multiLevelType w:val="hybridMultilevel"/>
    <w:tmpl w:val="6C9C392A"/>
    <w:lvl w:ilvl="0" w:tplc="F86E4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E18B0"/>
    <w:multiLevelType w:val="hybridMultilevel"/>
    <w:tmpl w:val="94784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A13C8"/>
    <w:multiLevelType w:val="hybridMultilevel"/>
    <w:tmpl w:val="1C9E49D2"/>
    <w:lvl w:ilvl="0" w:tplc="50A658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1283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082B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2C65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5609B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FCFD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7EB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925C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DA9F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517F4C80"/>
    <w:multiLevelType w:val="hybridMultilevel"/>
    <w:tmpl w:val="1AFA5A5C"/>
    <w:lvl w:ilvl="0" w:tplc="F560FE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86BFE"/>
    <w:multiLevelType w:val="hybridMultilevel"/>
    <w:tmpl w:val="8B48D98A"/>
    <w:lvl w:ilvl="0" w:tplc="20A6F6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423688A"/>
    <w:multiLevelType w:val="hybridMultilevel"/>
    <w:tmpl w:val="BCB2687E"/>
    <w:lvl w:ilvl="0" w:tplc="3326BE7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76228D"/>
    <w:multiLevelType w:val="hybridMultilevel"/>
    <w:tmpl w:val="B78605EA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B7"/>
    <w:rsid w:val="000775D4"/>
    <w:rsid w:val="00094784"/>
    <w:rsid w:val="000970BB"/>
    <w:rsid w:val="000A5D4C"/>
    <w:rsid w:val="000F3771"/>
    <w:rsid w:val="001A6545"/>
    <w:rsid w:val="002222E6"/>
    <w:rsid w:val="00234AA2"/>
    <w:rsid w:val="002C336A"/>
    <w:rsid w:val="00301CE9"/>
    <w:rsid w:val="00306F14"/>
    <w:rsid w:val="00321250"/>
    <w:rsid w:val="00352304"/>
    <w:rsid w:val="003614D3"/>
    <w:rsid w:val="003B57B7"/>
    <w:rsid w:val="00400F3F"/>
    <w:rsid w:val="00457932"/>
    <w:rsid w:val="004B17A2"/>
    <w:rsid w:val="0059609F"/>
    <w:rsid w:val="005E10F1"/>
    <w:rsid w:val="006D2F77"/>
    <w:rsid w:val="006D5F65"/>
    <w:rsid w:val="006E3994"/>
    <w:rsid w:val="00712F88"/>
    <w:rsid w:val="00757F88"/>
    <w:rsid w:val="00762CA9"/>
    <w:rsid w:val="007D58F1"/>
    <w:rsid w:val="0084506B"/>
    <w:rsid w:val="0094188A"/>
    <w:rsid w:val="0096035F"/>
    <w:rsid w:val="00A068B8"/>
    <w:rsid w:val="00A310A5"/>
    <w:rsid w:val="00A974A4"/>
    <w:rsid w:val="00AF087E"/>
    <w:rsid w:val="00B82E6F"/>
    <w:rsid w:val="00BD2454"/>
    <w:rsid w:val="00BE3B43"/>
    <w:rsid w:val="00C634EE"/>
    <w:rsid w:val="00CF3FAE"/>
    <w:rsid w:val="00D06A02"/>
    <w:rsid w:val="00D13F20"/>
    <w:rsid w:val="00DA4599"/>
    <w:rsid w:val="00E17C34"/>
    <w:rsid w:val="00E957CD"/>
    <w:rsid w:val="00F04F93"/>
    <w:rsid w:val="00F1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B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57B7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Header">
    <w:name w:val="header"/>
    <w:basedOn w:val="Normal"/>
    <w:link w:val="HeaderChar"/>
    <w:uiPriority w:val="99"/>
    <w:rsid w:val="003B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7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B57B7"/>
    <w:pPr>
      <w:ind w:left="720"/>
      <w:contextualSpacing/>
    </w:pPr>
  </w:style>
  <w:style w:type="paragraph" w:customStyle="1" w:styleId="Default">
    <w:name w:val="Default"/>
    <w:uiPriority w:val="99"/>
    <w:rsid w:val="003B57B7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7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771"/>
    <w:rPr>
      <w:rFonts w:cs="Times New Roman"/>
    </w:rPr>
  </w:style>
  <w:style w:type="character" w:styleId="Hyperlink">
    <w:name w:val="Hyperlink"/>
    <w:basedOn w:val="DefaultParagraphFont"/>
    <w:uiPriority w:val="99"/>
    <w:rsid w:val="00352304"/>
    <w:rPr>
      <w:rFonts w:cs="Times New Roman"/>
      <w:color w:val="0000FF"/>
      <w:u w:val="single"/>
    </w:rPr>
  </w:style>
  <w:style w:type="numbering" w:customStyle="1" w:styleId="StylSodrkami">
    <w:name w:val="Styl S odrážkami"/>
    <w:rsid w:val="002E41F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psp.cz/sqw/text/text2.sqw?idd=639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fcr.cz/cps/rde/xchg/mfcr/xsl/ek_fiskalni_vyhled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p.eurostat.ec.europa.eu/tgm/table.do?tab=table&amp;init=1&amp;language=en&amp;pcode=tec00021&amp;plugin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libinst.cz/komentare.php?id=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5</Pages>
  <Words>1093</Words>
  <Characters>6452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175001</cp:lastModifiedBy>
  <cp:revision>12</cp:revision>
  <dcterms:created xsi:type="dcterms:W3CDTF">2011-11-09T09:37:00Z</dcterms:created>
  <dcterms:modified xsi:type="dcterms:W3CDTF">2011-11-14T09:23:00Z</dcterms:modified>
</cp:coreProperties>
</file>