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17" w:rsidRPr="00602F6F" w:rsidRDefault="00602F6F" w:rsidP="00495607">
      <w:pPr>
        <w:numPr>
          <w:ilvl w:val="0"/>
          <w:numId w:val="1"/>
        </w:numPr>
        <w:rPr>
          <w:b/>
        </w:rPr>
      </w:pPr>
      <w:r w:rsidRPr="00602F6F">
        <w:rPr>
          <w:b/>
        </w:rPr>
        <w:t>Čl. 1 – O</w:t>
      </w:r>
      <w:r w:rsidR="008762B8" w:rsidRPr="00602F6F">
        <w:rPr>
          <w:b/>
        </w:rPr>
        <w:t>soby, na které se smlouva vztahuje</w:t>
      </w:r>
    </w:p>
    <w:p w:rsidR="000F4217" w:rsidRDefault="00602F6F" w:rsidP="00602F6F">
      <w:pPr>
        <w:jc w:val="both"/>
      </w:pPr>
      <w:r>
        <w:t>Osobou, na kterou se smlouva vztahuje, může být jak fyzická osoba, tak právnická osoba. U fyzických osob se smlouva neaplikuje všeobecně na občany některého z obou smluvních států, ale aplikuje se na rezidenty těchto dvou států. Jestliže je tedy fyzická osoba rezidentem ČR nebo je rezidentem Slovenska, případně je podle vnitrostátních předpisů rezidentem v obou smluvních státech současně, pak se na ni smlouva vztahuje bez ohledu na to, jakou má tato osoba státní příslušnost.</w:t>
      </w:r>
    </w:p>
    <w:p w:rsidR="00602F6F" w:rsidRDefault="00602F6F" w:rsidP="00602F6F">
      <w:pPr>
        <w:jc w:val="both"/>
      </w:pPr>
      <w:r>
        <w:t>Stejná kritéria platí i pro aplikaci smlouvy na právnické osoby. Složitější může být rozhodování o tom, zda se na danou osobu právnickou uvedená smlouva vztahuje u tzv. osobních společností, tj. společností, u kterých všichni nebo alespoň někteří společníci ručí za závazky společnosti celým svým majetkem.</w:t>
      </w:r>
    </w:p>
    <w:p w:rsidR="000F4217" w:rsidRPr="00602F6F" w:rsidRDefault="00602F6F" w:rsidP="00495607">
      <w:pPr>
        <w:numPr>
          <w:ilvl w:val="0"/>
          <w:numId w:val="1"/>
        </w:numPr>
        <w:rPr>
          <w:b/>
        </w:rPr>
      </w:pPr>
      <w:r w:rsidRPr="00602F6F">
        <w:rPr>
          <w:b/>
        </w:rPr>
        <w:t>Čl. 2 – Daně, na které se S</w:t>
      </w:r>
      <w:r w:rsidR="008762B8" w:rsidRPr="00602F6F">
        <w:rPr>
          <w:b/>
        </w:rPr>
        <w:t>mlouva vztahuje</w:t>
      </w:r>
    </w:p>
    <w:p w:rsidR="000F4217" w:rsidRPr="00495607" w:rsidRDefault="008762B8" w:rsidP="00055C68">
      <w:pPr>
        <w:jc w:val="both"/>
      </w:pPr>
      <w:r w:rsidRPr="00495607">
        <w:t>Smyslem je vymezit daně obou smluvních st</w:t>
      </w:r>
      <w:r w:rsidR="00602F6F">
        <w:t>átů, na něž se smlouva vztahuje, a vyloučit nutnost uzavírat novou smlouvu v případě, že se změní vnitrostátní zákony České nebo Slovenské republiky. V tomto článku jsou vyjmenovány daně obou smluvních států, na které se smlouva vztahovala v okamžiku jejího uzavření.</w:t>
      </w:r>
    </w:p>
    <w:p w:rsidR="000F4217" w:rsidRPr="00495607" w:rsidRDefault="008762B8" w:rsidP="00055C68">
      <w:pPr>
        <w:jc w:val="both"/>
      </w:pPr>
      <w:r w:rsidRPr="00495607">
        <w:t>Okruh daní je omezen pouze na daně z příjmů a na daně z majetku, tzn., že se smlouva netýká daně z přidané hodnoty, spotřebních daní ani cel a také se netýká příspěvků na sociální zabezpečení nebo na zdravotní pojištění.</w:t>
      </w:r>
      <w:r w:rsidR="00055C68">
        <w:t xml:space="preserve"> </w:t>
      </w:r>
      <w:r w:rsidRPr="00495607">
        <w:t>Smlouva se nedotýká ani způsobu, jakým jsou daně z jednotlivých druhů příjmů, případně majetku vybírány, zda přímým vyměřením formou daňového přiznání, nebo srážkou u zdroje.</w:t>
      </w:r>
    </w:p>
    <w:p w:rsidR="000F4217" w:rsidRPr="00055C68" w:rsidRDefault="00055C68" w:rsidP="00495607">
      <w:pPr>
        <w:numPr>
          <w:ilvl w:val="0"/>
          <w:numId w:val="1"/>
        </w:numPr>
        <w:rPr>
          <w:b/>
        </w:rPr>
      </w:pPr>
      <w:r w:rsidRPr="00055C68">
        <w:rPr>
          <w:b/>
        </w:rPr>
        <w:t>Čl. 3 – V</w:t>
      </w:r>
      <w:r w:rsidR="008762B8" w:rsidRPr="00055C68">
        <w:rPr>
          <w:b/>
        </w:rPr>
        <w:t>šeobecné definice</w:t>
      </w:r>
    </w:p>
    <w:p w:rsidR="000F4217" w:rsidRPr="00495607" w:rsidRDefault="008762B8" w:rsidP="00055C68">
      <w:pPr>
        <w:jc w:val="both"/>
      </w:pPr>
      <w:r w:rsidRPr="00495607">
        <w:t>Tento článek obsahuje všeobecné definice výrazů použitých v této smlouvě.</w:t>
      </w:r>
      <w:r w:rsidR="00055C68">
        <w:t xml:space="preserve"> </w:t>
      </w:r>
      <w:r w:rsidRPr="00495607">
        <w:t>Význam některých dalších důležitých pojmů je vysvětlen ve smlouvě i na jiných místech, např. pojmům „rezidenství“ a „stálá provozovna“ jsou věnovány samostatné Články, některé jsou vysvětleny přímo v článcích.</w:t>
      </w:r>
    </w:p>
    <w:p w:rsidR="000F4217" w:rsidRPr="00055C68" w:rsidRDefault="00055C68" w:rsidP="00495607">
      <w:pPr>
        <w:numPr>
          <w:ilvl w:val="0"/>
          <w:numId w:val="1"/>
        </w:numPr>
        <w:rPr>
          <w:b/>
        </w:rPr>
      </w:pPr>
      <w:r w:rsidRPr="00055C68">
        <w:rPr>
          <w:b/>
        </w:rPr>
        <w:t>Čl. 4 – R</w:t>
      </w:r>
      <w:r w:rsidR="008762B8" w:rsidRPr="00055C68">
        <w:rPr>
          <w:b/>
        </w:rPr>
        <w:t>ezident</w:t>
      </w:r>
    </w:p>
    <w:p w:rsidR="000F4217" w:rsidRPr="00495607" w:rsidRDefault="008762B8" w:rsidP="00055C68">
      <w:pPr>
        <w:jc w:val="both"/>
      </w:pPr>
      <w:r w:rsidRPr="00495607">
        <w:t>Uvedený článek byl do smlouvy zakomponován za účelem řešení případů, kdy jak ČR, tak SR považují danou osobu za rezidentní podle svých vnitrostátních daňových předpisů.</w:t>
      </w:r>
      <w:r w:rsidR="00055C68">
        <w:t xml:space="preserve"> Jsou zde vyjmenována kritéria rozhodná pro určení, ve kterém z obou smluvních států je daná osoba daňovým rezidentem, neboť je-li uzavřena smlouva o zamezení dvojího zdanění mezi dvěma státy, může být daná osoba rezidenství ve smyslu smlouvy jen v jednom z nich.</w:t>
      </w:r>
    </w:p>
    <w:p w:rsidR="00495607" w:rsidRPr="00055C68" w:rsidRDefault="00055C68" w:rsidP="00E22EDC">
      <w:pPr>
        <w:jc w:val="both"/>
        <w:rPr>
          <w:i/>
        </w:rPr>
      </w:pPr>
      <w:r>
        <w:rPr>
          <w:i/>
        </w:rPr>
        <w:t>Příkladem může být zaměstnanec české společnosti, který již několi</w:t>
      </w:r>
      <w:r w:rsidR="00E22EDC">
        <w:rPr>
          <w:i/>
        </w:rPr>
        <w:t>k</w:t>
      </w:r>
      <w:r>
        <w:rPr>
          <w:i/>
        </w:rPr>
        <w:t xml:space="preserve"> let pracuje v ČR a v Praze si koupil byt, ve kterém bydlí. Tento zaměstnanec je ženatý a jeho rodina žije na Slovensku. Na Slovensku se narodil a žijí tam i jeho rodiče. Za rodinou pravidelně dojíždí a na Slovensku tráví i většinu své dovolené. Vzhledem k </w:t>
      </w:r>
      <w:proofErr w:type="gramStart"/>
      <w:r>
        <w:rPr>
          <w:i/>
        </w:rPr>
        <w:t xml:space="preserve">tomu, </w:t>
      </w:r>
      <w:r w:rsidR="00E22EDC">
        <w:rPr>
          <w:i/>
        </w:rPr>
        <w:t xml:space="preserve"> </w:t>
      </w:r>
      <w:r>
        <w:rPr>
          <w:i/>
        </w:rPr>
        <w:t>že</w:t>
      </w:r>
      <w:proofErr w:type="gramEnd"/>
      <w:r>
        <w:rPr>
          <w:i/>
        </w:rPr>
        <w:t xml:space="preserve"> stálý byt má k dispozici evidentně v </w:t>
      </w:r>
      <w:r w:rsidR="003B0EAF">
        <w:rPr>
          <w:i/>
        </w:rPr>
        <w:t>obou</w:t>
      </w:r>
      <w:r>
        <w:rPr>
          <w:i/>
        </w:rPr>
        <w:t xml:space="preserve"> státech, </w:t>
      </w:r>
      <w:r w:rsidR="00E22EDC">
        <w:rPr>
          <w:i/>
        </w:rPr>
        <w:t xml:space="preserve"> </w:t>
      </w:r>
      <w:r>
        <w:rPr>
          <w:i/>
        </w:rPr>
        <w:t>bude pro stanovení jeho rezidenství rozhodující</w:t>
      </w:r>
      <w:r w:rsidR="00E22EDC">
        <w:rPr>
          <w:i/>
        </w:rPr>
        <w:t xml:space="preserve"> </w:t>
      </w:r>
      <w:r>
        <w:rPr>
          <w:i/>
        </w:rPr>
        <w:t>určení státu, e kterému má užší osobní a hospodářské vztahy.</w:t>
      </w:r>
    </w:p>
    <w:p w:rsidR="00495607" w:rsidRPr="00495607" w:rsidRDefault="00495607" w:rsidP="00E22EDC">
      <w:pPr>
        <w:ind w:left="720"/>
      </w:pPr>
    </w:p>
    <w:p w:rsidR="000F4217" w:rsidRPr="00E22EDC" w:rsidRDefault="00E22EDC" w:rsidP="00495607">
      <w:pPr>
        <w:numPr>
          <w:ilvl w:val="0"/>
          <w:numId w:val="1"/>
        </w:numPr>
        <w:rPr>
          <w:b/>
        </w:rPr>
      </w:pPr>
      <w:r w:rsidRPr="00E22EDC">
        <w:rPr>
          <w:b/>
        </w:rPr>
        <w:lastRenderedPageBreak/>
        <w:t>Čl. 5 – S</w:t>
      </w:r>
      <w:r w:rsidR="008762B8" w:rsidRPr="00E22EDC">
        <w:rPr>
          <w:b/>
        </w:rPr>
        <w:t>tálá provozovna</w:t>
      </w:r>
    </w:p>
    <w:p w:rsidR="000F4217" w:rsidRPr="00495607" w:rsidRDefault="008762B8" w:rsidP="008373EB">
      <w:pPr>
        <w:jc w:val="both"/>
      </w:pPr>
      <w:r w:rsidRPr="00495607">
        <w:t>Definice tohoto pojmu je rozhodující pro určení, který z obou smluvních států má právo zdanit zisky z činnosti podniků.</w:t>
      </w:r>
      <w:r w:rsidR="00E22EDC">
        <w:t xml:space="preserve"> Za stálou provozovnu se považuje jakékoliv trvalé zařízení pro podnikání, ve kterém podnik vykonává zcela nebo zčásti svoji činnost. </w:t>
      </w:r>
    </w:p>
    <w:p w:rsidR="000F4217" w:rsidRPr="00E22EDC" w:rsidRDefault="00E22EDC" w:rsidP="00495607">
      <w:pPr>
        <w:numPr>
          <w:ilvl w:val="0"/>
          <w:numId w:val="1"/>
        </w:numPr>
        <w:rPr>
          <w:b/>
        </w:rPr>
      </w:pPr>
      <w:r w:rsidRPr="00E22EDC">
        <w:rPr>
          <w:b/>
        </w:rPr>
        <w:t>Čl. 6 – P</w:t>
      </w:r>
      <w:r w:rsidR="008762B8" w:rsidRPr="00E22EDC">
        <w:rPr>
          <w:b/>
        </w:rPr>
        <w:t>říjmy z nemovitého majetku</w:t>
      </w:r>
    </w:p>
    <w:p w:rsidR="000F4217" w:rsidRPr="00495607" w:rsidRDefault="008762B8" w:rsidP="008373EB">
      <w:pPr>
        <w:jc w:val="both"/>
      </w:pPr>
      <w:r w:rsidRPr="00495607">
        <w:t>Právo na zdanění příjmů z užívání nemovitého majetku je vyhrazeno pouze státu, v němž je tento majetek umístěn.</w:t>
      </w:r>
      <w:r w:rsidR="00E22EDC">
        <w:t xml:space="preserve"> </w:t>
      </w:r>
      <w:r w:rsidR="008373EB">
        <w:t xml:space="preserve"> Příjmem z užívání nemovitostí se rozumí příjem z nájmu, podnájmu i jakéhokoliv jiného způsobu užívání nemovitého majetku, a to bez ohledu na sjednanou formu úhrady.</w:t>
      </w:r>
    </w:p>
    <w:p w:rsidR="000F4217" w:rsidRPr="002C3F04" w:rsidRDefault="002C3F04" w:rsidP="00495607">
      <w:pPr>
        <w:numPr>
          <w:ilvl w:val="0"/>
          <w:numId w:val="1"/>
        </w:numPr>
        <w:rPr>
          <w:b/>
        </w:rPr>
      </w:pPr>
      <w:r w:rsidRPr="002C3F04">
        <w:rPr>
          <w:b/>
        </w:rPr>
        <w:t>Čl. 7 – Z</w:t>
      </w:r>
      <w:r w:rsidR="008762B8" w:rsidRPr="002C3F04">
        <w:rPr>
          <w:b/>
        </w:rPr>
        <w:t>isky podniků</w:t>
      </w:r>
    </w:p>
    <w:p w:rsidR="000F4217" w:rsidRPr="00495607" w:rsidRDefault="008762B8" w:rsidP="008373EB">
      <w:pPr>
        <w:jc w:val="both"/>
      </w:pPr>
      <w:r w:rsidRPr="00495607">
        <w:t>Podnikem se zde rozumí samostatná jednotka zaměřená na vykonávání jakékoliv činnosti, tzn. včetně vykonávání svobodného povolání a jiných činností nezávislého charakteru, s cílem dosahovat zisky. Podnik může být provozován v různé formě jako podnik fyzické osoby, právnické osoby, ale i ve formě sdružení bez právní subjektivity.</w:t>
      </w:r>
    </w:p>
    <w:p w:rsidR="000F4217" w:rsidRPr="00495607" w:rsidRDefault="008762B8" w:rsidP="008373EB">
      <w:pPr>
        <w:jc w:val="both"/>
      </w:pPr>
      <w:r w:rsidRPr="00495607">
        <w:t>Oba státy se dohodly na zásadě, že zisky podniků budou zdaněny jen ve státě, ve kterém je jeho provozovatel rezidentem, s výjimkou případů, kdy podnik vykonává svoji činnost ve druhé</w:t>
      </w:r>
      <w:r w:rsidR="008373EB">
        <w:t>m</w:t>
      </w:r>
      <w:r w:rsidRPr="00495607">
        <w:t xml:space="preserve"> státě prostřednictvím stálé provozovny.</w:t>
      </w:r>
    </w:p>
    <w:p w:rsidR="000F4217" w:rsidRPr="002C3F04" w:rsidRDefault="002C3F04" w:rsidP="00495607">
      <w:pPr>
        <w:numPr>
          <w:ilvl w:val="0"/>
          <w:numId w:val="1"/>
        </w:numPr>
        <w:rPr>
          <w:b/>
        </w:rPr>
      </w:pPr>
      <w:r w:rsidRPr="002C3F04">
        <w:rPr>
          <w:b/>
        </w:rPr>
        <w:t>Čl. 8 – M</w:t>
      </w:r>
      <w:r w:rsidR="008762B8" w:rsidRPr="002C3F04">
        <w:rPr>
          <w:b/>
        </w:rPr>
        <w:t>ezinárodní doprava</w:t>
      </w:r>
    </w:p>
    <w:p w:rsidR="000F4217" w:rsidRPr="00495607" w:rsidRDefault="008762B8" w:rsidP="008373EB">
      <w:pPr>
        <w:jc w:val="both"/>
      </w:pPr>
      <w:r w:rsidRPr="00495607">
        <w:t>Zdanění příjmů z provozování lodí, člunů, letadel a železničních a silničních vozidel v mezinárodní dopravě představuje určitou výjimku z obecného pravidla, kdy zdanění je vázáno na stálou provozovnu.</w:t>
      </w:r>
      <w:r w:rsidR="002C3F04">
        <w:t xml:space="preserve"> U mezinárodní dopravy je zdanění podle této smlouvy vyhrazeno pouze státu, v němž je umístěno skutečné vedení podniku.</w:t>
      </w:r>
    </w:p>
    <w:p w:rsidR="000F4217" w:rsidRPr="002C3F04" w:rsidRDefault="002C3F04" w:rsidP="00495607">
      <w:pPr>
        <w:numPr>
          <w:ilvl w:val="0"/>
          <w:numId w:val="1"/>
        </w:numPr>
        <w:rPr>
          <w:b/>
        </w:rPr>
      </w:pPr>
      <w:r w:rsidRPr="002C3F04">
        <w:rPr>
          <w:b/>
        </w:rPr>
        <w:t>Čl. 9 – S</w:t>
      </w:r>
      <w:r w:rsidR="008762B8" w:rsidRPr="002C3F04">
        <w:rPr>
          <w:b/>
        </w:rPr>
        <w:t>družené podniky</w:t>
      </w:r>
    </w:p>
    <w:p w:rsidR="000F4217" w:rsidRPr="00495607" w:rsidRDefault="008762B8" w:rsidP="000A4D84">
      <w:pPr>
        <w:jc w:val="both"/>
      </w:pPr>
      <w:r w:rsidRPr="00495607">
        <w:t>Tento článek se vztahuje zejména na zdaňování nadnárodních společností a stanoví princip, na základě kterého jsou tyto spřízněné (sdružené) podniky zdaňovány. Je z</w:t>
      </w:r>
      <w:r w:rsidR="002C3F04">
        <w:t>de</w:t>
      </w:r>
      <w:r w:rsidRPr="00495607">
        <w:t xml:space="preserve"> zakotven tzv. „princip tržního odstupu“, co je mezinárodně uznávaný standard pro stanovení cen pro</w:t>
      </w:r>
      <w:r w:rsidR="002C3F04">
        <w:t xml:space="preserve"> daňové účely za zboží, služby </w:t>
      </w:r>
      <w:r w:rsidRPr="00495607">
        <w:t>nebo nehmotná práva, na němž se shodly členské státy OECD (tzv. převodní ceny).</w:t>
      </w:r>
      <w:r w:rsidR="002C3F04">
        <w:t xml:space="preserve"> Podstatou uvedeného principu je právo zahrnout do zisků sdruženého podniku a následně zdanit i zisky tímto podnikem nevykázané, pokud se při posouzení podmínek obchodních a finančních vztahů mezi sdruženými podniky zjistí, že tyto podmínky se liší od těchto, které by byly stanoveny mezi nezávislými subjekty.</w:t>
      </w:r>
    </w:p>
    <w:p w:rsidR="000F4217" w:rsidRPr="002C3F04" w:rsidRDefault="008762B8" w:rsidP="00495607">
      <w:pPr>
        <w:numPr>
          <w:ilvl w:val="0"/>
          <w:numId w:val="1"/>
        </w:numPr>
        <w:rPr>
          <w:b/>
        </w:rPr>
      </w:pPr>
      <w:r w:rsidRPr="002C3F04">
        <w:rPr>
          <w:b/>
        </w:rPr>
        <w:t xml:space="preserve">Čl. 10 </w:t>
      </w:r>
      <w:r w:rsidR="00495607" w:rsidRPr="002C3F04">
        <w:rPr>
          <w:b/>
        </w:rPr>
        <w:t>–</w:t>
      </w:r>
      <w:r w:rsidR="002C3F04" w:rsidRPr="002C3F04">
        <w:rPr>
          <w:b/>
        </w:rPr>
        <w:t xml:space="preserve"> D</w:t>
      </w:r>
      <w:r w:rsidRPr="002C3F04">
        <w:rPr>
          <w:b/>
        </w:rPr>
        <w:t>ividendy</w:t>
      </w:r>
    </w:p>
    <w:p w:rsidR="000F4217" w:rsidRPr="00495607" w:rsidRDefault="008762B8" w:rsidP="000A4D84">
      <w:pPr>
        <w:jc w:val="both"/>
      </w:pPr>
      <w:r w:rsidRPr="00495607">
        <w:t xml:space="preserve">Jedná se o příjmy z </w:t>
      </w:r>
      <w:proofErr w:type="gramStart"/>
      <w:r w:rsidRPr="00495607">
        <w:t>investovaného</w:t>
      </w:r>
      <w:proofErr w:type="gramEnd"/>
      <w:r w:rsidRPr="00495607">
        <w:t xml:space="preserve"> kapitálů, kdy stát rezidenta má neomezeně právo na zdanění těchto příjmů. Dividendy však podléhají zdanění i ve státě zdroje a sazba, kterou mohou být zatíženy, závisí na výši majetkového podílu na společnosti, jež dividendu vyplácí.</w:t>
      </w:r>
      <w:r w:rsidR="002C3F04">
        <w:t xml:space="preserve"> U příjmů z dividend tak dochází k dělení daňového výnosu mezi oba smluvní státy.</w:t>
      </w:r>
    </w:p>
    <w:p w:rsidR="00495607" w:rsidRPr="00495607" w:rsidRDefault="00495607" w:rsidP="000A4D84"/>
    <w:p w:rsidR="000F4217" w:rsidRPr="000A4D84" w:rsidRDefault="000A4D84" w:rsidP="00495607">
      <w:pPr>
        <w:numPr>
          <w:ilvl w:val="0"/>
          <w:numId w:val="1"/>
        </w:numPr>
        <w:rPr>
          <w:b/>
        </w:rPr>
      </w:pPr>
      <w:r w:rsidRPr="000A4D84">
        <w:rPr>
          <w:b/>
        </w:rPr>
        <w:lastRenderedPageBreak/>
        <w:t>Čl. 11 – Ú</w:t>
      </w:r>
      <w:r w:rsidR="008762B8" w:rsidRPr="000A4D84">
        <w:rPr>
          <w:b/>
        </w:rPr>
        <w:t>roky</w:t>
      </w:r>
    </w:p>
    <w:p w:rsidR="000A4D84" w:rsidRDefault="000A4D84" w:rsidP="000A4D84">
      <w:pPr>
        <w:jc w:val="both"/>
      </w:pPr>
      <w:r>
        <w:t>Za úrok je považován příjem z pohledávek jakéhokoliv druhu, zajištěných i nezajištěných zástavním právem na nemovitosti nebo doložkou o účastni na zisku, přičemž výraz „pohledávky jakéhokoliv druhu“ zahrnuje vklady v hotovosti a záruky v penězích, vládní cenné papíry, obligace a dluhopisy apod. považovány za úroky podle českých právních předpisů.</w:t>
      </w:r>
    </w:p>
    <w:p w:rsidR="007748EA" w:rsidRDefault="007748EA" w:rsidP="000A4D84">
      <w:pPr>
        <w:jc w:val="both"/>
      </w:pPr>
      <w:r>
        <w:t>Úroky jsou od zdanění ve státě zdroje osvobozeny. Státem zdroje úroků je stát, jehož rezidentem je plátce úroků.</w:t>
      </w:r>
    </w:p>
    <w:p w:rsidR="000F4217" w:rsidRPr="007748EA" w:rsidRDefault="000A4D84" w:rsidP="00495607">
      <w:pPr>
        <w:numPr>
          <w:ilvl w:val="0"/>
          <w:numId w:val="1"/>
        </w:numPr>
        <w:rPr>
          <w:b/>
        </w:rPr>
      </w:pPr>
      <w:r w:rsidRPr="007748EA">
        <w:rPr>
          <w:b/>
        </w:rPr>
        <w:t>Čl. 12 – L</w:t>
      </w:r>
      <w:r w:rsidR="008762B8" w:rsidRPr="007748EA">
        <w:rPr>
          <w:b/>
        </w:rPr>
        <w:t>icenční poplatky</w:t>
      </w:r>
    </w:p>
    <w:p w:rsidR="000A4D84" w:rsidRDefault="000A4D84" w:rsidP="007748EA">
      <w:pPr>
        <w:jc w:val="both"/>
      </w:pPr>
      <w:r>
        <w:t>Je zde pojednáno pouze o licenčních poplatcích, které vznikají v jednom smluvním státě a jsou placeny rezidentovi druhého smluvního státu. Uvedený postup se neaplikuje na licenční poplatky, které vznikají ve třetím státě, ani na licenční poplatky, které vznikají v jednom smluvním státě a které se přičítají stále provozovně, již má podnik tohoto státu ve druhém smluvním státě.</w:t>
      </w:r>
    </w:p>
    <w:p w:rsidR="000F4217" w:rsidRPr="007748EA" w:rsidRDefault="000A4D84" w:rsidP="00495607">
      <w:pPr>
        <w:numPr>
          <w:ilvl w:val="0"/>
          <w:numId w:val="1"/>
        </w:numPr>
        <w:rPr>
          <w:b/>
        </w:rPr>
      </w:pPr>
      <w:r w:rsidRPr="007748EA">
        <w:rPr>
          <w:b/>
        </w:rPr>
        <w:t>Čl. 13 – Z</w:t>
      </w:r>
      <w:r w:rsidR="008762B8" w:rsidRPr="007748EA">
        <w:rPr>
          <w:b/>
        </w:rPr>
        <w:t>isky ze zcizení majetku</w:t>
      </w:r>
    </w:p>
    <w:p w:rsidR="000A4D84" w:rsidRPr="00495607" w:rsidRDefault="000A4D84" w:rsidP="007748EA">
      <w:pPr>
        <w:jc w:val="both"/>
      </w:pPr>
      <w:r>
        <w:t>Výraz „zcizení majetku“ zahrnuje jednotlivé kapitálové zisky vyplývající z prodeje nebo směny majetku, z částečného zcizení, vyvlastnění, převodu vkladu do společnosti, prodeje práva, daru i přechodu majetku, které podléhají dani z příjmů. Podle tohoto článku se zdaňují zisky plynoucí ze zcizení majetku patřícího rezidentovi jednoho smluvního státu a umístěného na územní druhého smluvního státu.</w:t>
      </w:r>
    </w:p>
    <w:p w:rsidR="000F4217" w:rsidRPr="001927AE" w:rsidRDefault="000A4D84" w:rsidP="00495607">
      <w:pPr>
        <w:numPr>
          <w:ilvl w:val="0"/>
          <w:numId w:val="1"/>
        </w:numPr>
        <w:rPr>
          <w:b/>
        </w:rPr>
      </w:pPr>
      <w:r w:rsidRPr="001927AE">
        <w:rPr>
          <w:b/>
        </w:rPr>
        <w:t xml:space="preserve">Čl. 14 – </w:t>
      </w:r>
      <w:r w:rsidR="00CE6C08" w:rsidRPr="001927AE">
        <w:rPr>
          <w:b/>
        </w:rPr>
        <w:t>Příjmy ze závislé činnosti</w:t>
      </w:r>
    </w:p>
    <w:p w:rsidR="000A4D84" w:rsidRDefault="00CE6C08" w:rsidP="001927AE">
      <w:pPr>
        <w:jc w:val="both"/>
      </w:pPr>
      <w:r>
        <w:t>Pro zdanění příjmů ze zaměstnání platí obecné pravidlo, že příjem podléhá zdanění ve státě, ve kterém je práce skutečně vykonávána. Při splnění určitých podmínek však může být příjem ze zaměstnání ve státě, kde je práce vykonávána, od daně osvobozen. Podmínky pro to, aby příjmy ze závislé činnosti, které plynou rezidentům Slovenska, byly v ČR osvobozeny od zdanění, jsou následující a musejí být splněny všechny současně.</w:t>
      </w:r>
    </w:p>
    <w:p w:rsidR="000F4217" w:rsidRPr="001927AE" w:rsidRDefault="00CE6C08" w:rsidP="00495607">
      <w:pPr>
        <w:numPr>
          <w:ilvl w:val="0"/>
          <w:numId w:val="1"/>
        </w:numPr>
        <w:rPr>
          <w:b/>
        </w:rPr>
      </w:pPr>
      <w:r w:rsidRPr="001927AE">
        <w:rPr>
          <w:b/>
        </w:rPr>
        <w:t>Čl. 15 – Tantiémy</w:t>
      </w:r>
    </w:p>
    <w:p w:rsidR="00CE6C08" w:rsidRPr="00495607" w:rsidRDefault="00CE6C08" w:rsidP="001927AE">
      <w:pPr>
        <w:jc w:val="both"/>
      </w:pPr>
      <w:r>
        <w:t xml:space="preserve">Zdanění </w:t>
      </w:r>
      <w:proofErr w:type="spellStart"/>
      <w:r>
        <w:t>tantiémů</w:t>
      </w:r>
      <w:proofErr w:type="spellEnd"/>
      <w:r>
        <w:t xml:space="preserve"> plynoucích rezidentům jednoho smluvního státu z titulu výkonu činnosti v dozorčí radě nebo obdobném kolektivním orgánu společnosti, která sídlí ve druhém smluvním státě, podléhají zdanění ve státě, jehož je společnosti, která tantiémy vyplácí, rezidentem. </w:t>
      </w:r>
      <w:r w:rsidR="001927AE">
        <w:t>Akciová společnost se sídlem v ČR, vyplácející odměnu členovi představenstva společnosti, který je rezidentem Slovensku, srazí z uvedeného příjmu daň podle § 36 ZDP.</w:t>
      </w:r>
    </w:p>
    <w:p w:rsidR="000F4217" w:rsidRPr="001927AE" w:rsidRDefault="008762B8" w:rsidP="00495607">
      <w:pPr>
        <w:numPr>
          <w:ilvl w:val="0"/>
          <w:numId w:val="1"/>
        </w:numPr>
        <w:rPr>
          <w:b/>
        </w:rPr>
      </w:pPr>
      <w:r w:rsidRPr="001927AE">
        <w:rPr>
          <w:b/>
        </w:rPr>
        <w:t xml:space="preserve">Čl. 16 – </w:t>
      </w:r>
      <w:r w:rsidR="00CE6C08" w:rsidRPr="001927AE">
        <w:rPr>
          <w:b/>
        </w:rPr>
        <w:t>Umělci a sportovci</w:t>
      </w:r>
    </w:p>
    <w:p w:rsidR="00CE6C08" w:rsidRDefault="00CE6C08" w:rsidP="001927AE">
      <w:pPr>
        <w:jc w:val="both"/>
      </w:pPr>
      <w:r>
        <w:t>Umělci a sportovci, kteří jsou rezidenty jednoho smluvního státu a osobně vykonávají sportovní nebo uměleckou činnost ve druhém smluvním státě, podléhají zdanění v tomto druhém smluvním státě, a to bez ohledu na právní vztah, na základě kterého svou činnost ve druhém smluvním státě vykonávají.</w:t>
      </w:r>
    </w:p>
    <w:p w:rsidR="00CE6C08" w:rsidRDefault="00CE6C08" w:rsidP="001927AE">
      <w:pPr>
        <w:jc w:val="both"/>
      </w:pPr>
      <w:r>
        <w:t>Výrazy „umělec“ a „sportovec“ nejsou ve smlouvě definovány a zahrnují širokou škálu osob.</w:t>
      </w:r>
    </w:p>
    <w:p w:rsidR="000F4217" w:rsidRPr="00AF2A00" w:rsidRDefault="008762B8" w:rsidP="00495607">
      <w:pPr>
        <w:numPr>
          <w:ilvl w:val="0"/>
          <w:numId w:val="1"/>
        </w:numPr>
        <w:rPr>
          <w:b/>
        </w:rPr>
      </w:pPr>
      <w:r w:rsidRPr="00AF2A00">
        <w:rPr>
          <w:b/>
        </w:rPr>
        <w:lastRenderedPageBreak/>
        <w:t xml:space="preserve">Čl. 17 – </w:t>
      </w:r>
      <w:r w:rsidR="00EA192A" w:rsidRPr="00AF2A00">
        <w:rPr>
          <w:b/>
        </w:rPr>
        <w:t>Penze</w:t>
      </w:r>
    </w:p>
    <w:p w:rsidR="00EA192A" w:rsidRPr="00495607" w:rsidRDefault="00EA192A" w:rsidP="00AF2A00">
      <w:pPr>
        <w:jc w:val="both"/>
      </w:pPr>
      <w:r>
        <w:t>Penze a jim podobné platby, které plynou rezidentovi jednoho smluvního státu z důvodu dřívějšího zaměstnání vykonávaného ve druhém smluvním státě, nepodléhají zdanění ve státě jejich zdroje, ale mohou být zdaněny pouze ve státě, kde je jejich příjemce rezidentem. Toto ustanovení zahrnuje také vdovské a sirotčí penze a jiné podobné platy vyplácené jako renty plynoucí z dřívějšího zaměstnání.</w:t>
      </w:r>
    </w:p>
    <w:p w:rsidR="000F4217" w:rsidRPr="00AF2A00" w:rsidRDefault="00026A0B" w:rsidP="00495607">
      <w:pPr>
        <w:numPr>
          <w:ilvl w:val="0"/>
          <w:numId w:val="1"/>
        </w:numPr>
        <w:rPr>
          <w:b/>
        </w:rPr>
      </w:pPr>
      <w:r w:rsidRPr="00AF2A00">
        <w:rPr>
          <w:b/>
        </w:rPr>
        <w:t>Čl. 18 – Státní služba</w:t>
      </w:r>
    </w:p>
    <w:p w:rsidR="00026A0B" w:rsidRPr="00495607" w:rsidRDefault="00026A0B" w:rsidP="00AF2A00">
      <w:pPr>
        <w:jc w:val="both"/>
      </w:pPr>
      <w:r>
        <w:t>Tento článek se aplikuje na odměny (platy a penze) vyplácené v souvislosti s výkonem veřejných funkcí, a to nejen na platby prováděné státem, ale i na platby prováděné jeho nižšími správními útvary a místními úřady (kraje, obce apod.). Obecně platí, že příjem podléhá zdanění ve státě, který tyto odměny vyplácí.</w:t>
      </w:r>
    </w:p>
    <w:p w:rsidR="000F4217" w:rsidRPr="00AF2A00" w:rsidRDefault="008762B8" w:rsidP="00495607">
      <w:pPr>
        <w:numPr>
          <w:ilvl w:val="0"/>
          <w:numId w:val="1"/>
        </w:numPr>
        <w:rPr>
          <w:b/>
        </w:rPr>
      </w:pPr>
      <w:r w:rsidRPr="00AF2A00">
        <w:rPr>
          <w:b/>
        </w:rPr>
        <w:t xml:space="preserve">Čl. 19 – </w:t>
      </w:r>
      <w:r w:rsidR="00026A0B" w:rsidRPr="00AF2A00">
        <w:rPr>
          <w:b/>
        </w:rPr>
        <w:t>Studenti a žáci učilišť</w:t>
      </w:r>
    </w:p>
    <w:p w:rsidR="00026A0B" w:rsidRPr="00495607" w:rsidRDefault="00026A0B" w:rsidP="00AF2A00">
      <w:pPr>
        <w:jc w:val="both"/>
      </w:pPr>
      <w:r>
        <w:t>Pravidlo stanovené v tomto článku se vztahuje na platy, které studenti a učni pobírají na úhradu nákladů na výživu, vzdělání nebo praxi. Jde o různé formy stipendií a prostředků nadací. Všechny tyto platby, které přicházejí ze zdrojů mimo stát, ve kterém student nebo učeň pobývají, jsou ve státě, kde výuka probíhá, osvobozeny od zdanění.</w:t>
      </w:r>
    </w:p>
    <w:p w:rsidR="000F4217" w:rsidRPr="00AF2A00" w:rsidRDefault="008762B8" w:rsidP="00495607">
      <w:pPr>
        <w:numPr>
          <w:ilvl w:val="0"/>
          <w:numId w:val="1"/>
        </w:numPr>
        <w:rPr>
          <w:b/>
        </w:rPr>
      </w:pPr>
      <w:r w:rsidRPr="00AF2A00">
        <w:rPr>
          <w:b/>
        </w:rPr>
        <w:t xml:space="preserve">Čl. 20 </w:t>
      </w:r>
      <w:r w:rsidR="00026A0B" w:rsidRPr="00AF2A00">
        <w:rPr>
          <w:b/>
        </w:rPr>
        <w:t>–</w:t>
      </w:r>
      <w:r w:rsidRPr="00AF2A00">
        <w:rPr>
          <w:b/>
        </w:rPr>
        <w:t xml:space="preserve"> </w:t>
      </w:r>
      <w:r w:rsidR="00026A0B" w:rsidRPr="00AF2A00">
        <w:rPr>
          <w:b/>
        </w:rPr>
        <w:t>Ostatní příjmy</w:t>
      </w:r>
    </w:p>
    <w:p w:rsidR="00026A0B" w:rsidRPr="00495607" w:rsidRDefault="00026A0B" w:rsidP="00AF2A00">
      <w:pPr>
        <w:jc w:val="both"/>
      </w:pPr>
      <w:r>
        <w:t>Obecně platí, že všechny ostatní příjmy s výjimkou těch, které jsou uvedeny v předchozích ustanoveních sml</w:t>
      </w:r>
      <w:r w:rsidR="000D4135">
        <w:t>o</w:t>
      </w:r>
      <w:r>
        <w:t>uvy, podléhají zdanění pouze ve státě, v němž je jejich příjemce rezidentem.</w:t>
      </w:r>
    </w:p>
    <w:p w:rsidR="000F4217" w:rsidRPr="00AF2A00" w:rsidRDefault="008762B8" w:rsidP="00495607">
      <w:pPr>
        <w:numPr>
          <w:ilvl w:val="0"/>
          <w:numId w:val="1"/>
        </w:numPr>
        <w:rPr>
          <w:b/>
        </w:rPr>
      </w:pPr>
      <w:r w:rsidRPr="00AF2A00">
        <w:rPr>
          <w:b/>
        </w:rPr>
        <w:t xml:space="preserve">Čl. 21 – </w:t>
      </w:r>
      <w:r w:rsidR="000D4135" w:rsidRPr="00AF2A00">
        <w:rPr>
          <w:b/>
        </w:rPr>
        <w:t>Majetek</w:t>
      </w:r>
    </w:p>
    <w:p w:rsidR="000D4135" w:rsidRPr="00495607" w:rsidRDefault="000D4135" w:rsidP="00AF2A00">
      <w:pPr>
        <w:jc w:val="both"/>
      </w:pPr>
      <w:r>
        <w:t xml:space="preserve">Tento článek se vztahuje na daně z majetku s výjimkou daně dědické, darovací a z převodu nemovitostí a obecně upravuje právo na vybrání daně u všech druhů majetku uvedeného v tomto článku smlouvy. Podmínkou j, že daň z majetku musí být v daném smluvním státě zavedena. V současné době jej lze aplikovat pouze na nemovitý majetek, který je zatížen daní z nemovitosti. </w:t>
      </w:r>
    </w:p>
    <w:p w:rsidR="000F4217" w:rsidRPr="00AF2A00" w:rsidRDefault="008762B8" w:rsidP="00495607">
      <w:pPr>
        <w:numPr>
          <w:ilvl w:val="0"/>
          <w:numId w:val="1"/>
        </w:numPr>
        <w:rPr>
          <w:b/>
        </w:rPr>
      </w:pPr>
      <w:r w:rsidRPr="00AF2A00">
        <w:rPr>
          <w:b/>
        </w:rPr>
        <w:t xml:space="preserve">Čl. 22 – </w:t>
      </w:r>
      <w:r w:rsidR="000D4135" w:rsidRPr="00AF2A00">
        <w:rPr>
          <w:b/>
        </w:rPr>
        <w:t>Vyloučení dvojího zdanění</w:t>
      </w:r>
    </w:p>
    <w:p w:rsidR="000D4135" w:rsidRDefault="000D4135" w:rsidP="00AF2A00">
      <w:pPr>
        <w:jc w:val="both"/>
      </w:pPr>
      <w:r>
        <w:t>Pro vyloučení dvojího zdanění příjmů nebo majetku se použije metoda prostého zápočtu, což znamená, že stát, ve kterém je daná osoba rezidentem, povolí odečíst od daně z příjmu nebo z majetku svému rezidentovi částku, která se rovná dani zaplacené ve druhém smluvním státě z příjmu pobíraného z tohoto druhého státu nebo z majetku vlastněného v tomto druhém státě. Ne vždy je možné odečíst celou částku daně, neboť uplatnit lze zahraniční daň jen do té výše, v </w:t>
      </w:r>
      <w:r w:rsidR="00F844E2">
        <w:t>ja</w:t>
      </w:r>
      <w:r>
        <w:t>ké se zahraniční příjmy podílely na celkové daňové povinnosti rezidenta.</w:t>
      </w:r>
    </w:p>
    <w:p w:rsidR="00F844E2" w:rsidRDefault="00F844E2" w:rsidP="00AF2A00">
      <w:pPr>
        <w:jc w:val="both"/>
      </w:pPr>
      <w:r>
        <w:t>Tento článek sice určuje metodu vyloučení dvojího zdanění, tzn. metodu prostého zápočtu, neupravuje však podrobně, jak se započtení vypočítá.  Proto pro účely aplikace mezinárodních smluv o zamezení dvojímu zdanění byla zákon (§ 38f odst. 2 ZDP) stanovena pravidla, jak při použití této metody postupovat. Částka zahraniční daně, která má být započtena, musí být skutečně ve druhém smluvním státě zaplacena.</w:t>
      </w:r>
    </w:p>
    <w:p w:rsidR="00AF2A00" w:rsidRPr="00495607" w:rsidRDefault="00AF2A00" w:rsidP="00AF2A00">
      <w:pPr>
        <w:jc w:val="both"/>
      </w:pPr>
    </w:p>
    <w:p w:rsidR="000F4217" w:rsidRPr="00AF2A00" w:rsidRDefault="008762B8" w:rsidP="00495607">
      <w:pPr>
        <w:numPr>
          <w:ilvl w:val="0"/>
          <w:numId w:val="1"/>
        </w:numPr>
        <w:rPr>
          <w:b/>
        </w:rPr>
      </w:pPr>
      <w:r w:rsidRPr="00AF2A00">
        <w:rPr>
          <w:b/>
        </w:rPr>
        <w:lastRenderedPageBreak/>
        <w:t xml:space="preserve">Čl. 23 – </w:t>
      </w:r>
      <w:r w:rsidR="00F844E2" w:rsidRPr="00AF2A00">
        <w:rPr>
          <w:b/>
        </w:rPr>
        <w:t>Zásada rovného nakládání</w:t>
      </w:r>
    </w:p>
    <w:p w:rsidR="00F844E2" w:rsidRPr="00495607" w:rsidRDefault="00F844E2" w:rsidP="00AF2A00">
      <w:pPr>
        <w:jc w:val="both"/>
      </w:pPr>
      <w:r>
        <w:t>Pro účely zdanění je zakázána diskriminace z důvodu státní příslušnosti a za podmínky vzájemnosti nesmí být se státními příslušníky jednoho smluvního státu nakládáno ve druhém smluvním státě méně příznivě.</w:t>
      </w:r>
    </w:p>
    <w:p w:rsidR="000F4217" w:rsidRPr="008C7E9C" w:rsidRDefault="008762B8" w:rsidP="00495607">
      <w:pPr>
        <w:numPr>
          <w:ilvl w:val="0"/>
          <w:numId w:val="1"/>
        </w:numPr>
        <w:rPr>
          <w:b/>
        </w:rPr>
      </w:pPr>
      <w:r w:rsidRPr="008C7E9C">
        <w:rPr>
          <w:b/>
        </w:rPr>
        <w:t xml:space="preserve">Čl. 24 – </w:t>
      </w:r>
      <w:r w:rsidR="00F844E2" w:rsidRPr="008C7E9C">
        <w:rPr>
          <w:b/>
        </w:rPr>
        <w:t>Řešení případů dohodou</w:t>
      </w:r>
    </w:p>
    <w:p w:rsidR="00F844E2" w:rsidRDefault="00F844E2" w:rsidP="00AF2A00">
      <w:pPr>
        <w:jc w:val="both"/>
      </w:pPr>
      <w:r>
        <w:t>Pravidla uvedená v tomto článku jsou určena pro zrušení zdanění v případě, že toto zdanění není v souladu s touto smlouvou. Řízení o vzájemné dohodě je zvláštním řízením, které není upraveno vnitrostátním předpisem a může být zahájeno pouze tehdy, když daň byla uložena nebo má být uložena, aniž by byla respektována ustanovení této smlouvy.</w:t>
      </w:r>
    </w:p>
    <w:p w:rsidR="00F844E2" w:rsidRPr="00495607" w:rsidRDefault="00F844E2" w:rsidP="00F844E2"/>
    <w:p w:rsidR="000F4217" w:rsidRPr="008C7E9C" w:rsidRDefault="008762B8" w:rsidP="00495607">
      <w:pPr>
        <w:numPr>
          <w:ilvl w:val="0"/>
          <w:numId w:val="1"/>
        </w:numPr>
        <w:rPr>
          <w:b/>
        </w:rPr>
      </w:pPr>
      <w:r w:rsidRPr="008C7E9C">
        <w:rPr>
          <w:b/>
        </w:rPr>
        <w:t xml:space="preserve">Čl. 25 – </w:t>
      </w:r>
      <w:r w:rsidR="00F844E2" w:rsidRPr="008C7E9C">
        <w:rPr>
          <w:b/>
        </w:rPr>
        <w:t>Výměna informací</w:t>
      </w:r>
    </w:p>
    <w:p w:rsidR="00F844E2" w:rsidRDefault="00F844E2" w:rsidP="00AF2A00">
      <w:pPr>
        <w:jc w:val="both"/>
      </w:pPr>
      <w:r>
        <w:t>Základním pravidlem upravujícím výměnu informací je to, že příslušné úřady obou smluvních států si mohou vyměňovat veškeré informace, které jsou nutné pro zajištění správné aplikace smlouvy nebo vnitrostátních právních předpisů.</w:t>
      </w:r>
    </w:p>
    <w:p w:rsidR="00F844E2" w:rsidRPr="00495607" w:rsidRDefault="00F844E2" w:rsidP="00F844E2"/>
    <w:p w:rsidR="000F4217" w:rsidRPr="008C7E9C" w:rsidRDefault="008762B8" w:rsidP="00495607">
      <w:pPr>
        <w:numPr>
          <w:ilvl w:val="0"/>
          <w:numId w:val="1"/>
        </w:numPr>
        <w:rPr>
          <w:b/>
        </w:rPr>
      </w:pPr>
      <w:r w:rsidRPr="008C7E9C">
        <w:rPr>
          <w:b/>
        </w:rPr>
        <w:t xml:space="preserve">Čl. 26 – </w:t>
      </w:r>
      <w:r w:rsidR="00AA5E6B" w:rsidRPr="008C7E9C">
        <w:rPr>
          <w:b/>
        </w:rPr>
        <w:t>Členové diplomatických misí a konzulárních úřadů</w:t>
      </w:r>
    </w:p>
    <w:p w:rsidR="00AA5E6B" w:rsidRDefault="00AA5E6B" w:rsidP="00AA5E6B">
      <w:r>
        <w:t>Účelem tohoto ustanovení je dát záruku diplomatickým zástupcům a konzulárním úředníkům, že podle ustanovení této smlouvy budou mít nejméně tak příznivé postavení, jako je postavení, na které mají nárok podle mezinárodního práva a zvláštních mezinárodních dohod.</w:t>
      </w:r>
    </w:p>
    <w:p w:rsidR="00AA5E6B" w:rsidRPr="00495607" w:rsidRDefault="00AA5E6B" w:rsidP="00AA5E6B"/>
    <w:p w:rsidR="000F4217" w:rsidRPr="008C7E9C" w:rsidRDefault="00AA5E6B" w:rsidP="00495607">
      <w:pPr>
        <w:numPr>
          <w:ilvl w:val="0"/>
          <w:numId w:val="1"/>
        </w:numPr>
        <w:rPr>
          <w:b/>
        </w:rPr>
      </w:pPr>
      <w:r w:rsidRPr="008C7E9C">
        <w:rPr>
          <w:b/>
        </w:rPr>
        <w:t>Čl. 27 – Vstup v platnost</w:t>
      </w:r>
    </w:p>
    <w:p w:rsidR="00AA5E6B" w:rsidRPr="00495607" w:rsidRDefault="00AA5E6B" w:rsidP="00AA5E6B">
      <w:r>
        <w:t>Smlouva vstoupila v platnost po jejím schválení parlamenty obou republik výměnou ratifikačních listin dne 14. července 2003. Faktická účinnost nastala dne 1. ledna 2004.</w:t>
      </w:r>
    </w:p>
    <w:p w:rsidR="000F4217" w:rsidRPr="00AA5E6B" w:rsidRDefault="00AA5E6B" w:rsidP="00495607">
      <w:pPr>
        <w:numPr>
          <w:ilvl w:val="0"/>
          <w:numId w:val="1"/>
        </w:numPr>
        <w:rPr>
          <w:b/>
        </w:rPr>
      </w:pPr>
      <w:r w:rsidRPr="00AA5E6B">
        <w:rPr>
          <w:b/>
        </w:rPr>
        <w:t>Čl. 28 – Výpověď</w:t>
      </w:r>
    </w:p>
    <w:p w:rsidR="00AA5E6B" w:rsidRPr="00495607" w:rsidRDefault="00AA5E6B" w:rsidP="00AA5E6B">
      <w:pPr>
        <w:jc w:val="both"/>
      </w:pPr>
      <w:r>
        <w:t>Smlouva zůstává v platnosti, nedojde-li k jejímu vypovězení některým ze smluvních států. Pokud by k jejímu vypovězení došlo, a to ve lhůtě 6 měsíců před koncem kalendářního roku, přestala by se uplatňovat od 1. ledna následujícího roku.</w:t>
      </w:r>
    </w:p>
    <w:p w:rsidR="000F4217" w:rsidRPr="00495607" w:rsidRDefault="000F4217" w:rsidP="00AA5E6B"/>
    <w:p w:rsidR="0058058F" w:rsidRDefault="0058058F">
      <w:bookmarkStart w:id="0" w:name="_GoBack"/>
      <w:bookmarkEnd w:id="0"/>
    </w:p>
    <w:sectPr w:rsidR="0058058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531" w:rsidRDefault="00153531" w:rsidP="00602F6F">
      <w:pPr>
        <w:spacing w:after="0" w:line="240" w:lineRule="auto"/>
      </w:pPr>
      <w:r>
        <w:separator/>
      </w:r>
    </w:p>
  </w:endnote>
  <w:endnote w:type="continuationSeparator" w:id="0">
    <w:p w:rsidR="00153531" w:rsidRDefault="00153531" w:rsidP="0060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531" w:rsidRDefault="00153531" w:rsidP="00602F6F">
      <w:pPr>
        <w:spacing w:after="0" w:line="240" w:lineRule="auto"/>
      </w:pPr>
      <w:r>
        <w:separator/>
      </w:r>
    </w:p>
  </w:footnote>
  <w:footnote w:type="continuationSeparator" w:id="0">
    <w:p w:rsidR="00153531" w:rsidRDefault="00153531" w:rsidP="00602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52321"/>
      <w:docPartObj>
        <w:docPartGallery w:val="Page Numbers (Top of Page)"/>
        <w:docPartUnique/>
      </w:docPartObj>
    </w:sdtPr>
    <w:sdtEndPr/>
    <w:sdtContent>
      <w:p w:rsidR="00602F6F" w:rsidRDefault="00602F6F">
        <w:pPr>
          <w:pStyle w:val="Zhlav"/>
          <w:jc w:val="right"/>
        </w:pPr>
        <w:r>
          <w:fldChar w:fldCharType="begin"/>
        </w:r>
        <w:r>
          <w:instrText>PAGE   \* MERGEFORMAT</w:instrText>
        </w:r>
        <w:r>
          <w:fldChar w:fldCharType="separate"/>
        </w:r>
        <w:r w:rsidR="008C7E9C">
          <w:rPr>
            <w:noProof/>
          </w:rPr>
          <w:t>5</w:t>
        </w:r>
        <w:r>
          <w:fldChar w:fldCharType="end"/>
        </w:r>
      </w:p>
    </w:sdtContent>
  </w:sdt>
  <w:p w:rsidR="00602F6F" w:rsidRDefault="00602F6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8D4"/>
    <w:multiLevelType w:val="hybridMultilevel"/>
    <w:tmpl w:val="8EEEDB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4F476B"/>
    <w:multiLevelType w:val="hybridMultilevel"/>
    <w:tmpl w:val="2FC88A72"/>
    <w:lvl w:ilvl="0" w:tplc="D62273F0">
      <w:start w:val="1"/>
      <w:numFmt w:val="bullet"/>
      <w:lvlText w:val="•"/>
      <w:lvlJc w:val="left"/>
      <w:pPr>
        <w:tabs>
          <w:tab w:val="num" w:pos="720"/>
        </w:tabs>
        <w:ind w:left="720" w:hanging="360"/>
      </w:pPr>
      <w:rPr>
        <w:rFonts w:ascii="Arial" w:hAnsi="Arial" w:hint="default"/>
      </w:rPr>
    </w:lvl>
    <w:lvl w:ilvl="1" w:tplc="36002890" w:tentative="1">
      <w:start w:val="1"/>
      <w:numFmt w:val="bullet"/>
      <w:lvlText w:val="•"/>
      <w:lvlJc w:val="left"/>
      <w:pPr>
        <w:tabs>
          <w:tab w:val="num" w:pos="1440"/>
        </w:tabs>
        <w:ind w:left="1440" w:hanging="360"/>
      </w:pPr>
      <w:rPr>
        <w:rFonts w:ascii="Arial" w:hAnsi="Arial" w:hint="default"/>
      </w:rPr>
    </w:lvl>
    <w:lvl w:ilvl="2" w:tplc="6E82EA1A" w:tentative="1">
      <w:start w:val="1"/>
      <w:numFmt w:val="bullet"/>
      <w:lvlText w:val="•"/>
      <w:lvlJc w:val="left"/>
      <w:pPr>
        <w:tabs>
          <w:tab w:val="num" w:pos="2160"/>
        </w:tabs>
        <w:ind w:left="2160" w:hanging="360"/>
      </w:pPr>
      <w:rPr>
        <w:rFonts w:ascii="Arial" w:hAnsi="Arial" w:hint="default"/>
      </w:rPr>
    </w:lvl>
    <w:lvl w:ilvl="3" w:tplc="7830420A" w:tentative="1">
      <w:start w:val="1"/>
      <w:numFmt w:val="bullet"/>
      <w:lvlText w:val="•"/>
      <w:lvlJc w:val="left"/>
      <w:pPr>
        <w:tabs>
          <w:tab w:val="num" w:pos="2880"/>
        </w:tabs>
        <w:ind w:left="2880" w:hanging="360"/>
      </w:pPr>
      <w:rPr>
        <w:rFonts w:ascii="Arial" w:hAnsi="Arial" w:hint="default"/>
      </w:rPr>
    </w:lvl>
    <w:lvl w:ilvl="4" w:tplc="DF405FF2" w:tentative="1">
      <w:start w:val="1"/>
      <w:numFmt w:val="bullet"/>
      <w:lvlText w:val="•"/>
      <w:lvlJc w:val="left"/>
      <w:pPr>
        <w:tabs>
          <w:tab w:val="num" w:pos="3600"/>
        </w:tabs>
        <w:ind w:left="3600" w:hanging="360"/>
      </w:pPr>
      <w:rPr>
        <w:rFonts w:ascii="Arial" w:hAnsi="Arial" w:hint="default"/>
      </w:rPr>
    </w:lvl>
    <w:lvl w:ilvl="5" w:tplc="23B082AE" w:tentative="1">
      <w:start w:val="1"/>
      <w:numFmt w:val="bullet"/>
      <w:lvlText w:val="•"/>
      <w:lvlJc w:val="left"/>
      <w:pPr>
        <w:tabs>
          <w:tab w:val="num" w:pos="4320"/>
        </w:tabs>
        <w:ind w:left="4320" w:hanging="360"/>
      </w:pPr>
      <w:rPr>
        <w:rFonts w:ascii="Arial" w:hAnsi="Arial" w:hint="default"/>
      </w:rPr>
    </w:lvl>
    <w:lvl w:ilvl="6" w:tplc="CE702A40" w:tentative="1">
      <w:start w:val="1"/>
      <w:numFmt w:val="bullet"/>
      <w:lvlText w:val="•"/>
      <w:lvlJc w:val="left"/>
      <w:pPr>
        <w:tabs>
          <w:tab w:val="num" w:pos="5040"/>
        </w:tabs>
        <w:ind w:left="5040" w:hanging="360"/>
      </w:pPr>
      <w:rPr>
        <w:rFonts w:ascii="Arial" w:hAnsi="Arial" w:hint="default"/>
      </w:rPr>
    </w:lvl>
    <w:lvl w:ilvl="7" w:tplc="3732E354" w:tentative="1">
      <w:start w:val="1"/>
      <w:numFmt w:val="bullet"/>
      <w:lvlText w:val="•"/>
      <w:lvlJc w:val="left"/>
      <w:pPr>
        <w:tabs>
          <w:tab w:val="num" w:pos="5760"/>
        </w:tabs>
        <w:ind w:left="5760" w:hanging="360"/>
      </w:pPr>
      <w:rPr>
        <w:rFonts w:ascii="Arial" w:hAnsi="Arial" w:hint="default"/>
      </w:rPr>
    </w:lvl>
    <w:lvl w:ilvl="8" w:tplc="BF8CED7E" w:tentative="1">
      <w:start w:val="1"/>
      <w:numFmt w:val="bullet"/>
      <w:lvlText w:val="•"/>
      <w:lvlJc w:val="left"/>
      <w:pPr>
        <w:tabs>
          <w:tab w:val="num" w:pos="6480"/>
        </w:tabs>
        <w:ind w:left="6480" w:hanging="360"/>
      </w:pPr>
      <w:rPr>
        <w:rFonts w:ascii="Arial" w:hAnsi="Arial" w:hint="default"/>
      </w:rPr>
    </w:lvl>
  </w:abstractNum>
  <w:abstractNum w:abstractNumId="2">
    <w:nsid w:val="386C4AF7"/>
    <w:multiLevelType w:val="hybridMultilevel"/>
    <w:tmpl w:val="57BC5FE8"/>
    <w:lvl w:ilvl="0" w:tplc="C3D8AB12">
      <w:start w:val="1"/>
      <w:numFmt w:val="bullet"/>
      <w:lvlText w:val="•"/>
      <w:lvlJc w:val="left"/>
      <w:pPr>
        <w:tabs>
          <w:tab w:val="num" w:pos="720"/>
        </w:tabs>
        <w:ind w:left="720" w:hanging="360"/>
      </w:pPr>
      <w:rPr>
        <w:rFonts w:ascii="Arial" w:hAnsi="Arial" w:hint="default"/>
      </w:rPr>
    </w:lvl>
    <w:lvl w:ilvl="1" w:tplc="758AA868" w:tentative="1">
      <w:start w:val="1"/>
      <w:numFmt w:val="bullet"/>
      <w:lvlText w:val="•"/>
      <w:lvlJc w:val="left"/>
      <w:pPr>
        <w:tabs>
          <w:tab w:val="num" w:pos="1440"/>
        </w:tabs>
        <w:ind w:left="1440" w:hanging="360"/>
      </w:pPr>
      <w:rPr>
        <w:rFonts w:ascii="Arial" w:hAnsi="Arial" w:hint="default"/>
      </w:rPr>
    </w:lvl>
    <w:lvl w:ilvl="2" w:tplc="35BE2430" w:tentative="1">
      <w:start w:val="1"/>
      <w:numFmt w:val="bullet"/>
      <w:lvlText w:val="•"/>
      <w:lvlJc w:val="left"/>
      <w:pPr>
        <w:tabs>
          <w:tab w:val="num" w:pos="2160"/>
        </w:tabs>
        <w:ind w:left="2160" w:hanging="360"/>
      </w:pPr>
      <w:rPr>
        <w:rFonts w:ascii="Arial" w:hAnsi="Arial" w:hint="default"/>
      </w:rPr>
    </w:lvl>
    <w:lvl w:ilvl="3" w:tplc="D1C8A326" w:tentative="1">
      <w:start w:val="1"/>
      <w:numFmt w:val="bullet"/>
      <w:lvlText w:val="•"/>
      <w:lvlJc w:val="left"/>
      <w:pPr>
        <w:tabs>
          <w:tab w:val="num" w:pos="2880"/>
        </w:tabs>
        <w:ind w:left="2880" w:hanging="360"/>
      </w:pPr>
      <w:rPr>
        <w:rFonts w:ascii="Arial" w:hAnsi="Arial" w:hint="default"/>
      </w:rPr>
    </w:lvl>
    <w:lvl w:ilvl="4" w:tplc="962EFCFC" w:tentative="1">
      <w:start w:val="1"/>
      <w:numFmt w:val="bullet"/>
      <w:lvlText w:val="•"/>
      <w:lvlJc w:val="left"/>
      <w:pPr>
        <w:tabs>
          <w:tab w:val="num" w:pos="3600"/>
        </w:tabs>
        <w:ind w:left="3600" w:hanging="360"/>
      </w:pPr>
      <w:rPr>
        <w:rFonts w:ascii="Arial" w:hAnsi="Arial" w:hint="default"/>
      </w:rPr>
    </w:lvl>
    <w:lvl w:ilvl="5" w:tplc="FF88C35E" w:tentative="1">
      <w:start w:val="1"/>
      <w:numFmt w:val="bullet"/>
      <w:lvlText w:val="•"/>
      <w:lvlJc w:val="left"/>
      <w:pPr>
        <w:tabs>
          <w:tab w:val="num" w:pos="4320"/>
        </w:tabs>
        <w:ind w:left="4320" w:hanging="360"/>
      </w:pPr>
      <w:rPr>
        <w:rFonts w:ascii="Arial" w:hAnsi="Arial" w:hint="default"/>
      </w:rPr>
    </w:lvl>
    <w:lvl w:ilvl="6" w:tplc="72605726" w:tentative="1">
      <w:start w:val="1"/>
      <w:numFmt w:val="bullet"/>
      <w:lvlText w:val="•"/>
      <w:lvlJc w:val="left"/>
      <w:pPr>
        <w:tabs>
          <w:tab w:val="num" w:pos="5040"/>
        </w:tabs>
        <w:ind w:left="5040" w:hanging="360"/>
      </w:pPr>
      <w:rPr>
        <w:rFonts w:ascii="Arial" w:hAnsi="Arial" w:hint="default"/>
      </w:rPr>
    </w:lvl>
    <w:lvl w:ilvl="7" w:tplc="B0122CE6" w:tentative="1">
      <w:start w:val="1"/>
      <w:numFmt w:val="bullet"/>
      <w:lvlText w:val="•"/>
      <w:lvlJc w:val="left"/>
      <w:pPr>
        <w:tabs>
          <w:tab w:val="num" w:pos="5760"/>
        </w:tabs>
        <w:ind w:left="5760" w:hanging="360"/>
      </w:pPr>
      <w:rPr>
        <w:rFonts w:ascii="Arial" w:hAnsi="Arial" w:hint="default"/>
      </w:rPr>
    </w:lvl>
    <w:lvl w:ilvl="8" w:tplc="BBF2D98A" w:tentative="1">
      <w:start w:val="1"/>
      <w:numFmt w:val="bullet"/>
      <w:lvlText w:val="•"/>
      <w:lvlJc w:val="left"/>
      <w:pPr>
        <w:tabs>
          <w:tab w:val="num" w:pos="6480"/>
        </w:tabs>
        <w:ind w:left="6480" w:hanging="360"/>
      </w:pPr>
      <w:rPr>
        <w:rFonts w:ascii="Arial" w:hAnsi="Arial" w:hint="default"/>
      </w:rPr>
    </w:lvl>
  </w:abstractNum>
  <w:abstractNum w:abstractNumId="3">
    <w:nsid w:val="39DC73E4"/>
    <w:multiLevelType w:val="hybridMultilevel"/>
    <w:tmpl w:val="A2DECABE"/>
    <w:lvl w:ilvl="0" w:tplc="7054B738">
      <w:start w:val="1"/>
      <w:numFmt w:val="bullet"/>
      <w:lvlText w:val="•"/>
      <w:lvlJc w:val="left"/>
      <w:pPr>
        <w:tabs>
          <w:tab w:val="num" w:pos="720"/>
        </w:tabs>
        <w:ind w:left="720" w:hanging="360"/>
      </w:pPr>
      <w:rPr>
        <w:rFonts w:ascii="Arial" w:hAnsi="Arial" w:hint="default"/>
      </w:rPr>
    </w:lvl>
    <w:lvl w:ilvl="1" w:tplc="5D9A6380" w:tentative="1">
      <w:start w:val="1"/>
      <w:numFmt w:val="bullet"/>
      <w:lvlText w:val="•"/>
      <w:lvlJc w:val="left"/>
      <w:pPr>
        <w:tabs>
          <w:tab w:val="num" w:pos="1440"/>
        </w:tabs>
        <w:ind w:left="1440" w:hanging="360"/>
      </w:pPr>
      <w:rPr>
        <w:rFonts w:ascii="Arial" w:hAnsi="Arial" w:hint="default"/>
      </w:rPr>
    </w:lvl>
    <w:lvl w:ilvl="2" w:tplc="9F82D6F0" w:tentative="1">
      <w:start w:val="1"/>
      <w:numFmt w:val="bullet"/>
      <w:lvlText w:val="•"/>
      <w:lvlJc w:val="left"/>
      <w:pPr>
        <w:tabs>
          <w:tab w:val="num" w:pos="2160"/>
        </w:tabs>
        <w:ind w:left="2160" w:hanging="360"/>
      </w:pPr>
      <w:rPr>
        <w:rFonts w:ascii="Arial" w:hAnsi="Arial" w:hint="default"/>
      </w:rPr>
    </w:lvl>
    <w:lvl w:ilvl="3" w:tplc="44EA14B8" w:tentative="1">
      <w:start w:val="1"/>
      <w:numFmt w:val="bullet"/>
      <w:lvlText w:val="•"/>
      <w:lvlJc w:val="left"/>
      <w:pPr>
        <w:tabs>
          <w:tab w:val="num" w:pos="2880"/>
        </w:tabs>
        <w:ind w:left="2880" w:hanging="360"/>
      </w:pPr>
      <w:rPr>
        <w:rFonts w:ascii="Arial" w:hAnsi="Arial" w:hint="default"/>
      </w:rPr>
    </w:lvl>
    <w:lvl w:ilvl="4" w:tplc="2376B27E" w:tentative="1">
      <w:start w:val="1"/>
      <w:numFmt w:val="bullet"/>
      <w:lvlText w:val="•"/>
      <w:lvlJc w:val="left"/>
      <w:pPr>
        <w:tabs>
          <w:tab w:val="num" w:pos="3600"/>
        </w:tabs>
        <w:ind w:left="3600" w:hanging="360"/>
      </w:pPr>
      <w:rPr>
        <w:rFonts w:ascii="Arial" w:hAnsi="Arial" w:hint="default"/>
      </w:rPr>
    </w:lvl>
    <w:lvl w:ilvl="5" w:tplc="2E3E7A2C" w:tentative="1">
      <w:start w:val="1"/>
      <w:numFmt w:val="bullet"/>
      <w:lvlText w:val="•"/>
      <w:lvlJc w:val="left"/>
      <w:pPr>
        <w:tabs>
          <w:tab w:val="num" w:pos="4320"/>
        </w:tabs>
        <w:ind w:left="4320" w:hanging="360"/>
      </w:pPr>
      <w:rPr>
        <w:rFonts w:ascii="Arial" w:hAnsi="Arial" w:hint="default"/>
      </w:rPr>
    </w:lvl>
    <w:lvl w:ilvl="6" w:tplc="7B2A8564" w:tentative="1">
      <w:start w:val="1"/>
      <w:numFmt w:val="bullet"/>
      <w:lvlText w:val="•"/>
      <w:lvlJc w:val="left"/>
      <w:pPr>
        <w:tabs>
          <w:tab w:val="num" w:pos="5040"/>
        </w:tabs>
        <w:ind w:left="5040" w:hanging="360"/>
      </w:pPr>
      <w:rPr>
        <w:rFonts w:ascii="Arial" w:hAnsi="Arial" w:hint="default"/>
      </w:rPr>
    </w:lvl>
    <w:lvl w:ilvl="7" w:tplc="DD4E8470" w:tentative="1">
      <w:start w:val="1"/>
      <w:numFmt w:val="bullet"/>
      <w:lvlText w:val="•"/>
      <w:lvlJc w:val="left"/>
      <w:pPr>
        <w:tabs>
          <w:tab w:val="num" w:pos="5760"/>
        </w:tabs>
        <w:ind w:left="5760" w:hanging="360"/>
      </w:pPr>
      <w:rPr>
        <w:rFonts w:ascii="Arial" w:hAnsi="Arial" w:hint="default"/>
      </w:rPr>
    </w:lvl>
    <w:lvl w:ilvl="8" w:tplc="2A74030C" w:tentative="1">
      <w:start w:val="1"/>
      <w:numFmt w:val="bullet"/>
      <w:lvlText w:val="•"/>
      <w:lvlJc w:val="left"/>
      <w:pPr>
        <w:tabs>
          <w:tab w:val="num" w:pos="6480"/>
        </w:tabs>
        <w:ind w:left="6480" w:hanging="360"/>
      </w:pPr>
      <w:rPr>
        <w:rFonts w:ascii="Arial" w:hAnsi="Arial" w:hint="default"/>
      </w:rPr>
    </w:lvl>
  </w:abstractNum>
  <w:abstractNum w:abstractNumId="4">
    <w:nsid w:val="3ECB307F"/>
    <w:multiLevelType w:val="hybridMultilevel"/>
    <w:tmpl w:val="4476EAA6"/>
    <w:lvl w:ilvl="0" w:tplc="92903ABC">
      <w:start w:val="1"/>
      <w:numFmt w:val="bullet"/>
      <w:lvlText w:val="•"/>
      <w:lvlJc w:val="left"/>
      <w:pPr>
        <w:tabs>
          <w:tab w:val="num" w:pos="720"/>
        </w:tabs>
        <w:ind w:left="720" w:hanging="360"/>
      </w:pPr>
      <w:rPr>
        <w:rFonts w:ascii="Arial" w:hAnsi="Arial" w:hint="default"/>
      </w:rPr>
    </w:lvl>
    <w:lvl w:ilvl="1" w:tplc="C2E67350" w:tentative="1">
      <w:start w:val="1"/>
      <w:numFmt w:val="bullet"/>
      <w:lvlText w:val="•"/>
      <w:lvlJc w:val="left"/>
      <w:pPr>
        <w:tabs>
          <w:tab w:val="num" w:pos="1440"/>
        </w:tabs>
        <w:ind w:left="1440" w:hanging="360"/>
      </w:pPr>
      <w:rPr>
        <w:rFonts w:ascii="Arial" w:hAnsi="Arial" w:hint="default"/>
      </w:rPr>
    </w:lvl>
    <w:lvl w:ilvl="2" w:tplc="58E60130" w:tentative="1">
      <w:start w:val="1"/>
      <w:numFmt w:val="bullet"/>
      <w:lvlText w:val="•"/>
      <w:lvlJc w:val="left"/>
      <w:pPr>
        <w:tabs>
          <w:tab w:val="num" w:pos="2160"/>
        </w:tabs>
        <w:ind w:left="2160" w:hanging="360"/>
      </w:pPr>
      <w:rPr>
        <w:rFonts w:ascii="Arial" w:hAnsi="Arial" w:hint="default"/>
      </w:rPr>
    </w:lvl>
    <w:lvl w:ilvl="3" w:tplc="C546849A" w:tentative="1">
      <w:start w:val="1"/>
      <w:numFmt w:val="bullet"/>
      <w:lvlText w:val="•"/>
      <w:lvlJc w:val="left"/>
      <w:pPr>
        <w:tabs>
          <w:tab w:val="num" w:pos="2880"/>
        </w:tabs>
        <w:ind w:left="2880" w:hanging="360"/>
      </w:pPr>
      <w:rPr>
        <w:rFonts w:ascii="Arial" w:hAnsi="Arial" w:hint="default"/>
      </w:rPr>
    </w:lvl>
    <w:lvl w:ilvl="4" w:tplc="68782518" w:tentative="1">
      <w:start w:val="1"/>
      <w:numFmt w:val="bullet"/>
      <w:lvlText w:val="•"/>
      <w:lvlJc w:val="left"/>
      <w:pPr>
        <w:tabs>
          <w:tab w:val="num" w:pos="3600"/>
        </w:tabs>
        <w:ind w:left="3600" w:hanging="360"/>
      </w:pPr>
      <w:rPr>
        <w:rFonts w:ascii="Arial" w:hAnsi="Arial" w:hint="default"/>
      </w:rPr>
    </w:lvl>
    <w:lvl w:ilvl="5" w:tplc="77F80084" w:tentative="1">
      <w:start w:val="1"/>
      <w:numFmt w:val="bullet"/>
      <w:lvlText w:val="•"/>
      <w:lvlJc w:val="left"/>
      <w:pPr>
        <w:tabs>
          <w:tab w:val="num" w:pos="4320"/>
        </w:tabs>
        <w:ind w:left="4320" w:hanging="360"/>
      </w:pPr>
      <w:rPr>
        <w:rFonts w:ascii="Arial" w:hAnsi="Arial" w:hint="default"/>
      </w:rPr>
    </w:lvl>
    <w:lvl w:ilvl="6" w:tplc="2C7C0176" w:tentative="1">
      <w:start w:val="1"/>
      <w:numFmt w:val="bullet"/>
      <w:lvlText w:val="•"/>
      <w:lvlJc w:val="left"/>
      <w:pPr>
        <w:tabs>
          <w:tab w:val="num" w:pos="5040"/>
        </w:tabs>
        <w:ind w:left="5040" w:hanging="360"/>
      </w:pPr>
      <w:rPr>
        <w:rFonts w:ascii="Arial" w:hAnsi="Arial" w:hint="default"/>
      </w:rPr>
    </w:lvl>
    <w:lvl w:ilvl="7" w:tplc="65549DCC" w:tentative="1">
      <w:start w:val="1"/>
      <w:numFmt w:val="bullet"/>
      <w:lvlText w:val="•"/>
      <w:lvlJc w:val="left"/>
      <w:pPr>
        <w:tabs>
          <w:tab w:val="num" w:pos="5760"/>
        </w:tabs>
        <w:ind w:left="5760" w:hanging="360"/>
      </w:pPr>
      <w:rPr>
        <w:rFonts w:ascii="Arial" w:hAnsi="Arial" w:hint="default"/>
      </w:rPr>
    </w:lvl>
    <w:lvl w:ilvl="8" w:tplc="0FC4145A" w:tentative="1">
      <w:start w:val="1"/>
      <w:numFmt w:val="bullet"/>
      <w:lvlText w:val="•"/>
      <w:lvlJc w:val="left"/>
      <w:pPr>
        <w:tabs>
          <w:tab w:val="num" w:pos="6480"/>
        </w:tabs>
        <w:ind w:left="6480" w:hanging="360"/>
      </w:pPr>
      <w:rPr>
        <w:rFonts w:ascii="Arial" w:hAnsi="Arial" w:hint="default"/>
      </w:rPr>
    </w:lvl>
  </w:abstractNum>
  <w:abstractNum w:abstractNumId="5">
    <w:nsid w:val="3F2A73A3"/>
    <w:multiLevelType w:val="hybridMultilevel"/>
    <w:tmpl w:val="0E647EFE"/>
    <w:lvl w:ilvl="0" w:tplc="42D8DE0E">
      <w:start w:val="1"/>
      <w:numFmt w:val="bullet"/>
      <w:lvlText w:val="•"/>
      <w:lvlJc w:val="left"/>
      <w:pPr>
        <w:tabs>
          <w:tab w:val="num" w:pos="720"/>
        </w:tabs>
        <w:ind w:left="720" w:hanging="360"/>
      </w:pPr>
      <w:rPr>
        <w:rFonts w:ascii="Arial" w:hAnsi="Arial" w:hint="default"/>
      </w:rPr>
    </w:lvl>
    <w:lvl w:ilvl="1" w:tplc="8012B274" w:tentative="1">
      <w:start w:val="1"/>
      <w:numFmt w:val="bullet"/>
      <w:lvlText w:val="•"/>
      <w:lvlJc w:val="left"/>
      <w:pPr>
        <w:tabs>
          <w:tab w:val="num" w:pos="1440"/>
        </w:tabs>
        <w:ind w:left="1440" w:hanging="360"/>
      </w:pPr>
      <w:rPr>
        <w:rFonts w:ascii="Arial" w:hAnsi="Arial" w:hint="default"/>
      </w:rPr>
    </w:lvl>
    <w:lvl w:ilvl="2" w:tplc="A6A0FCDE" w:tentative="1">
      <w:start w:val="1"/>
      <w:numFmt w:val="bullet"/>
      <w:lvlText w:val="•"/>
      <w:lvlJc w:val="left"/>
      <w:pPr>
        <w:tabs>
          <w:tab w:val="num" w:pos="2160"/>
        </w:tabs>
        <w:ind w:left="2160" w:hanging="360"/>
      </w:pPr>
      <w:rPr>
        <w:rFonts w:ascii="Arial" w:hAnsi="Arial" w:hint="default"/>
      </w:rPr>
    </w:lvl>
    <w:lvl w:ilvl="3" w:tplc="7F960DF0" w:tentative="1">
      <w:start w:val="1"/>
      <w:numFmt w:val="bullet"/>
      <w:lvlText w:val="•"/>
      <w:lvlJc w:val="left"/>
      <w:pPr>
        <w:tabs>
          <w:tab w:val="num" w:pos="2880"/>
        </w:tabs>
        <w:ind w:left="2880" w:hanging="360"/>
      </w:pPr>
      <w:rPr>
        <w:rFonts w:ascii="Arial" w:hAnsi="Arial" w:hint="default"/>
      </w:rPr>
    </w:lvl>
    <w:lvl w:ilvl="4" w:tplc="F612BB9C" w:tentative="1">
      <w:start w:val="1"/>
      <w:numFmt w:val="bullet"/>
      <w:lvlText w:val="•"/>
      <w:lvlJc w:val="left"/>
      <w:pPr>
        <w:tabs>
          <w:tab w:val="num" w:pos="3600"/>
        </w:tabs>
        <w:ind w:left="3600" w:hanging="360"/>
      </w:pPr>
      <w:rPr>
        <w:rFonts w:ascii="Arial" w:hAnsi="Arial" w:hint="default"/>
      </w:rPr>
    </w:lvl>
    <w:lvl w:ilvl="5" w:tplc="D9DAF906" w:tentative="1">
      <w:start w:val="1"/>
      <w:numFmt w:val="bullet"/>
      <w:lvlText w:val="•"/>
      <w:lvlJc w:val="left"/>
      <w:pPr>
        <w:tabs>
          <w:tab w:val="num" w:pos="4320"/>
        </w:tabs>
        <w:ind w:left="4320" w:hanging="360"/>
      </w:pPr>
      <w:rPr>
        <w:rFonts w:ascii="Arial" w:hAnsi="Arial" w:hint="default"/>
      </w:rPr>
    </w:lvl>
    <w:lvl w:ilvl="6" w:tplc="ED5800C8" w:tentative="1">
      <w:start w:val="1"/>
      <w:numFmt w:val="bullet"/>
      <w:lvlText w:val="•"/>
      <w:lvlJc w:val="left"/>
      <w:pPr>
        <w:tabs>
          <w:tab w:val="num" w:pos="5040"/>
        </w:tabs>
        <w:ind w:left="5040" w:hanging="360"/>
      </w:pPr>
      <w:rPr>
        <w:rFonts w:ascii="Arial" w:hAnsi="Arial" w:hint="default"/>
      </w:rPr>
    </w:lvl>
    <w:lvl w:ilvl="7" w:tplc="5A36211E" w:tentative="1">
      <w:start w:val="1"/>
      <w:numFmt w:val="bullet"/>
      <w:lvlText w:val="•"/>
      <w:lvlJc w:val="left"/>
      <w:pPr>
        <w:tabs>
          <w:tab w:val="num" w:pos="5760"/>
        </w:tabs>
        <w:ind w:left="5760" w:hanging="360"/>
      </w:pPr>
      <w:rPr>
        <w:rFonts w:ascii="Arial" w:hAnsi="Arial" w:hint="default"/>
      </w:rPr>
    </w:lvl>
    <w:lvl w:ilvl="8" w:tplc="F52ADAD2" w:tentative="1">
      <w:start w:val="1"/>
      <w:numFmt w:val="bullet"/>
      <w:lvlText w:val="•"/>
      <w:lvlJc w:val="left"/>
      <w:pPr>
        <w:tabs>
          <w:tab w:val="num" w:pos="6480"/>
        </w:tabs>
        <w:ind w:left="6480" w:hanging="360"/>
      </w:pPr>
      <w:rPr>
        <w:rFonts w:ascii="Arial" w:hAnsi="Arial" w:hint="default"/>
      </w:rPr>
    </w:lvl>
  </w:abstractNum>
  <w:abstractNum w:abstractNumId="6">
    <w:nsid w:val="41006C68"/>
    <w:multiLevelType w:val="hybridMultilevel"/>
    <w:tmpl w:val="5608D130"/>
    <w:lvl w:ilvl="0" w:tplc="C16E4340">
      <w:start w:val="1"/>
      <w:numFmt w:val="bullet"/>
      <w:lvlText w:val="•"/>
      <w:lvlJc w:val="left"/>
      <w:pPr>
        <w:tabs>
          <w:tab w:val="num" w:pos="720"/>
        </w:tabs>
        <w:ind w:left="720" w:hanging="360"/>
      </w:pPr>
      <w:rPr>
        <w:rFonts w:ascii="Arial" w:hAnsi="Arial" w:hint="default"/>
      </w:rPr>
    </w:lvl>
    <w:lvl w:ilvl="1" w:tplc="5A283EDC" w:tentative="1">
      <w:start w:val="1"/>
      <w:numFmt w:val="bullet"/>
      <w:lvlText w:val="•"/>
      <w:lvlJc w:val="left"/>
      <w:pPr>
        <w:tabs>
          <w:tab w:val="num" w:pos="1440"/>
        </w:tabs>
        <w:ind w:left="1440" w:hanging="360"/>
      </w:pPr>
      <w:rPr>
        <w:rFonts w:ascii="Arial" w:hAnsi="Arial" w:hint="default"/>
      </w:rPr>
    </w:lvl>
    <w:lvl w:ilvl="2" w:tplc="065EA7EC" w:tentative="1">
      <w:start w:val="1"/>
      <w:numFmt w:val="bullet"/>
      <w:lvlText w:val="•"/>
      <w:lvlJc w:val="left"/>
      <w:pPr>
        <w:tabs>
          <w:tab w:val="num" w:pos="2160"/>
        </w:tabs>
        <w:ind w:left="2160" w:hanging="360"/>
      </w:pPr>
      <w:rPr>
        <w:rFonts w:ascii="Arial" w:hAnsi="Arial" w:hint="default"/>
      </w:rPr>
    </w:lvl>
    <w:lvl w:ilvl="3" w:tplc="760C4FDE" w:tentative="1">
      <w:start w:val="1"/>
      <w:numFmt w:val="bullet"/>
      <w:lvlText w:val="•"/>
      <w:lvlJc w:val="left"/>
      <w:pPr>
        <w:tabs>
          <w:tab w:val="num" w:pos="2880"/>
        </w:tabs>
        <w:ind w:left="2880" w:hanging="360"/>
      </w:pPr>
      <w:rPr>
        <w:rFonts w:ascii="Arial" w:hAnsi="Arial" w:hint="default"/>
      </w:rPr>
    </w:lvl>
    <w:lvl w:ilvl="4" w:tplc="513E26DE" w:tentative="1">
      <w:start w:val="1"/>
      <w:numFmt w:val="bullet"/>
      <w:lvlText w:val="•"/>
      <w:lvlJc w:val="left"/>
      <w:pPr>
        <w:tabs>
          <w:tab w:val="num" w:pos="3600"/>
        </w:tabs>
        <w:ind w:left="3600" w:hanging="360"/>
      </w:pPr>
      <w:rPr>
        <w:rFonts w:ascii="Arial" w:hAnsi="Arial" w:hint="default"/>
      </w:rPr>
    </w:lvl>
    <w:lvl w:ilvl="5" w:tplc="8C227F2C" w:tentative="1">
      <w:start w:val="1"/>
      <w:numFmt w:val="bullet"/>
      <w:lvlText w:val="•"/>
      <w:lvlJc w:val="left"/>
      <w:pPr>
        <w:tabs>
          <w:tab w:val="num" w:pos="4320"/>
        </w:tabs>
        <w:ind w:left="4320" w:hanging="360"/>
      </w:pPr>
      <w:rPr>
        <w:rFonts w:ascii="Arial" w:hAnsi="Arial" w:hint="default"/>
      </w:rPr>
    </w:lvl>
    <w:lvl w:ilvl="6" w:tplc="174036A0" w:tentative="1">
      <w:start w:val="1"/>
      <w:numFmt w:val="bullet"/>
      <w:lvlText w:val="•"/>
      <w:lvlJc w:val="left"/>
      <w:pPr>
        <w:tabs>
          <w:tab w:val="num" w:pos="5040"/>
        </w:tabs>
        <w:ind w:left="5040" w:hanging="360"/>
      </w:pPr>
      <w:rPr>
        <w:rFonts w:ascii="Arial" w:hAnsi="Arial" w:hint="default"/>
      </w:rPr>
    </w:lvl>
    <w:lvl w:ilvl="7" w:tplc="1F22A680" w:tentative="1">
      <w:start w:val="1"/>
      <w:numFmt w:val="bullet"/>
      <w:lvlText w:val="•"/>
      <w:lvlJc w:val="left"/>
      <w:pPr>
        <w:tabs>
          <w:tab w:val="num" w:pos="5760"/>
        </w:tabs>
        <w:ind w:left="5760" w:hanging="360"/>
      </w:pPr>
      <w:rPr>
        <w:rFonts w:ascii="Arial" w:hAnsi="Arial" w:hint="default"/>
      </w:rPr>
    </w:lvl>
    <w:lvl w:ilvl="8" w:tplc="EABE08DA" w:tentative="1">
      <w:start w:val="1"/>
      <w:numFmt w:val="bullet"/>
      <w:lvlText w:val="•"/>
      <w:lvlJc w:val="left"/>
      <w:pPr>
        <w:tabs>
          <w:tab w:val="num" w:pos="6480"/>
        </w:tabs>
        <w:ind w:left="6480" w:hanging="360"/>
      </w:pPr>
      <w:rPr>
        <w:rFonts w:ascii="Arial" w:hAnsi="Arial" w:hint="default"/>
      </w:rPr>
    </w:lvl>
  </w:abstractNum>
  <w:abstractNum w:abstractNumId="7">
    <w:nsid w:val="44EF4F94"/>
    <w:multiLevelType w:val="hybridMultilevel"/>
    <w:tmpl w:val="30FCBD7C"/>
    <w:lvl w:ilvl="0" w:tplc="BCA831A0">
      <w:start w:val="1"/>
      <w:numFmt w:val="bullet"/>
      <w:lvlText w:val="•"/>
      <w:lvlJc w:val="left"/>
      <w:pPr>
        <w:tabs>
          <w:tab w:val="num" w:pos="720"/>
        </w:tabs>
        <w:ind w:left="720" w:hanging="360"/>
      </w:pPr>
      <w:rPr>
        <w:rFonts w:ascii="Arial" w:hAnsi="Arial" w:hint="default"/>
      </w:rPr>
    </w:lvl>
    <w:lvl w:ilvl="1" w:tplc="0DB63A60" w:tentative="1">
      <w:start w:val="1"/>
      <w:numFmt w:val="bullet"/>
      <w:lvlText w:val="•"/>
      <w:lvlJc w:val="left"/>
      <w:pPr>
        <w:tabs>
          <w:tab w:val="num" w:pos="1440"/>
        </w:tabs>
        <w:ind w:left="1440" w:hanging="360"/>
      </w:pPr>
      <w:rPr>
        <w:rFonts w:ascii="Arial" w:hAnsi="Arial" w:hint="default"/>
      </w:rPr>
    </w:lvl>
    <w:lvl w:ilvl="2" w:tplc="EFC2A468" w:tentative="1">
      <w:start w:val="1"/>
      <w:numFmt w:val="bullet"/>
      <w:lvlText w:val="•"/>
      <w:lvlJc w:val="left"/>
      <w:pPr>
        <w:tabs>
          <w:tab w:val="num" w:pos="2160"/>
        </w:tabs>
        <w:ind w:left="2160" w:hanging="360"/>
      </w:pPr>
      <w:rPr>
        <w:rFonts w:ascii="Arial" w:hAnsi="Arial" w:hint="default"/>
      </w:rPr>
    </w:lvl>
    <w:lvl w:ilvl="3" w:tplc="A2C83ABE" w:tentative="1">
      <w:start w:val="1"/>
      <w:numFmt w:val="bullet"/>
      <w:lvlText w:val="•"/>
      <w:lvlJc w:val="left"/>
      <w:pPr>
        <w:tabs>
          <w:tab w:val="num" w:pos="2880"/>
        </w:tabs>
        <w:ind w:left="2880" w:hanging="360"/>
      </w:pPr>
      <w:rPr>
        <w:rFonts w:ascii="Arial" w:hAnsi="Arial" w:hint="default"/>
      </w:rPr>
    </w:lvl>
    <w:lvl w:ilvl="4" w:tplc="D7684C08" w:tentative="1">
      <w:start w:val="1"/>
      <w:numFmt w:val="bullet"/>
      <w:lvlText w:val="•"/>
      <w:lvlJc w:val="left"/>
      <w:pPr>
        <w:tabs>
          <w:tab w:val="num" w:pos="3600"/>
        </w:tabs>
        <w:ind w:left="3600" w:hanging="360"/>
      </w:pPr>
      <w:rPr>
        <w:rFonts w:ascii="Arial" w:hAnsi="Arial" w:hint="default"/>
      </w:rPr>
    </w:lvl>
    <w:lvl w:ilvl="5" w:tplc="5576234E" w:tentative="1">
      <w:start w:val="1"/>
      <w:numFmt w:val="bullet"/>
      <w:lvlText w:val="•"/>
      <w:lvlJc w:val="left"/>
      <w:pPr>
        <w:tabs>
          <w:tab w:val="num" w:pos="4320"/>
        </w:tabs>
        <w:ind w:left="4320" w:hanging="360"/>
      </w:pPr>
      <w:rPr>
        <w:rFonts w:ascii="Arial" w:hAnsi="Arial" w:hint="default"/>
      </w:rPr>
    </w:lvl>
    <w:lvl w:ilvl="6" w:tplc="ADCE599C" w:tentative="1">
      <w:start w:val="1"/>
      <w:numFmt w:val="bullet"/>
      <w:lvlText w:val="•"/>
      <w:lvlJc w:val="left"/>
      <w:pPr>
        <w:tabs>
          <w:tab w:val="num" w:pos="5040"/>
        </w:tabs>
        <w:ind w:left="5040" w:hanging="360"/>
      </w:pPr>
      <w:rPr>
        <w:rFonts w:ascii="Arial" w:hAnsi="Arial" w:hint="default"/>
      </w:rPr>
    </w:lvl>
    <w:lvl w:ilvl="7" w:tplc="36FE1494" w:tentative="1">
      <w:start w:val="1"/>
      <w:numFmt w:val="bullet"/>
      <w:lvlText w:val="•"/>
      <w:lvlJc w:val="left"/>
      <w:pPr>
        <w:tabs>
          <w:tab w:val="num" w:pos="5760"/>
        </w:tabs>
        <w:ind w:left="5760" w:hanging="360"/>
      </w:pPr>
      <w:rPr>
        <w:rFonts w:ascii="Arial" w:hAnsi="Arial" w:hint="default"/>
      </w:rPr>
    </w:lvl>
    <w:lvl w:ilvl="8" w:tplc="B308C40C" w:tentative="1">
      <w:start w:val="1"/>
      <w:numFmt w:val="bullet"/>
      <w:lvlText w:val="•"/>
      <w:lvlJc w:val="left"/>
      <w:pPr>
        <w:tabs>
          <w:tab w:val="num" w:pos="6480"/>
        </w:tabs>
        <w:ind w:left="6480" w:hanging="360"/>
      </w:pPr>
      <w:rPr>
        <w:rFonts w:ascii="Arial" w:hAnsi="Arial" w:hint="default"/>
      </w:rPr>
    </w:lvl>
  </w:abstractNum>
  <w:abstractNum w:abstractNumId="8">
    <w:nsid w:val="54FE635C"/>
    <w:multiLevelType w:val="hybridMultilevel"/>
    <w:tmpl w:val="0526CBB2"/>
    <w:lvl w:ilvl="0" w:tplc="1314296A">
      <w:start w:val="1"/>
      <w:numFmt w:val="bullet"/>
      <w:lvlText w:val="•"/>
      <w:lvlJc w:val="left"/>
      <w:pPr>
        <w:tabs>
          <w:tab w:val="num" w:pos="720"/>
        </w:tabs>
        <w:ind w:left="720" w:hanging="360"/>
      </w:pPr>
      <w:rPr>
        <w:rFonts w:ascii="Arial" w:hAnsi="Arial" w:hint="default"/>
      </w:rPr>
    </w:lvl>
    <w:lvl w:ilvl="1" w:tplc="3CC22A10" w:tentative="1">
      <w:start w:val="1"/>
      <w:numFmt w:val="bullet"/>
      <w:lvlText w:val="•"/>
      <w:lvlJc w:val="left"/>
      <w:pPr>
        <w:tabs>
          <w:tab w:val="num" w:pos="1440"/>
        </w:tabs>
        <w:ind w:left="1440" w:hanging="360"/>
      </w:pPr>
      <w:rPr>
        <w:rFonts w:ascii="Arial" w:hAnsi="Arial" w:hint="default"/>
      </w:rPr>
    </w:lvl>
    <w:lvl w:ilvl="2" w:tplc="2D44ED1C" w:tentative="1">
      <w:start w:val="1"/>
      <w:numFmt w:val="bullet"/>
      <w:lvlText w:val="•"/>
      <w:lvlJc w:val="left"/>
      <w:pPr>
        <w:tabs>
          <w:tab w:val="num" w:pos="2160"/>
        </w:tabs>
        <w:ind w:left="2160" w:hanging="360"/>
      </w:pPr>
      <w:rPr>
        <w:rFonts w:ascii="Arial" w:hAnsi="Arial" w:hint="default"/>
      </w:rPr>
    </w:lvl>
    <w:lvl w:ilvl="3" w:tplc="F6F604A6" w:tentative="1">
      <w:start w:val="1"/>
      <w:numFmt w:val="bullet"/>
      <w:lvlText w:val="•"/>
      <w:lvlJc w:val="left"/>
      <w:pPr>
        <w:tabs>
          <w:tab w:val="num" w:pos="2880"/>
        </w:tabs>
        <w:ind w:left="2880" w:hanging="360"/>
      </w:pPr>
      <w:rPr>
        <w:rFonts w:ascii="Arial" w:hAnsi="Arial" w:hint="default"/>
      </w:rPr>
    </w:lvl>
    <w:lvl w:ilvl="4" w:tplc="B360F966" w:tentative="1">
      <w:start w:val="1"/>
      <w:numFmt w:val="bullet"/>
      <w:lvlText w:val="•"/>
      <w:lvlJc w:val="left"/>
      <w:pPr>
        <w:tabs>
          <w:tab w:val="num" w:pos="3600"/>
        </w:tabs>
        <w:ind w:left="3600" w:hanging="360"/>
      </w:pPr>
      <w:rPr>
        <w:rFonts w:ascii="Arial" w:hAnsi="Arial" w:hint="default"/>
      </w:rPr>
    </w:lvl>
    <w:lvl w:ilvl="5" w:tplc="65D4FAFE" w:tentative="1">
      <w:start w:val="1"/>
      <w:numFmt w:val="bullet"/>
      <w:lvlText w:val="•"/>
      <w:lvlJc w:val="left"/>
      <w:pPr>
        <w:tabs>
          <w:tab w:val="num" w:pos="4320"/>
        </w:tabs>
        <w:ind w:left="4320" w:hanging="360"/>
      </w:pPr>
      <w:rPr>
        <w:rFonts w:ascii="Arial" w:hAnsi="Arial" w:hint="default"/>
      </w:rPr>
    </w:lvl>
    <w:lvl w:ilvl="6" w:tplc="63AE7B64" w:tentative="1">
      <w:start w:val="1"/>
      <w:numFmt w:val="bullet"/>
      <w:lvlText w:val="•"/>
      <w:lvlJc w:val="left"/>
      <w:pPr>
        <w:tabs>
          <w:tab w:val="num" w:pos="5040"/>
        </w:tabs>
        <w:ind w:left="5040" w:hanging="360"/>
      </w:pPr>
      <w:rPr>
        <w:rFonts w:ascii="Arial" w:hAnsi="Arial" w:hint="default"/>
      </w:rPr>
    </w:lvl>
    <w:lvl w:ilvl="7" w:tplc="0AE6859C" w:tentative="1">
      <w:start w:val="1"/>
      <w:numFmt w:val="bullet"/>
      <w:lvlText w:val="•"/>
      <w:lvlJc w:val="left"/>
      <w:pPr>
        <w:tabs>
          <w:tab w:val="num" w:pos="5760"/>
        </w:tabs>
        <w:ind w:left="5760" w:hanging="360"/>
      </w:pPr>
      <w:rPr>
        <w:rFonts w:ascii="Arial" w:hAnsi="Arial" w:hint="default"/>
      </w:rPr>
    </w:lvl>
    <w:lvl w:ilvl="8" w:tplc="5650C994" w:tentative="1">
      <w:start w:val="1"/>
      <w:numFmt w:val="bullet"/>
      <w:lvlText w:val="•"/>
      <w:lvlJc w:val="left"/>
      <w:pPr>
        <w:tabs>
          <w:tab w:val="num" w:pos="6480"/>
        </w:tabs>
        <w:ind w:left="6480" w:hanging="360"/>
      </w:pPr>
      <w:rPr>
        <w:rFonts w:ascii="Arial" w:hAnsi="Arial" w:hint="default"/>
      </w:rPr>
    </w:lvl>
  </w:abstractNum>
  <w:abstractNum w:abstractNumId="9">
    <w:nsid w:val="670A2C77"/>
    <w:multiLevelType w:val="hybridMultilevel"/>
    <w:tmpl w:val="07EE9136"/>
    <w:lvl w:ilvl="0" w:tplc="3892BDC4">
      <w:start w:val="1"/>
      <w:numFmt w:val="bullet"/>
      <w:lvlText w:val="•"/>
      <w:lvlJc w:val="left"/>
      <w:pPr>
        <w:tabs>
          <w:tab w:val="num" w:pos="720"/>
        </w:tabs>
        <w:ind w:left="720" w:hanging="360"/>
      </w:pPr>
      <w:rPr>
        <w:rFonts w:ascii="Arial" w:hAnsi="Arial" w:hint="default"/>
      </w:rPr>
    </w:lvl>
    <w:lvl w:ilvl="1" w:tplc="BC0CC0F0" w:tentative="1">
      <w:start w:val="1"/>
      <w:numFmt w:val="bullet"/>
      <w:lvlText w:val="•"/>
      <w:lvlJc w:val="left"/>
      <w:pPr>
        <w:tabs>
          <w:tab w:val="num" w:pos="1440"/>
        </w:tabs>
        <w:ind w:left="1440" w:hanging="360"/>
      </w:pPr>
      <w:rPr>
        <w:rFonts w:ascii="Arial" w:hAnsi="Arial" w:hint="default"/>
      </w:rPr>
    </w:lvl>
    <w:lvl w:ilvl="2" w:tplc="58263258" w:tentative="1">
      <w:start w:val="1"/>
      <w:numFmt w:val="bullet"/>
      <w:lvlText w:val="•"/>
      <w:lvlJc w:val="left"/>
      <w:pPr>
        <w:tabs>
          <w:tab w:val="num" w:pos="2160"/>
        </w:tabs>
        <w:ind w:left="2160" w:hanging="360"/>
      </w:pPr>
      <w:rPr>
        <w:rFonts w:ascii="Arial" w:hAnsi="Arial" w:hint="default"/>
      </w:rPr>
    </w:lvl>
    <w:lvl w:ilvl="3" w:tplc="BDAACCAA" w:tentative="1">
      <w:start w:val="1"/>
      <w:numFmt w:val="bullet"/>
      <w:lvlText w:val="•"/>
      <w:lvlJc w:val="left"/>
      <w:pPr>
        <w:tabs>
          <w:tab w:val="num" w:pos="2880"/>
        </w:tabs>
        <w:ind w:left="2880" w:hanging="360"/>
      </w:pPr>
      <w:rPr>
        <w:rFonts w:ascii="Arial" w:hAnsi="Arial" w:hint="default"/>
      </w:rPr>
    </w:lvl>
    <w:lvl w:ilvl="4" w:tplc="0D00F64C" w:tentative="1">
      <w:start w:val="1"/>
      <w:numFmt w:val="bullet"/>
      <w:lvlText w:val="•"/>
      <w:lvlJc w:val="left"/>
      <w:pPr>
        <w:tabs>
          <w:tab w:val="num" w:pos="3600"/>
        </w:tabs>
        <w:ind w:left="3600" w:hanging="360"/>
      </w:pPr>
      <w:rPr>
        <w:rFonts w:ascii="Arial" w:hAnsi="Arial" w:hint="default"/>
      </w:rPr>
    </w:lvl>
    <w:lvl w:ilvl="5" w:tplc="729A1A34" w:tentative="1">
      <w:start w:val="1"/>
      <w:numFmt w:val="bullet"/>
      <w:lvlText w:val="•"/>
      <w:lvlJc w:val="left"/>
      <w:pPr>
        <w:tabs>
          <w:tab w:val="num" w:pos="4320"/>
        </w:tabs>
        <w:ind w:left="4320" w:hanging="360"/>
      </w:pPr>
      <w:rPr>
        <w:rFonts w:ascii="Arial" w:hAnsi="Arial" w:hint="default"/>
      </w:rPr>
    </w:lvl>
    <w:lvl w:ilvl="6" w:tplc="A5869108" w:tentative="1">
      <w:start w:val="1"/>
      <w:numFmt w:val="bullet"/>
      <w:lvlText w:val="•"/>
      <w:lvlJc w:val="left"/>
      <w:pPr>
        <w:tabs>
          <w:tab w:val="num" w:pos="5040"/>
        </w:tabs>
        <w:ind w:left="5040" w:hanging="360"/>
      </w:pPr>
      <w:rPr>
        <w:rFonts w:ascii="Arial" w:hAnsi="Arial" w:hint="default"/>
      </w:rPr>
    </w:lvl>
    <w:lvl w:ilvl="7" w:tplc="7C38E02E" w:tentative="1">
      <w:start w:val="1"/>
      <w:numFmt w:val="bullet"/>
      <w:lvlText w:val="•"/>
      <w:lvlJc w:val="left"/>
      <w:pPr>
        <w:tabs>
          <w:tab w:val="num" w:pos="5760"/>
        </w:tabs>
        <w:ind w:left="5760" w:hanging="360"/>
      </w:pPr>
      <w:rPr>
        <w:rFonts w:ascii="Arial" w:hAnsi="Arial" w:hint="default"/>
      </w:rPr>
    </w:lvl>
    <w:lvl w:ilvl="8" w:tplc="DA1C1610" w:tentative="1">
      <w:start w:val="1"/>
      <w:numFmt w:val="bullet"/>
      <w:lvlText w:val="•"/>
      <w:lvlJc w:val="left"/>
      <w:pPr>
        <w:tabs>
          <w:tab w:val="num" w:pos="6480"/>
        </w:tabs>
        <w:ind w:left="6480" w:hanging="360"/>
      </w:pPr>
      <w:rPr>
        <w:rFonts w:ascii="Arial" w:hAnsi="Arial" w:hint="default"/>
      </w:rPr>
    </w:lvl>
  </w:abstractNum>
  <w:abstractNum w:abstractNumId="10">
    <w:nsid w:val="6C8212CD"/>
    <w:multiLevelType w:val="hybridMultilevel"/>
    <w:tmpl w:val="E6783DF0"/>
    <w:lvl w:ilvl="0" w:tplc="B1A6C90A">
      <w:start w:val="1"/>
      <w:numFmt w:val="bullet"/>
      <w:lvlText w:val="•"/>
      <w:lvlJc w:val="left"/>
      <w:pPr>
        <w:tabs>
          <w:tab w:val="num" w:pos="720"/>
        </w:tabs>
        <w:ind w:left="720" w:hanging="360"/>
      </w:pPr>
      <w:rPr>
        <w:rFonts w:ascii="Arial" w:hAnsi="Arial" w:hint="default"/>
      </w:rPr>
    </w:lvl>
    <w:lvl w:ilvl="1" w:tplc="30AA7528" w:tentative="1">
      <w:start w:val="1"/>
      <w:numFmt w:val="bullet"/>
      <w:lvlText w:val="•"/>
      <w:lvlJc w:val="left"/>
      <w:pPr>
        <w:tabs>
          <w:tab w:val="num" w:pos="1440"/>
        </w:tabs>
        <w:ind w:left="1440" w:hanging="360"/>
      </w:pPr>
      <w:rPr>
        <w:rFonts w:ascii="Arial" w:hAnsi="Arial" w:hint="default"/>
      </w:rPr>
    </w:lvl>
    <w:lvl w:ilvl="2" w:tplc="DF6A98BC" w:tentative="1">
      <w:start w:val="1"/>
      <w:numFmt w:val="bullet"/>
      <w:lvlText w:val="•"/>
      <w:lvlJc w:val="left"/>
      <w:pPr>
        <w:tabs>
          <w:tab w:val="num" w:pos="2160"/>
        </w:tabs>
        <w:ind w:left="2160" w:hanging="360"/>
      </w:pPr>
      <w:rPr>
        <w:rFonts w:ascii="Arial" w:hAnsi="Arial" w:hint="default"/>
      </w:rPr>
    </w:lvl>
    <w:lvl w:ilvl="3" w:tplc="CE308CBC" w:tentative="1">
      <w:start w:val="1"/>
      <w:numFmt w:val="bullet"/>
      <w:lvlText w:val="•"/>
      <w:lvlJc w:val="left"/>
      <w:pPr>
        <w:tabs>
          <w:tab w:val="num" w:pos="2880"/>
        </w:tabs>
        <w:ind w:left="2880" w:hanging="360"/>
      </w:pPr>
      <w:rPr>
        <w:rFonts w:ascii="Arial" w:hAnsi="Arial" w:hint="default"/>
      </w:rPr>
    </w:lvl>
    <w:lvl w:ilvl="4" w:tplc="9B185670" w:tentative="1">
      <w:start w:val="1"/>
      <w:numFmt w:val="bullet"/>
      <w:lvlText w:val="•"/>
      <w:lvlJc w:val="left"/>
      <w:pPr>
        <w:tabs>
          <w:tab w:val="num" w:pos="3600"/>
        </w:tabs>
        <w:ind w:left="3600" w:hanging="360"/>
      </w:pPr>
      <w:rPr>
        <w:rFonts w:ascii="Arial" w:hAnsi="Arial" w:hint="default"/>
      </w:rPr>
    </w:lvl>
    <w:lvl w:ilvl="5" w:tplc="9560F034" w:tentative="1">
      <w:start w:val="1"/>
      <w:numFmt w:val="bullet"/>
      <w:lvlText w:val="•"/>
      <w:lvlJc w:val="left"/>
      <w:pPr>
        <w:tabs>
          <w:tab w:val="num" w:pos="4320"/>
        </w:tabs>
        <w:ind w:left="4320" w:hanging="360"/>
      </w:pPr>
      <w:rPr>
        <w:rFonts w:ascii="Arial" w:hAnsi="Arial" w:hint="default"/>
      </w:rPr>
    </w:lvl>
    <w:lvl w:ilvl="6" w:tplc="BD88AF30" w:tentative="1">
      <w:start w:val="1"/>
      <w:numFmt w:val="bullet"/>
      <w:lvlText w:val="•"/>
      <w:lvlJc w:val="left"/>
      <w:pPr>
        <w:tabs>
          <w:tab w:val="num" w:pos="5040"/>
        </w:tabs>
        <w:ind w:left="5040" w:hanging="360"/>
      </w:pPr>
      <w:rPr>
        <w:rFonts w:ascii="Arial" w:hAnsi="Arial" w:hint="default"/>
      </w:rPr>
    </w:lvl>
    <w:lvl w:ilvl="7" w:tplc="69485AA6" w:tentative="1">
      <w:start w:val="1"/>
      <w:numFmt w:val="bullet"/>
      <w:lvlText w:val="•"/>
      <w:lvlJc w:val="left"/>
      <w:pPr>
        <w:tabs>
          <w:tab w:val="num" w:pos="5760"/>
        </w:tabs>
        <w:ind w:left="5760" w:hanging="360"/>
      </w:pPr>
      <w:rPr>
        <w:rFonts w:ascii="Arial" w:hAnsi="Arial" w:hint="default"/>
      </w:rPr>
    </w:lvl>
    <w:lvl w:ilvl="8" w:tplc="06065F5A" w:tentative="1">
      <w:start w:val="1"/>
      <w:numFmt w:val="bullet"/>
      <w:lvlText w:val="•"/>
      <w:lvlJc w:val="left"/>
      <w:pPr>
        <w:tabs>
          <w:tab w:val="num" w:pos="6480"/>
        </w:tabs>
        <w:ind w:left="6480" w:hanging="360"/>
      </w:pPr>
      <w:rPr>
        <w:rFonts w:ascii="Arial" w:hAnsi="Arial" w:hint="default"/>
      </w:rPr>
    </w:lvl>
  </w:abstractNum>
  <w:abstractNum w:abstractNumId="11">
    <w:nsid w:val="7285163F"/>
    <w:multiLevelType w:val="hybridMultilevel"/>
    <w:tmpl w:val="21889F88"/>
    <w:lvl w:ilvl="0" w:tplc="ACFA62B4">
      <w:start w:val="1"/>
      <w:numFmt w:val="bullet"/>
      <w:lvlText w:val="•"/>
      <w:lvlJc w:val="left"/>
      <w:pPr>
        <w:tabs>
          <w:tab w:val="num" w:pos="720"/>
        </w:tabs>
        <w:ind w:left="720" w:hanging="360"/>
      </w:pPr>
      <w:rPr>
        <w:rFonts w:ascii="Arial" w:hAnsi="Arial" w:hint="default"/>
      </w:rPr>
    </w:lvl>
    <w:lvl w:ilvl="1" w:tplc="260CDF5E" w:tentative="1">
      <w:start w:val="1"/>
      <w:numFmt w:val="bullet"/>
      <w:lvlText w:val="•"/>
      <w:lvlJc w:val="left"/>
      <w:pPr>
        <w:tabs>
          <w:tab w:val="num" w:pos="1440"/>
        </w:tabs>
        <w:ind w:left="1440" w:hanging="360"/>
      </w:pPr>
      <w:rPr>
        <w:rFonts w:ascii="Arial" w:hAnsi="Arial" w:hint="default"/>
      </w:rPr>
    </w:lvl>
    <w:lvl w:ilvl="2" w:tplc="CEAAF2FA" w:tentative="1">
      <w:start w:val="1"/>
      <w:numFmt w:val="bullet"/>
      <w:lvlText w:val="•"/>
      <w:lvlJc w:val="left"/>
      <w:pPr>
        <w:tabs>
          <w:tab w:val="num" w:pos="2160"/>
        </w:tabs>
        <w:ind w:left="2160" w:hanging="360"/>
      </w:pPr>
      <w:rPr>
        <w:rFonts w:ascii="Arial" w:hAnsi="Arial" w:hint="default"/>
      </w:rPr>
    </w:lvl>
    <w:lvl w:ilvl="3" w:tplc="28BE78CA" w:tentative="1">
      <w:start w:val="1"/>
      <w:numFmt w:val="bullet"/>
      <w:lvlText w:val="•"/>
      <w:lvlJc w:val="left"/>
      <w:pPr>
        <w:tabs>
          <w:tab w:val="num" w:pos="2880"/>
        </w:tabs>
        <w:ind w:left="2880" w:hanging="360"/>
      </w:pPr>
      <w:rPr>
        <w:rFonts w:ascii="Arial" w:hAnsi="Arial" w:hint="default"/>
      </w:rPr>
    </w:lvl>
    <w:lvl w:ilvl="4" w:tplc="3E581E8E" w:tentative="1">
      <w:start w:val="1"/>
      <w:numFmt w:val="bullet"/>
      <w:lvlText w:val="•"/>
      <w:lvlJc w:val="left"/>
      <w:pPr>
        <w:tabs>
          <w:tab w:val="num" w:pos="3600"/>
        </w:tabs>
        <w:ind w:left="3600" w:hanging="360"/>
      </w:pPr>
      <w:rPr>
        <w:rFonts w:ascii="Arial" w:hAnsi="Arial" w:hint="default"/>
      </w:rPr>
    </w:lvl>
    <w:lvl w:ilvl="5" w:tplc="7A14ABFC" w:tentative="1">
      <w:start w:val="1"/>
      <w:numFmt w:val="bullet"/>
      <w:lvlText w:val="•"/>
      <w:lvlJc w:val="left"/>
      <w:pPr>
        <w:tabs>
          <w:tab w:val="num" w:pos="4320"/>
        </w:tabs>
        <w:ind w:left="4320" w:hanging="360"/>
      </w:pPr>
      <w:rPr>
        <w:rFonts w:ascii="Arial" w:hAnsi="Arial" w:hint="default"/>
      </w:rPr>
    </w:lvl>
    <w:lvl w:ilvl="6" w:tplc="88C43E90" w:tentative="1">
      <w:start w:val="1"/>
      <w:numFmt w:val="bullet"/>
      <w:lvlText w:val="•"/>
      <w:lvlJc w:val="left"/>
      <w:pPr>
        <w:tabs>
          <w:tab w:val="num" w:pos="5040"/>
        </w:tabs>
        <w:ind w:left="5040" w:hanging="360"/>
      </w:pPr>
      <w:rPr>
        <w:rFonts w:ascii="Arial" w:hAnsi="Arial" w:hint="default"/>
      </w:rPr>
    </w:lvl>
    <w:lvl w:ilvl="7" w:tplc="779E576C" w:tentative="1">
      <w:start w:val="1"/>
      <w:numFmt w:val="bullet"/>
      <w:lvlText w:val="•"/>
      <w:lvlJc w:val="left"/>
      <w:pPr>
        <w:tabs>
          <w:tab w:val="num" w:pos="5760"/>
        </w:tabs>
        <w:ind w:left="5760" w:hanging="360"/>
      </w:pPr>
      <w:rPr>
        <w:rFonts w:ascii="Arial" w:hAnsi="Arial" w:hint="default"/>
      </w:rPr>
    </w:lvl>
    <w:lvl w:ilvl="8" w:tplc="598A8646" w:tentative="1">
      <w:start w:val="1"/>
      <w:numFmt w:val="bullet"/>
      <w:lvlText w:val="•"/>
      <w:lvlJc w:val="left"/>
      <w:pPr>
        <w:tabs>
          <w:tab w:val="num" w:pos="6480"/>
        </w:tabs>
        <w:ind w:left="6480" w:hanging="360"/>
      </w:pPr>
      <w:rPr>
        <w:rFonts w:ascii="Arial" w:hAnsi="Arial" w:hint="default"/>
      </w:rPr>
    </w:lvl>
  </w:abstractNum>
  <w:abstractNum w:abstractNumId="12">
    <w:nsid w:val="7CA47CC8"/>
    <w:multiLevelType w:val="hybridMultilevel"/>
    <w:tmpl w:val="9F1C9CC8"/>
    <w:lvl w:ilvl="0" w:tplc="54F8145A">
      <w:start w:val="1"/>
      <w:numFmt w:val="bullet"/>
      <w:lvlText w:val="•"/>
      <w:lvlJc w:val="left"/>
      <w:pPr>
        <w:tabs>
          <w:tab w:val="num" w:pos="720"/>
        </w:tabs>
        <w:ind w:left="720" w:hanging="360"/>
      </w:pPr>
      <w:rPr>
        <w:rFonts w:ascii="Arial" w:hAnsi="Arial" w:hint="default"/>
      </w:rPr>
    </w:lvl>
    <w:lvl w:ilvl="1" w:tplc="030EA3B4" w:tentative="1">
      <w:start w:val="1"/>
      <w:numFmt w:val="bullet"/>
      <w:lvlText w:val="•"/>
      <w:lvlJc w:val="left"/>
      <w:pPr>
        <w:tabs>
          <w:tab w:val="num" w:pos="1440"/>
        </w:tabs>
        <w:ind w:left="1440" w:hanging="360"/>
      </w:pPr>
      <w:rPr>
        <w:rFonts w:ascii="Arial" w:hAnsi="Arial" w:hint="default"/>
      </w:rPr>
    </w:lvl>
    <w:lvl w:ilvl="2" w:tplc="C7B6226A" w:tentative="1">
      <w:start w:val="1"/>
      <w:numFmt w:val="bullet"/>
      <w:lvlText w:val="•"/>
      <w:lvlJc w:val="left"/>
      <w:pPr>
        <w:tabs>
          <w:tab w:val="num" w:pos="2160"/>
        </w:tabs>
        <w:ind w:left="2160" w:hanging="360"/>
      </w:pPr>
      <w:rPr>
        <w:rFonts w:ascii="Arial" w:hAnsi="Arial" w:hint="default"/>
      </w:rPr>
    </w:lvl>
    <w:lvl w:ilvl="3" w:tplc="819A55A2" w:tentative="1">
      <w:start w:val="1"/>
      <w:numFmt w:val="bullet"/>
      <w:lvlText w:val="•"/>
      <w:lvlJc w:val="left"/>
      <w:pPr>
        <w:tabs>
          <w:tab w:val="num" w:pos="2880"/>
        </w:tabs>
        <w:ind w:left="2880" w:hanging="360"/>
      </w:pPr>
      <w:rPr>
        <w:rFonts w:ascii="Arial" w:hAnsi="Arial" w:hint="default"/>
      </w:rPr>
    </w:lvl>
    <w:lvl w:ilvl="4" w:tplc="7B16A20A" w:tentative="1">
      <w:start w:val="1"/>
      <w:numFmt w:val="bullet"/>
      <w:lvlText w:val="•"/>
      <w:lvlJc w:val="left"/>
      <w:pPr>
        <w:tabs>
          <w:tab w:val="num" w:pos="3600"/>
        </w:tabs>
        <w:ind w:left="3600" w:hanging="360"/>
      </w:pPr>
      <w:rPr>
        <w:rFonts w:ascii="Arial" w:hAnsi="Arial" w:hint="default"/>
      </w:rPr>
    </w:lvl>
    <w:lvl w:ilvl="5" w:tplc="095EBA78" w:tentative="1">
      <w:start w:val="1"/>
      <w:numFmt w:val="bullet"/>
      <w:lvlText w:val="•"/>
      <w:lvlJc w:val="left"/>
      <w:pPr>
        <w:tabs>
          <w:tab w:val="num" w:pos="4320"/>
        </w:tabs>
        <w:ind w:left="4320" w:hanging="360"/>
      </w:pPr>
      <w:rPr>
        <w:rFonts w:ascii="Arial" w:hAnsi="Arial" w:hint="default"/>
      </w:rPr>
    </w:lvl>
    <w:lvl w:ilvl="6" w:tplc="1D080EEC" w:tentative="1">
      <w:start w:val="1"/>
      <w:numFmt w:val="bullet"/>
      <w:lvlText w:val="•"/>
      <w:lvlJc w:val="left"/>
      <w:pPr>
        <w:tabs>
          <w:tab w:val="num" w:pos="5040"/>
        </w:tabs>
        <w:ind w:left="5040" w:hanging="360"/>
      </w:pPr>
      <w:rPr>
        <w:rFonts w:ascii="Arial" w:hAnsi="Arial" w:hint="default"/>
      </w:rPr>
    </w:lvl>
    <w:lvl w:ilvl="7" w:tplc="CCCEBA72" w:tentative="1">
      <w:start w:val="1"/>
      <w:numFmt w:val="bullet"/>
      <w:lvlText w:val="•"/>
      <w:lvlJc w:val="left"/>
      <w:pPr>
        <w:tabs>
          <w:tab w:val="num" w:pos="5760"/>
        </w:tabs>
        <w:ind w:left="5760" w:hanging="360"/>
      </w:pPr>
      <w:rPr>
        <w:rFonts w:ascii="Arial" w:hAnsi="Arial" w:hint="default"/>
      </w:rPr>
    </w:lvl>
    <w:lvl w:ilvl="8" w:tplc="2782F59E" w:tentative="1">
      <w:start w:val="1"/>
      <w:numFmt w:val="bullet"/>
      <w:lvlText w:val="•"/>
      <w:lvlJc w:val="left"/>
      <w:pPr>
        <w:tabs>
          <w:tab w:val="num" w:pos="6480"/>
        </w:tabs>
        <w:ind w:left="6480" w:hanging="360"/>
      </w:pPr>
      <w:rPr>
        <w:rFonts w:ascii="Arial" w:hAnsi="Arial" w:hint="default"/>
      </w:rPr>
    </w:lvl>
  </w:abstractNum>
  <w:abstractNum w:abstractNumId="13">
    <w:nsid w:val="7ECB780E"/>
    <w:multiLevelType w:val="hybridMultilevel"/>
    <w:tmpl w:val="0C9CF870"/>
    <w:lvl w:ilvl="0" w:tplc="AB90697C">
      <w:start w:val="1"/>
      <w:numFmt w:val="bullet"/>
      <w:lvlText w:val="•"/>
      <w:lvlJc w:val="left"/>
      <w:pPr>
        <w:tabs>
          <w:tab w:val="num" w:pos="720"/>
        </w:tabs>
        <w:ind w:left="720" w:hanging="360"/>
      </w:pPr>
      <w:rPr>
        <w:rFonts w:ascii="Arial" w:hAnsi="Arial" w:hint="default"/>
      </w:rPr>
    </w:lvl>
    <w:lvl w:ilvl="1" w:tplc="3B2C97E8" w:tentative="1">
      <w:start w:val="1"/>
      <w:numFmt w:val="bullet"/>
      <w:lvlText w:val="•"/>
      <w:lvlJc w:val="left"/>
      <w:pPr>
        <w:tabs>
          <w:tab w:val="num" w:pos="1440"/>
        </w:tabs>
        <w:ind w:left="1440" w:hanging="360"/>
      </w:pPr>
      <w:rPr>
        <w:rFonts w:ascii="Arial" w:hAnsi="Arial" w:hint="default"/>
      </w:rPr>
    </w:lvl>
    <w:lvl w:ilvl="2" w:tplc="1F2AEB4A" w:tentative="1">
      <w:start w:val="1"/>
      <w:numFmt w:val="bullet"/>
      <w:lvlText w:val="•"/>
      <w:lvlJc w:val="left"/>
      <w:pPr>
        <w:tabs>
          <w:tab w:val="num" w:pos="2160"/>
        </w:tabs>
        <w:ind w:left="2160" w:hanging="360"/>
      </w:pPr>
      <w:rPr>
        <w:rFonts w:ascii="Arial" w:hAnsi="Arial" w:hint="default"/>
      </w:rPr>
    </w:lvl>
    <w:lvl w:ilvl="3" w:tplc="10A869DE" w:tentative="1">
      <w:start w:val="1"/>
      <w:numFmt w:val="bullet"/>
      <w:lvlText w:val="•"/>
      <w:lvlJc w:val="left"/>
      <w:pPr>
        <w:tabs>
          <w:tab w:val="num" w:pos="2880"/>
        </w:tabs>
        <w:ind w:left="2880" w:hanging="360"/>
      </w:pPr>
      <w:rPr>
        <w:rFonts w:ascii="Arial" w:hAnsi="Arial" w:hint="default"/>
      </w:rPr>
    </w:lvl>
    <w:lvl w:ilvl="4" w:tplc="DF880272" w:tentative="1">
      <w:start w:val="1"/>
      <w:numFmt w:val="bullet"/>
      <w:lvlText w:val="•"/>
      <w:lvlJc w:val="left"/>
      <w:pPr>
        <w:tabs>
          <w:tab w:val="num" w:pos="3600"/>
        </w:tabs>
        <w:ind w:left="3600" w:hanging="360"/>
      </w:pPr>
      <w:rPr>
        <w:rFonts w:ascii="Arial" w:hAnsi="Arial" w:hint="default"/>
      </w:rPr>
    </w:lvl>
    <w:lvl w:ilvl="5" w:tplc="2234872E" w:tentative="1">
      <w:start w:val="1"/>
      <w:numFmt w:val="bullet"/>
      <w:lvlText w:val="•"/>
      <w:lvlJc w:val="left"/>
      <w:pPr>
        <w:tabs>
          <w:tab w:val="num" w:pos="4320"/>
        </w:tabs>
        <w:ind w:left="4320" w:hanging="360"/>
      </w:pPr>
      <w:rPr>
        <w:rFonts w:ascii="Arial" w:hAnsi="Arial" w:hint="default"/>
      </w:rPr>
    </w:lvl>
    <w:lvl w:ilvl="6" w:tplc="99F4B714" w:tentative="1">
      <w:start w:val="1"/>
      <w:numFmt w:val="bullet"/>
      <w:lvlText w:val="•"/>
      <w:lvlJc w:val="left"/>
      <w:pPr>
        <w:tabs>
          <w:tab w:val="num" w:pos="5040"/>
        </w:tabs>
        <w:ind w:left="5040" w:hanging="360"/>
      </w:pPr>
      <w:rPr>
        <w:rFonts w:ascii="Arial" w:hAnsi="Arial" w:hint="default"/>
      </w:rPr>
    </w:lvl>
    <w:lvl w:ilvl="7" w:tplc="E7F081E2" w:tentative="1">
      <w:start w:val="1"/>
      <w:numFmt w:val="bullet"/>
      <w:lvlText w:val="•"/>
      <w:lvlJc w:val="left"/>
      <w:pPr>
        <w:tabs>
          <w:tab w:val="num" w:pos="5760"/>
        </w:tabs>
        <w:ind w:left="5760" w:hanging="360"/>
      </w:pPr>
      <w:rPr>
        <w:rFonts w:ascii="Arial" w:hAnsi="Arial" w:hint="default"/>
      </w:rPr>
    </w:lvl>
    <w:lvl w:ilvl="8" w:tplc="3C98020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2"/>
  </w:num>
  <w:num w:numId="4">
    <w:abstractNumId w:val="6"/>
  </w:num>
  <w:num w:numId="5">
    <w:abstractNumId w:val="9"/>
  </w:num>
  <w:num w:numId="6">
    <w:abstractNumId w:val="3"/>
  </w:num>
  <w:num w:numId="7">
    <w:abstractNumId w:val="13"/>
  </w:num>
  <w:num w:numId="8">
    <w:abstractNumId w:val="8"/>
  </w:num>
  <w:num w:numId="9">
    <w:abstractNumId w:val="11"/>
  </w:num>
  <w:num w:numId="10">
    <w:abstractNumId w:val="12"/>
  </w:num>
  <w:num w:numId="11">
    <w:abstractNumId w:val="4"/>
  </w:num>
  <w:num w:numId="12">
    <w:abstractNumId w:val="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607"/>
    <w:rsid w:val="00026A0B"/>
    <w:rsid w:val="00055C68"/>
    <w:rsid w:val="000A4D84"/>
    <w:rsid w:val="000D4135"/>
    <w:rsid w:val="000F4217"/>
    <w:rsid w:val="00153531"/>
    <w:rsid w:val="001927AE"/>
    <w:rsid w:val="002C3F04"/>
    <w:rsid w:val="003B0EAF"/>
    <w:rsid w:val="00495607"/>
    <w:rsid w:val="0058058F"/>
    <w:rsid w:val="00602F6F"/>
    <w:rsid w:val="007748EA"/>
    <w:rsid w:val="008373EB"/>
    <w:rsid w:val="008762B8"/>
    <w:rsid w:val="008C7E9C"/>
    <w:rsid w:val="00912B7B"/>
    <w:rsid w:val="00AA5E6B"/>
    <w:rsid w:val="00AF2A00"/>
    <w:rsid w:val="00CE6C08"/>
    <w:rsid w:val="00E22EDC"/>
    <w:rsid w:val="00EA192A"/>
    <w:rsid w:val="00F844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95607"/>
    <w:pPr>
      <w:ind w:left="720"/>
      <w:contextualSpacing/>
    </w:pPr>
  </w:style>
  <w:style w:type="paragraph" w:styleId="Zhlav">
    <w:name w:val="header"/>
    <w:basedOn w:val="Normln"/>
    <w:link w:val="ZhlavChar"/>
    <w:uiPriority w:val="99"/>
    <w:unhideWhenUsed/>
    <w:rsid w:val="00602F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F6F"/>
  </w:style>
  <w:style w:type="paragraph" w:styleId="Zpat">
    <w:name w:val="footer"/>
    <w:basedOn w:val="Normln"/>
    <w:link w:val="ZpatChar"/>
    <w:uiPriority w:val="99"/>
    <w:unhideWhenUsed/>
    <w:rsid w:val="00602F6F"/>
    <w:pPr>
      <w:tabs>
        <w:tab w:val="center" w:pos="4536"/>
        <w:tab w:val="right" w:pos="9072"/>
      </w:tabs>
      <w:spacing w:after="0" w:line="240" w:lineRule="auto"/>
    </w:pPr>
  </w:style>
  <w:style w:type="character" w:customStyle="1" w:styleId="ZpatChar">
    <w:name w:val="Zápatí Char"/>
    <w:basedOn w:val="Standardnpsmoodstavce"/>
    <w:link w:val="Zpat"/>
    <w:uiPriority w:val="99"/>
    <w:rsid w:val="00602F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95607"/>
    <w:pPr>
      <w:ind w:left="720"/>
      <w:contextualSpacing/>
    </w:pPr>
  </w:style>
  <w:style w:type="paragraph" w:styleId="Zhlav">
    <w:name w:val="header"/>
    <w:basedOn w:val="Normln"/>
    <w:link w:val="ZhlavChar"/>
    <w:uiPriority w:val="99"/>
    <w:unhideWhenUsed/>
    <w:rsid w:val="00602F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F6F"/>
  </w:style>
  <w:style w:type="paragraph" w:styleId="Zpat">
    <w:name w:val="footer"/>
    <w:basedOn w:val="Normln"/>
    <w:link w:val="ZpatChar"/>
    <w:uiPriority w:val="99"/>
    <w:unhideWhenUsed/>
    <w:rsid w:val="00602F6F"/>
    <w:pPr>
      <w:tabs>
        <w:tab w:val="center" w:pos="4536"/>
        <w:tab w:val="right" w:pos="9072"/>
      </w:tabs>
      <w:spacing w:after="0" w:line="240" w:lineRule="auto"/>
    </w:pPr>
  </w:style>
  <w:style w:type="character" w:customStyle="1" w:styleId="ZpatChar">
    <w:name w:val="Zápatí Char"/>
    <w:basedOn w:val="Standardnpsmoodstavce"/>
    <w:link w:val="Zpat"/>
    <w:uiPriority w:val="99"/>
    <w:rsid w:val="00602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41791">
      <w:bodyDiv w:val="1"/>
      <w:marLeft w:val="0"/>
      <w:marRight w:val="0"/>
      <w:marTop w:val="0"/>
      <w:marBottom w:val="0"/>
      <w:divBdr>
        <w:top w:val="none" w:sz="0" w:space="0" w:color="auto"/>
        <w:left w:val="none" w:sz="0" w:space="0" w:color="auto"/>
        <w:bottom w:val="none" w:sz="0" w:space="0" w:color="auto"/>
        <w:right w:val="none" w:sz="0" w:space="0" w:color="auto"/>
      </w:divBdr>
      <w:divsChild>
        <w:div w:id="640422276">
          <w:marLeft w:val="547"/>
          <w:marRight w:val="0"/>
          <w:marTop w:val="130"/>
          <w:marBottom w:val="0"/>
          <w:divBdr>
            <w:top w:val="none" w:sz="0" w:space="0" w:color="auto"/>
            <w:left w:val="none" w:sz="0" w:space="0" w:color="auto"/>
            <w:bottom w:val="none" w:sz="0" w:space="0" w:color="auto"/>
            <w:right w:val="none" w:sz="0" w:space="0" w:color="auto"/>
          </w:divBdr>
        </w:div>
        <w:div w:id="240869979">
          <w:marLeft w:val="547"/>
          <w:marRight w:val="0"/>
          <w:marTop w:val="130"/>
          <w:marBottom w:val="0"/>
          <w:divBdr>
            <w:top w:val="none" w:sz="0" w:space="0" w:color="auto"/>
            <w:left w:val="none" w:sz="0" w:space="0" w:color="auto"/>
            <w:bottom w:val="none" w:sz="0" w:space="0" w:color="auto"/>
            <w:right w:val="none" w:sz="0" w:space="0" w:color="auto"/>
          </w:divBdr>
        </w:div>
        <w:div w:id="88628754">
          <w:marLeft w:val="547"/>
          <w:marRight w:val="0"/>
          <w:marTop w:val="130"/>
          <w:marBottom w:val="0"/>
          <w:divBdr>
            <w:top w:val="none" w:sz="0" w:space="0" w:color="auto"/>
            <w:left w:val="none" w:sz="0" w:space="0" w:color="auto"/>
            <w:bottom w:val="none" w:sz="0" w:space="0" w:color="auto"/>
            <w:right w:val="none" w:sz="0" w:space="0" w:color="auto"/>
          </w:divBdr>
        </w:div>
        <w:div w:id="144785307">
          <w:marLeft w:val="547"/>
          <w:marRight w:val="0"/>
          <w:marTop w:val="130"/>
          <w:marBottom w:val="0"/>
          <w:divBdr>
            <w:top w:val="none" w:sz="0" w:space="0" w:color="auto"/>
            <w:left w:val="none" w:sz="0" w:space="0" w:color="auto"/>
            <w:bottom w:val="none" w:sz="0" w:space="0" w:color="auto"/>
            <w:right w:val="none" w:sz="0" w:space="0" w:color="auto"/>
          </w:divBdr>
        </w:div>
        <w:div w:id="663750218">
          <w:marLeft w:val="547"/>
          <w:marRight w:val="0"/>
          <w:marTop w:val="130"/>
          <w:marBottom w:val="0"/>
          <w:divBdr>
            <w:top w:val="none" w:sz="0" w:space="0" w:color="auto"/>
            <w:left w:val="none" w:sz="0" w:space="0" w:color="auto"/>
            <w:bottom w:val="none" w:sz="0" w:space="0" w:color="auto"/>
            <w:right w:val="none" w:sz="0" w:space="0" w:color="auto"/>
          </w:divBdr>
        </w:div>
        <w:div w:id="1501697671">
          <w:marLeft w:val="547"/>
          <w:marRight w:val="0"/>
          <w:marTop w:val="130"/>
          <w:marBottom w:val="0"/>
          <w:divBdr>
            <w:top w:val="none" w:sz="0" w:space="0" w:color="auto"/>
            <w:left w:val="none" w:sz="0" w:space="0" w:color="auto"/>
            <w:bottom w:val="none" w:sz="0" w:space="0" w:color="auto"/>
            <w:right w:val="none" w:sz="0" w:space="0" w:color="auto"/>
          </w:divBdr>
        </w:div>
        <w:div w:id="1116292296">
          <w:marLeft w:val="547"/>
          <w:marRight w:val="0"/>
          <w:marTop w:val="130"/>
          <w:marBottom w:val="0"/>
          <w:divBdr>
            <w:top w:val="none" w:sz="0" w:space="0" w:color="auto"/>
            <w:left w:val="none" w:sz="0" w:space="0" w:color="auto"/>
            <w:bottom w:val="none" w:sz="0" w:space="0" w:color="auto"/>
            <w:right w:val="none" w:sz="0" w:space="0" w:color="auto"/>
          </w:divBdr>
        </w:div>
        <w:div w:id="2063013397">
          <w:marLeft w:val="547"/>
          <w:marRight w:val="0"/>
          <w:marTop w:val="130"/>
          <w:marBottom w:val="0"/>
          <w:divBdr>
            <w:top w:val="none" w:sz="0" w:space="0" w:color="auto"/>
            <w:left w:val="none" w:sz="0" w:space="0" w:color="auto"/>
            <w:bottom w:val="none" w:sz="0" w:space="0" w:color="auto"/>
            <w:right w:val="none" w:sz="0" w:space="0" w:color="auto"/>
          </w:divBdr>
        </w:div>
        <w:div w:id="1888685140">
          <w:marLeft w:val="547"/>
          <w:marRight w:val="0"/>
          <w:marTop w:val="130"/>
          <w:marBottom w:val="0"/>
          <w:divBdr>
            <w:top w:val="none" w:sz="0" w:space="0" w:color="auto"/>
            <w:left w:val="none" w:sz="0" w:space="0" w:color="auto"/>
            <w:bottom w:val="none" w:sz="0" w:space="0" w:color="auto"/>
            <w:right w:val="none" w:sz="0" w:space="0" w:color="auto"/>
          </w:divBdr>
        </w:div>
        <w:div w:id="2094160445">
          <w:marLeft w:val="547"/>
          <w:marRight w:val="0"/>
          <w:marTop w:val="130"/>
          <w:marBottom w:val="0"/>
          <w:divBdr>
            <w:top w:val="none" w:sz="0" w:space="0" w:color="auto"/>
            <w:left w:val="none" w:sz="0" w:space="0" w:color="auto"/>
            <w:bottom w:val="none" w:sz="0" w:space="0" w:color="auto"/>
            <w:right w:val="none" w:sz="0" w:space="0" w:color="auto"/>
          </w:divBdr>
        </w:div>
      </w:divsChild>
    </w:div>
    <w:div w:id="179246363">
      <w:bodyDiv w:val="1"/>
      <w:marLeft w:val="0"/>
      <w:marRight w:val="0"/>
      <w:marTop w:val="0"/>
      <w:marBottom w:val="0"/>
      <w:divBdr>
        <w:top w:val="none" w:sz="0" w:space="0" w:color="auto"/>
        <w:left w:val="none" w:sz="0" w:space="0" w:color="auto"/>
        <w:bottom w:val="none" w:sz="0" w:space="0" w:color="auto"/>
        <w:right w:val="none" w:sz="0" w:space="0" w:color="auto"/>
      </w:divBdr>
      <w:divsChild>
        <w:div w:id="416942668">
          <w:marLeft w:val="547"/>
          <w:marRight w:val="0"/>
          <w:marTop w:val="154"/>
          <w:marBottom w:val="0"/>
          <w:divBdr>
            <w:top w:val="none" w:sz="0" w:space="0" w:color="auto"/>
            <w:left w:val="none" w:sz="0" w:space="0" w:color="auto"/>
            <w:bottom w:val="none" w:sz="0" w:space="0" w:color="auto"/>
            <w:right w:val="none" w:sz="0" w:space="0" w:color="auto"/>
          </w:divBdr>
        </w:div>
        <w:div w:id="1422145817">
          <w:marLeft w:val="547"/>
          <w:marRight w:val="0"/>
          <w:marTop w:val="154"/>
          <w:marBottom w:val="0"/>
          <w:divBdr>
            <w:top w:val="none" w:sz="0" w:space="0" w:color="auto"/>
            <w:left w:val="none" w:sz="0" w:space="0" w:color="auto"/>
            <w:bottom w:val="none" w:sz="0" w:space="0" w:color="auto"/>
            <w:right w:val="none" w:sz="0" w:space="0" w:color="auto"/>
          </w:divBdr>
        </w:div>
      </w:divsChild>
    </w:div>
    <w:div w:id="447087159">
      <w:bodyDiv w:val="1"/>
      <w:marLeft w:val="0"/>
      <w:marRight w:val="0"/>
      <w:marTop w:val="0"/>
      <w:marBottom w:val="0"/>
      <w:divBdr>
        <w:top w:val="none" w:sz="0" w:space="0" w:color="auto"/>
        <w:left w:val="none" w:sz="0" w:space="0" w:color="auto"/>
        <w:bottom w:val="none" w:sz="0" w:space="0" w:color="auto"/>
        <w:right w:val="none" w:sz="0" w:space="0" w:color="auto"/>
      </w:divBdr>
      <w:divsChild>
        <w:div w:id="1500736157">
          <w:marLeft w:val="547"/>
          <w:marRight w:val="0"/>
          <w:marTop w:val="130"/>
          <w:marBottom w:val="0"/>
          <w:divBdr>
            <w:top w:val="none" w:sz="0" w:space="0" w:color="auto"/>
            <w:left w:val="none" w:sz="0" w:space="0" w:color="auto"/>
            <w:bottom w:val="none" w:sz="0" w:space="0" w:color="auto"/>
            <w:right w:val="none" w:sz="0" w:space="0" w:color="auto"/>
          </w:divBdr>
        </w:div>
        <w:div w:id="219678568">
          <w:marLeft w:val="547"/>
          <w:marRight w:val="0"/>
          <w:marTop w:val="130"/>
          <w:marBottom w:val="0"/>
          <w:divBdr>
            <w:top w:val="none" w:sz="0" w:space="0" w:color="auto"/>
            <w:left w:val="none" w:sz="0" w:space="0" w:color="auto"/>
            <w:bottom w:val="none" w:sz="0" w:space="0" w:color="auto"/>
            <w:right w:val="none" w:sz="0" w:space="0" w:color="auto"/>
          </w:divBdr>
        </w:div>
      </w:divsChild>
    </w:div>
    <w:div w:id="538393370">
      <w:bodyDiv w:val="1"/>
      <w:marLeft w:val="0"/>
      <w:marRight w:val="0"/>
      <w:marTop w:val="0"/>
      <w:marBottom w:val="0"/>
      <w:divBdr>
        <w:top w:val="none" w:sz="0" w:space="0" w:color="auto"/>
        <w:left w:val="none" w:sz="0" w:space="0" w:color="auto"/>
        <w:bottom w:val="none" w:sz="0" w:space="0" w:color="auto"/>
        <w:right w:val="none" w:sz="0" w:space="0" w:color="auto"/>
      </w:divBdr>
      <w:divsChild>
        <w:div w:id="1808277324">
          <w:marLeft w:val="547"/>
          <w:marRight w:val="0"/>
          <w:marTop w:val="144"/>
          <w:marBottom w:val="0"/>
          <w:divBdr>
            <w:top w:val="none" w:sz="0" w:space="0" w:color="auto"/>
            <w:left w:val="none" w:sz="0" w:space="0" w:color="auto"/>
            <w:bottom w:val="none" w:sz="0" w:space="0" w:color="auto"/>
            <w:right w:val="none" w:sz="0" w:space="0" w:color="auto"/>
          </w:divBdr>
        </w:div>
        <w:div w:id="42364633">
          <w:marLeft w:val="547"/>
          <w:marRight w:val="0"/>
          <w:marTop w:val="144"/>
          <w:marBottom w:val="0"/>
          <w:divBdr>
            <w:top w:val="none" w:sz="0" w:space="0" w:color="auto"/>
            <w:left w:val="none" w:sz="0" w:space="0" w:color="auto"/>
            <w:bottom w:val="none" w:sz="0" w:space="0" w:color="auto"/>
            <w:right w:val="none" w:sz="0" w:space="0" w:color="auto"/>
          </w:divBdr>
        </w:div>
        <w:div w:id="1461151955">
          <w:marLeft w:val="547"/>
          <w:marRight w:val="0"/>
          <w:marTop w:val="144"/>
          <w:marBottom w:val="0"/>
          <w:divBdr>
            <w:top w:val="none" w:sz="0" w:space="0" w:color="auto"/>
            <w:left w:val="none" w:sz="0" w:space="0" w:color="auto"/>
            <w:bottom w:val="none" w:sz="0" w:space="0" w:color="auto"/>
            <w:right w:val="none" w:sz="0" w:space="0" w:color="auto"/>
          </w:divBdr>
        </w:div>
      </w:divsChild>
    </w:div>
    <w:div w:id="628629429">
      <w:bodyDiv w:val="1"/>
      <w:marLeft w:val="0"/>
      <w:marRight w:val="0"/>
      <w:marTop w:val="0"/>
      <w:marBottom w:val="0"/>
      <w:divBdr>
        <w:top w:val="none" w:sz="0" w:space="0" w:color="auto"/>
        <w:left w:val="none" w:sz="0" w:space="0" w:color="auto"/>
        <w:bottom w:val="none" w:sz="0" w:space="0" w:color="auto"/>
        <w:right w:val="none" w:sz="0" w:space="0" w:color="auto"/>
      </w:divBdr>
      <w:divsChild>
        <w:div w:id="954824304">
          <w:marLeft w:val="547"/>
          <w:marRight w:val="0"/>
          <w:marTop w:val="144"/>
          <w:marBottom w:val="0"/>
          <w:divBdr>
            <w:top w:val="none" w:sz="0" w:space="0" w:color="auto"/>
            <w:left w:val="none" w:sz="0" w:space="0" w:color="auto"/>
            <w:bottom w:val="none" w:sz="0" w:space="0" w:color="auto"/>
            <w:right w:val="none" w:sz="0" w:space="0" w:color="auto"/>
          </w:divBdr>
        </w:div>
        <w:div w:id="967784245">
          <w:marLeft w:val="547"/>
          <w:marRight w:val="0"/>
          <w:marTop w:val="144"/>
          <w:marBottom w:val="0"/>
          <w:divBdr>
            <w:top w:val="none" w:sz="0" w:space="0" w:color="auto"/>
            <w:left w:val="none" w:sz="0" w:space="0" w:color="auto"/>
            <w:bottom w:val="none" w:sz="0" w:space="0" w:color="auto"/>
            <w:right w:val="none" w:sz="0" w:space="0" w:color="auto"/>
          </w:divBdr>
        </w:div>
        <w:div w:id="311913402">
          <w:marLeft w:val="547"/>
          <w:marRight w:val="0"/>
          <w:marTop w:val="144"/>
          <w:marBottom w:val="0"/>
          <w:divBdr>
            <w:top w:val="none" w:sz="0" w:space="0" w:color="auto"/>
            <w:left w:val="none" w:sz="0" w:space="0" w:color="auto"/>
            <w:bottom w:val="none" w:sz="0" w:space="0" w:color="auto"/>
            <w:right w:val="none" w:sz="0" w:space="0" w:color="auto"/>
          </w:divBdr>
        </w:div>
        <w:div w:id="1116679533">
          <w:marLeft w:val="547"/>
          <w:marRight w:val="0"/>
          <w:marTop w:val="144"/>
          <w:marBottom w:val="0"/>
          <w:divBdr>
            <w:top w:val="none" w:sz="0" w:space="0" w:color="auto"/>
            <w:left w:val="none" w:sz="0" w:space="0" w:color="auto"/>
            <w:bottom w:val="none" w:sz="0" w:space="0" w:color="auto"/>
            <w:right w:val="none" w:sz="0" w:space="0" w:color="auto"/>
          </w:divBdr>
        </w:div>
        <w:div w:id="1509715542">
          <w:marLeft w:val="547"/>
          <w:marRight w:val="0"/>
          <w:marTop w:val="144"/>
          <w:marBottom w:val="0"/>
          <w:divBdr>
            <w:top w:val="none" w:sz="0" w:space="0" w:color="auto"/>
            <w:left w:val="none" w:sz="0" w:space="0" w:color="auto"/>
            <w:bottom w:val="none" w:sz="0" w:space="0" w:color="auto"/>
            <w:right w:val="none" w:sz="0" w:space="0" w:color="auto"/>
          </w:divBdr>
        </w:div>
        <w:div w:id="2101634796">
          <w:marLeft w:val="547"/>
          <w:marRight w:val="0"/>
          <w:marTop w:val="144"/>
          <w:marBottom w:val="0"/>
          <w:divBdr>
            <w:top w:val="none" w:sz="0" w:space="0" w:color="auto"/>
            <w:left w:val="none" w:sz="0" w:space="0" w:color="auto"/>
            <w:bottom w:val="none" w:sz="0" w:space="0" w:color="auto"/>
            <w:right w:val="none" w:sz="0" w:space="0" w:color="auto"/>
          </w:divBdr>
        </w:div>
        <w:div w:id="5519977">
          <w:marLeft w:val="547"/>
          <w:marRight w:val="0"/>
          <w:marTop w:val="144"/>
          <w:marBottom w:val="0"/>
          <w:divBdr>
            <w:top w:val="none" w:sz="0" w:space="0" w:color="auto"/>
            <w:left w:val="none" w:sz="0" w:space="0" w:color="auto"/>
            <w:bottom w:val="none" w:sz="0" w:space="0" w:color="auto"/>
            <w:right w:val="none" w:sz="0" w:space="0" w:color="auto"/>
          </w:divBdr>
        </w:div>
        <w:div w:id="1462769808">
          <w:marLeft w:val="547"/>
          <w:marRight w:val="0"/>
          <w:marTop w:val="144"/>
          <w:marBottom w:val="0"/>
          <w:divBdr>
            <w:top w:val="none" w:sz="0" w:space="0" w:color="auto"/>
            <w:left w:val="none" w:sz="0" w:space="0" w:color="auto"/>
            <w:bottom w:val="none" w:sz="0" w:space="0" w:color="auto"/>
            <w:right w:val="none" w:sz="0" w:space="0" w:color="auto"/>
          </w:divBdr>
        </w:div>
        <w:div w:id="1821268362">
          <w:marLeft w:val="547"/>
          <w:marRight w:val="0"/>
          <w:marTop w:val="144"/>
          <w:marBottom w:val="0"/>
          <w:divBdr>
            <w:top w:val="none" w:sz="0" w:space="0" w:color="auto"/>
            <w:left w:val="none" w:sz="0" w:space="0" w:color="auto"/>
            <w:bottom w:val="none" w:sz="0" w:space="0" w:color="auto"/>
            <w:right w:val="none" w:sz="0" w:space="0" w:color="auto"/>
          </w:divBdr>
        </w:div>
      </w:divsChild>
    </w:div>
    <w:div w:id="950670293">
      <w:bodyDiv w:val="1"/>
      <w:marLeft w:val="0"/>
      <w:marRight w:val="0"/>
      <w:marTop w:val="0"/>
      <w:marBottom w:val="0"/>
      <w:divBdr>
        <w:top w:val="none" w:sz="0" w:space="0" w:color="auto"/>
        <w:left w:val="none" w:sz="0" w:space="0" w:color="auto"/>
        <w:bottom w:val="none" w:sz="0" w:space="0" w:color="auto"/>
        <w:right w:val="none" w:sz="0" w:space="0" w:color="auto"/>
      </w:divBdr>
      <w:divsChild>
        <w:div w:id="1740205557">
          <w:marLeft w:val="547"/>
          <w:marRight w:val="0"/>
          <w:marTop w:val="154"/>
          <w:marBottom w:val="0"/>
          <w:divBdr>
            <w:top w:val="none" w:sz="0" w:space="0" w:color="auto"/>
            <w:left w:val="none" w:sz="0" w:space="0" w:color="auto"/>
            <w:bottom w:val="none" w:sz="0" w:space="0" w:color="auto"/>
            <w:right w:val="none" w:sz="0" w:space="0" w:color="auto"/>
          </w:divBdr>
        </w:div>
        <w:div w:id="913778216">
          <w:marLeft w:val="547"/>
          <w:marRight w:val="0"/>
          <w:marTop w:val="154"/>
          <w:marBottom w:val="0"/>
          <w:divBdr>
            <w:top w:val="none" w:sz="0" w:space="0" w:color="auto"/>
            <w:left w:val="none" w:sz="0" w:space="0" w:color="auto"/>
            <w:bottom w:val="none" w:sz="0" w:space="0" w:color="auto"/>
            <w:right w:val="none" w:sz="0" w:space="0" w:color="auto"/>
          </w:divBdr>
        </w:div>
        <w:div w:id="416904116">
          <w:marLeft w:val="547"/>
          <w:marRight w:val="0"/>
          <w:marTop w:val="154"/>
          <w:marBottom w:val="0"/>
          <w:divBdr>
            <w:top w:val="none" w:sz="0" w:space="0" w:color="auto"/>
            <w:left w:val="none" w:sz="0" w:space="0" w:color="auto"/>
            <w:bottom w:val="none" w:sz="0" w:space="0" w:color="auto"/>
            <w:right w:val="none" w:sz="0" w:space="0" w:color="auto"/>
          </w:divBdr>
        </w:div>
        <w:div w:id="1406223867">
          <w:marLeft w:val="547"/>
          <w:marRight w:val="0"/>
          <w:marTop w:val="154"/>
          <w:marBottom w:val="0"/>
          <w:divBdr>
            <w:top w:val="none" w:sz="0" w:space="0" w:color="auto"/>
            <w:left w:val="none" w:sz="0" w:space="0" w:color="auto"/>
            <w:bottom w:val="none" w:sz="0" w:space="0" w:color="auto"/>
            <w:right w:val="none" w:sz="0" w:space="0" w:color="auto"/>
          </w:divBdr>
        </w:div>
      </w:divsChild>
    </w:div>
    <w:div w:id="973290064">
      <w:bodyDiv w:val="1"/>
      <w:marLeft w:val="0"/>
      <w:marRight w:val="0"/>
      <w:marTop w:val="0"/>
      <w:marBottom w:val="0"/>
      <w:divBdr>
        <w:top w:val="none" w:sz="0" w:space="0" w:color="auto"/>
        <w:left w:val="none" w:sz="0" w:space="0" w:color="auto"/>
        <w:bottom w:val="none" w:sz="0" w:space="0" w:color="auto"/>
        <w:right w:val="none" w:sz="0" w:space="0" w:color="auto"/>
      </w:divBdr>
      <w:divsChild>
        <w:div w:id="1910767659">
          <w:marLeft w:val="547"/>
          <w:marRight w:val="0"/>
          <w:marTop w:val="154"/>
          <w:marBottom w:val="0"/>
          <w:divBdr>
            <w:top w:val="none" w:sz="0" w:space="0" w:color="auto"/>
            <w:left w:val="none" w:sz="0" w:space="0" w:color="auto"/>
            <w:bottom w:val="none" w:sz="0" w:space="0" w:color="auto"/>
            <w:right w:val="none" w:sz="0" w:space="0" w:color="auto"/>
          </w:divBdr>
        </w:div>
        <w:div w:id="1363559403">
          <w:marLeft w:val="547"/>
          <w:marRight w:val="0"/>
          <w:marTop w:val="154"/>
          <w:marBottom w:val="0"/>
          <w:divBdr>
            <w:top w:val="none" w:sz="0" w:space="0" w:color="auto"/>
            <w:left w:val="none" w:sz="0" w:space="0" w:color="auto"/>
            <w:bottom w:val="none" w:sz="0" w:space="0" w:color="auto"/>
            <w:right w:val="none" w:sz="0" w:space="0" w:color="auto"/>
          </w:divBdr>
        </w:div>
      </w:divsChild>
    </w:div>
    <w:div w:id="986477575">
      <w:bodyDiv w:val="1"/>
      <w:marLeft w:val="0"/>
      <w:marRight w:val="0"/>
      <w:marTop w:val="0"/>
      <w:marBottom w:val="0"/>
      <w:divBdr>
        <w:top w:val="none" w:sz="0" w:space="0" w:color="auto"/>
        <w:left w:val="none" w:sz="0" w:space="0" w:color="auto"/>
        <w:bottom w:val="none" w:sz="0" w:space="0" w:color="auto"/>
        <w:right w:val="none" w:sz="0" w:space="0" w:color="auto"/>
      </w:divBdr>
      <w:divsChild>
        <w:div w:id="594291096">
          <w:marLeft w:val="547"/>
          <w:marRight w:val="0"/>
          <w:marTop w:val="154"/>
          <w:marBottom w:val="0"/>
          <w:divBdr>
            <w:top w:val="none" w:sz="0" w:space="0" w:color="auto"/>
            <w:left w:val="none" w:sz="0" w:space="0" w:color="auto"/>
            <w:bottom w:val="none" w:sz="0" w:space="0" w:color="auto"/>
            <w:right w:val="none" w:sz="0" w:space="0" w:color="auto"/>
          </w:divBdr>
        </w:div>
      </w:divsChild>
    </w:div>
    <w:div w:id="1096558420">
      <w:bodyDiv w:val="1"/>
      <w:marLeft w:val="0"/>
      <w:marRight w:val="0"/>
      <w:marTop w:val="0"/>
      <w:marBottom w:val="0"/>
      <w:divBdr>
        <w:top w:val="none" w:sz="0" w:space="0" w:color="auto"/>
        <w:left w:val="none" w:sz="0" w:space="0" w:color="auto"/>
        <w:bottom w:val="none" w:sz="0" w:space="0" w:color="auto"/>
        <w:right w:val="none" w:sz="0" w:space="0" w:color="auto"/>
      </w:divBdr>
      <w:divsChild>
        <w:div w:id="2082631142">
          <w:marLeft w:val="547"/>
          <w:marRight w:val="0"/>
          <w:marTop w:val="154"/>
          <w:marBottom w:val="0"/>
          <w:divBdr>
            <w:top w:val="none" w:sz="0" w:space="0" w:color="auto"/>
            <w:left w:val="none" w:sz="0" w:space="0" w:color="auto"/>
            <w:bottom w:val="none" w:sz="0" w:space="0" w:color="auto"/>
            <w:right w:val="none" w:sz="0" w:space="0" w:color="auto"/>
          </w:divBdr>
        </w:div>
      </w:divsChild>
    </w:div>
    <w:div w:id="1218592942">
      <w:bodyDiv w:val="1"/>
      <w:marLeft w:val="0"/>
      <w:marRight w:val="0"/>
      <w:marTop w:val="0"/>
      <w:marBottom w:val="0"/>
      <w:divBdr>
        <w:top w:val="none" w:sz="0" w:space="0" w:color="auto"/>
        <w:left w:val="none" w:sz="0" w:space="0" w:color="auto"/>
        <w:bottom w:val="none" w:sz="0" w:space="0" w:color="auto"/>
        <w:right w:val="none" w:sz="0" w:space="0" w:color="auto"/>
      </w:divBdr>
      <w:divsChild>
        <w:div w:id="2141996311">
          <w:marLeft w:val="547"/>
          <w:marRight w:val="0"/>
          <w:marTop w:val="130"/>
          <w:marBottom w:val="0"/>
          <w:divBdr>
            <w:top w:val="none" w:sz="0" w:space="0" w:color="auto"/>
            <w:left w:val="none" w:sz="0" w:space="0" w:color="auto"/>
            <w:bottom w:val="none" w:sz="0" w:space="0" w:color="auto"/>
            <w:right w:val="none" w:sz="0" w:space="0" w:color="auto"/>
          </w:divBdr>
        </w:div>
        <w:div w:id="907307188">
          <w:marLeft w:val="547"/>
          <w:marRight w:val="0"/>
          <w:marTop w:val="130"/>
          <w:marBottom w:val="0"/>
          <w:divBdr>
            <w:top w:val="none" w:sz="0" w:space="0" w:color="auto"/>
            <w:left w:val="none" w:sz="0" w:space="0" w:color="auto"/>
            <w:bottom w:val="none" w:sz="0" w:space="0" w:color="auto"/>
            <w:right w:val="none" w:sz="0" w:space="0" w:color="auto"/>
          </w:divBdr>
        </w:div>
        <w:div w:id="355424624">
          <w:marLeft w:val="547"/>
          <w:marRight w:val="0"/>
          <w:marTop w:val="130"/>
          <w:marBottom w:val="0"/>
          <w:divBdr>
            <w:top w:val="none" w:sz="0" w:space="0" w:color="auto"/>
            <w:left w:val="none" w:sz="0" w:space="0" w:color="auto"/>
            <w:bottom w:val="none" w:sz="0" w:space="0" w:color="auto"/>
            <w:right w:val="none" w:sz="0" w:space="0" w:color="auto"/>
          </w:divBdr>
        </w:div>
        <w:div w:id="103886608">
          <w:marLeft w:val="547"/>
          <w:marRight w:val="0"/>
          <w:marTop w:val="130"/>
          <w:marBottom w:val="0"/>
          <w:divBdr>
            <w:top w:val="none" w:sz="0" w:space="0" w:color="auto"/>
            <w:left w:val="none" w:sz="0" w:space="0" w:color="auto"/>
            <w:bottom w:val="none" w:sz="0" w:space="0" w:color="auto"/>
            <w:right w:val="none" w:sz="0" w:space="0" w:color="auto"/>
          </w:divBdr>
        </w:div>
        <w:div w:id="346323923">
          <w:marLeft w:val="547"/>
          <w:marRight w:val="0"/>
          <w:marTop w:val="130"/>
          <w:marBottom w:val="0"/>
          <w:divBdr>
            <w:top w:val="none" w:sz="0" w:space="0" w:color="auto"/>
            <w:left w:val="none" w:sz="0" w:space="0" w:color="auto"/>
            <w:bottom w:val="none" w:sz="0" w:space="0" w:color="auto"/>
            <w:right w:val="none" w:sz="0" w:space="0" w:color="auto"/>
          </w:divBdr>
        </w:div>
        <w:div w:id="1037656848">
          <w:marLeft w:val="547"/>
          <w:marRight w:val="0"/>
          <w:marTop w:val="130"/>
          <w:marBottom w:val="0"/>
          <w:divBdr>
            <w:top w:val="none" w:sz="0" w:space="0" w:color="auto"/>
            <w:left w:val="none" w:sz="0" w:space="0" w:color="auto"/>
            <w:bottom w:val="none" w:sz="0" w:space="0" w:color="auto"/>
            <w:right w:val="none" w:sz="0" w:space="0" w:color="auto"/>
          </w:divBdr>
        </w:div>
        <w:div w:id="857818610">
          <w:marLeft w:val="547"/>
          <w:marRight w:val="0"/>
          <w:marTop w:val="130"/>
          <w:marBottom w:val="0"/>
          <w:divBdr>
            <w:top w:val="none" w:sz="0" w:space="0" w:color="auto"/>
            <w:left w:val="none" w:sz="0" w:space="0" w:color="auto"/>
            <w:bottom w:val="none" w:sz="0" w:space="0" w:color="auto"/>
            <w:right w:val="none" w:sz="0" w:space="0" w:color="auto"/>
          </w:divBdr>
        </w:div>
        <w:div w:id="1235091610">
          <w:marLeft w:val="547"/>
          <w:marRight w:val="0"/>
          <w:marTop w:val="130"/>
          <w:marBottom w:val="0"/>
          <w:divBdr>
            <w:top w:val="none" w:sz="0" w:space="0" w:color="auto"/>
            <w:left w:val="none" w:sz="0" w:space="0" w:color="auto"/>
            <w:bottom w:val="none" w:sz="0" w:space="0" w:color="auto"/>
            <w:right w:val="none" w:sz="0" w:space="0" w:color="auto"/>
          </w:divBdr>
        </w:div>
        <w:div w:id="281377895">
          <w:marLeft w:val="547"/>
          <w:marRight w:val="0"/>
          <w:marTop w:val="130"/>
          <w:marBottom w:val="0"/>
          <w:divBdr>
            <w:top w:val="none" w:sz="0" w:space="0" w:color="auto"/>
            <w:left w:val="none" w:sz="0" w:space="0" w:color="auto"/>
            <w:bottom w:val="none" w:sz="0" w:space="0" w:color="auto"/>
            <w:right w:val="none" w:sz="0" w:space="0" w:color="auto"/>
          </w:divBdr>
        </w:div>
        <w:div w:id="212621183">
          <w:marLeft w:val="547"/>
          <w:marRight w:val="0"/>
          <w:marTop w:val="130"/>
          <w:marBottom w:val="0"/>
          <w:divBdr>
            <w:top w:val="none" w:sz="0" w:space="0" w:color="auto"/>
            <w:left w:val="none" w:sz="0" w:space="0" w:color="auto"/>
            <w:bottom w:val="none" w:sz="0" w:space="0" w:color="auto"/>
            <w:right w:val="none" w:sz="0" w:space="0" w:color="auto"/>
          </w:divBdr>
        </w:div>
      </w:divsChild>
    </w:div>
    <w:div w:id="1628462996">
      <w:bodyDiv w:val="1"/>
      <w:marLeft w:val="0"/>
      <w:marRight w:val="0"/>
      <w:marTop w:val="0"/>
      <w:marBottom w:val="0"/>
      <w:divBdr>
        <w:top w:val="none" w:sz="0" w:space="0" w:color="auto"/>
        <w:left w:val="none" w:sz="0" w:space="0" w:color="auto"/>
        <w:bottom w:val="none" w:sz="0" w:space="0" w:color="auto"/>
        <w:right w:val="none" w:sz="0" w:space="0" w:color="auto"/>
      </w:divBdr>
      <w:divsChild>
        <w:div w:id="1444156292">
          <w:marLeft w:val="547"/>
          <w:marRight w:val="0"/>
          <w:marTop w:val="154"/>
          <w:marBottom w:val="0"/>
          <w:divBdr>
            <w:top w:val="none" w:sz="0" w:space="0" w:color="auto"/>
            <w:left w:val="none" w:sz="0" w:space="0" w:color="auto"/>
            <w:bottom w:val="none" w:sz="0" w:space="0" w:color="auto"/>
            <w:right w:val="none" w:sz="0" w:space="0" w:color="auto"/>
          </w:divBdr>
        </w:div>
        <w:div w:id="1071852436">
          <w:marLeft w:val="547"/>
          <w:marRight w:val="0"/>
          <w:marTop w:val="154"/>
          <w:marBottom w:val="0"/>
          <w:divBdr>
            <w:top w:val="none" w:sz="0" w:space="0" w:color="auto"/>
            <w:left w:val="none" w:sz="0" w:space="0" w:color="auto"/>
            <w:bottom w:val="none" w:sz="0" w:space="0" w:color="auto"/>
            <w:right w:val="none" w:sz="0" w:space="0" w:color="auto"/>
          </w:divBdr>
        </w:div>
      </w:divsChild>
    </w:div>
    <w:div w:id="1971741963">
      <w:bodyDiv w:val="1"/>
      <w:marLeft w:val="0"/>
      <w:marRight w:val="0"/>
      <w:marTop w:val="0"/>
      <w:marBottom w:val="0"/>
      <w:divBdr>
        <w:top w:val="none" w:sz="0" w:space="0" w:color="auto"/>
        <w:left w:val="none" w:sz="0" w:space="0" w:color="auto"/>
        <w:bottom w:val="none" w:sz="0" w:space="0" w:color="auto"/>
        <w:right w:val="none" w:sz="0" w:space="0" w:color="auto"/>
      </w:divBdr>
      <w:divsChild>
        <w:div w:id="489365302">
          <w:marLeft w:val="547"/>
          <w:marRight w:val="0"/>
          <w:marTop w:val="154"/>
          <w:marBottom w:val="0"/>
          <w:divBdr>
            <w:top w:val="none" w:sz="0" w:space="0" w:color="auto"/>
            <w:left w:val="none" w:sz="0" w:space="0" w:color="auto"/>
            <w:bottom w:val="none" w:sz="0" w:space="0" w:color="auto"/>
            <w:right w:val="none" w:sz="0" w:space="0" w:color="auto"/>
          </w:divBdr>
        </w:div>
      </w:divsChild>
    </w:div>
    <w:div w:id="2036884561">
      <w:bodyDiv w:val="1"/>
      <w:marLeft w:val="0"/>
      <w:marRight w:val="0"/>
      <w:marTop w:val="0"/>
      <w:marBottom w:val="0"/>
      <w:divBdr>
        <w:top w:val="none" w:sz="0" w:space="0" w:color="auto"/>
        <w:left w:val="none" w:sz="0" w:space="0" w:color="auto"/>
        <w:bottom w:val="none" w:sz="0" w:space="0" w:color="auto"/>
        <w:right w:val="none" w:sz="0" w:space="0" w:color="auto"/>
      </w:divBdr>
      <w:divsChild>
        <w:div w:id="132067189">
          <w:marLeft w:val="547"/>
          <w:marRight w:val="0"/>
          <w:marTop w:val="154"/>
          <w:marBottom w:val="0"/>
          <w:divBdr>
            <w:top w:val="none" w:sz="0" w:space="0" w:color="auto"/>
            <w:left w:val="none" w:sz="0" w:space="0" w:color="auto"/>
            <w:bottom w:val="none" w:sz="0" w:space="0" w:color="auto"/>
            <w:right w:val="none" w:sz="0" w:space="0" w:color="auto"/>
          </w:divBdr>
        </w:div>
        <w:div w:id="200843890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5</Pages>
  <Words>1798</Words>
  <Characters>10613</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Hana</cp:lastModifiedBy>
  <cp:revision>5</cp:revision>
  <dcterms:created xsi:type="dcterms:W3CDTF">2012-10-27T15:28:00Z</dcterms:created>
  <dcterms:modified xsi:type="dcterms:W3CDTF">2012-10-28T21:05:00Z</dcterms:modified>
</cp:coreProperties>
</file>