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5D" w:rsidRPr="0021155D" w:rsidRDefault="0021155D" w:rsidP="0021155D">
      <w:pPr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br/>
        <w:t> </w:t>
      </w:r>
    </w:p>
    <w:p w:rsidR="0021155D" w:rsidRPr="0021155D" w:rsidRDefault="0021155D" w:rsidP="0021155D">
      <w:pPr>
        <w:spacing w:after="180" w:line="240" w:lineRule="auto"/>
        <w:outlineLvl w:val="1"/>
        <w:rPr>
          <w:rFonts w:ascii="Tahoma" w:eastAsia="Times New Roman" w:hAnsi="Tahoma" w:cs="Tahoma"/>
          <w:b/>
          <w:bCs/>
          <w:color w:val="FFFFFF"/>
          <w:lang w:val="en-US"/>
        </w:rPr>
      </w:pPr>
      <w:proofErr w:type="spellStart"/>
      <w:r w:rsidRPr="0021155D">
        <w:rPr>
          <w:rFonts w:ascii="Tahoma" w:eastAsia="Times New Roman" w:hAnsi="Tahoma" w:cs="Tahoma"/>
          <w:b/>
          <w:bCs/>
          <w:color w:val="FFFFFF"/>
          <w:lang w:val="en-US"/>
        </w:rPr>
        <w:t>Zákon</w:t>
      </w:r>
      <w:proofErr w:type="spellEnd"/>
      <w:r w:rsidRPr="0021155D">
        <w:rPr>
          <w:rFonts w:ascii="Tahoma" w:eastAsia="Times New Roman" w:hAnsi="Tahoma" w:cs="Tahoma"/>
          <w:b/>
          <w:bCs/>
          <w:color w:val="FFFFFF"/>
          <w:lang w:val="en-US"/>
        </w:rPr>
        <w:t xml:space="preserve"> č. 262/2006 Sb., </w:t>
      </w:r>
      <w:proofErr w:type="spellStart"/>
      <w:r w:rsidRPr="0021155D">
        <w:rPr>
          <w:rFonts w:ascii="Tahoma" w:eastAsia="Times New Roman" w:hAnsi="Tahoma" w:cs="Tahoma"/>
          <w:b/>
          <w:bCs/>
          <w:color w:val="FFFFFF"/>
          <w:lang w:val="en-US"/>
        </w:rPr>
        <w:t>zákoník</w:t>
      </w:r>
      <w:proofErr w:type="spellEnd"/>
      <w:r w:rsidRPr="0021155D">
        <w:rPr>
          <w:rFonts w:ascii="Tahoma" w:eastAsia="Times New Roman" w:hAnsi="Tahoma" w:cs="Tahoma"/>
          <w:b/>
          <w:bCs/>
          <w:color w:val="FFFFFF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FFFFFF"/>
          <w:lang w:val="en-US"/>
        </w:rPr>
        <w:t>práce</w:t>
      </w:r>
      <w:proofErr w:type="spellEnd"/>
    </w:p>
    <w:p w:rsidR="0021155D" w:rsidRPr="0021155D" w:rsidRDefault="0021155D" w:rsidP="0021155D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18"/>
          <w:szCs w:val="18"/>
          <w:shd w:val="clear" w:color="auto" w:fill="FFFFFF"/>
          <w:lang w:val="en-US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shd w:val="clear" w:color="auto" w:fill="FFFFFF"/>
          <w:lang w:val="en-US"/>
        </w:rPr>
        <w:drawing>
          <wp:inline distT="0" distB="0" distL="0" distR="0">
            <wp:extent cx="7620" cy="7620"/>
            <wp:effectExtent l="0" t="0" r="0" b="0"/>
            <wp:docPr id="2" name="Obrázek 2" descr="http://atemda.com/RetargetTracking.ashx?tpt=2284fa70990342f8886162b082e17293&amp;aId=122657&amp;set=1&amp;tag=&amp;cb=1380055600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emda.com/RetargetTracking.ashx?tpt=2284fa70990342f8886162b082e17293&amp;aId=122657&amp;set=1&amp;tag=&amp;cb=13800556004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5D" w:rsidRPr="0021155D" w:rsidRDefault="0021155D" w:rsidP="00211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155D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0pt;height:450pt" o:ole="">
            <v:imagedata r:id="rId6" o:title=""/>
          </v:shape>
          <w:control r:id="rId7" w:name="DefaultOcxName" w:shapeid="_x0000_i1031"/>
        </w:object>
      </w:r>
      <w:r>
        <w:rPr>
          <w:rFonts w:ascii="Tahoma" w:eastAsia="Times New Roman" w:hAnsi="Tahoma" w:cs="Tahoma"/>
          <w:noProof/>
          <w:color w:val="424242"/>
          <w:sz w:val="18"/>
          <w:szCs w:val="18"/>
          <w:shd w:val="clear" w:color="auto" w:fill="FFFFFF"/>
          <w:lang w:val="en-US"/>
        </w:rPr>
        <w:drawing>
          <wp:inline distT="0" distB="0" distL="0" distR="0">
            <wp:extent cx="7620" cy="7620"/>
            <wp:effectExtent l="0" t="0" r="0" b="0"/>
            <wp:docPr id="1" name="Obrázek 1" descr="http://track.adform.net/adfserve/?bn=2597547;1x1inv=1;srctype=3;ord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ack.adform.net/adfserve/?bn=2597547;1x1inv=1;srctype=3;ord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5D" w:rsidRPr="0021155D" w:rsidRDefault="0021155D" w:rsidP="0021155D">
      <w:pPr>
        <w:spacing w:before="300" w:after="75" w:line="240" w:lineRule="auto"/>
        <w:outlineLvl w:val="2"/>
        <w:rPr>
          <w:rFonts w:ascii="Tahoma" w:eastAsia="Times New Roman" w:hAnsi="Tahoma" w:cs="Tahoma"/>
          <w:b/>
          <w:bCs/>
          <w:color w:val="1060B8"/>
          <w:sz w:val="23"/>
          <w:szCs w:val="23"/>
          <w:lang w:val="en-US"/>
        </w:rPr>
      </w:pP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3"/>
          <w:szCs w:val="23"/>
          <w:lang w:val="en-US"/>
        </w:rPr>
        <w:t>Charakteristiky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3"/>
          <w:szCs w:val="23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3"/>
          <w:szCs w:val="23"/>
          <w:lang w:val="en-US"/>
        </w:rPr>
        <w:t>platových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3"/>
          <w:szCs w:val="23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3"/>
          <w:szCs w:val="23"/>
          <w:lang w:val="en-US"/>
        </w:rPr>
        <w:t>tříd</w:t>
      </w:r>
      <w:proofErr w:type="spellEnd"/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0" w:name="trida1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1.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0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sestávající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z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jednoznačných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opakujících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se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pracovních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operací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jednotlivými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předměty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jednoduchými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pomůckami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ručními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nástroji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bez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vazeb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další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činnosti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Provádění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jednotlivých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manipulačních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operací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jednotlivými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kusy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předměty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malé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hmotnosti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(do 5 kg).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Běžné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smyslové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funkce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v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příznivých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vnějších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podmínkách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1" w:name="trida2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2.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1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stejného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druhu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konané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podle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přesného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zadání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přesně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vymezenými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výstupy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malou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možností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odchylky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rámcovými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návaznostmi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další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více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prvky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předměty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)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tvořícími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celek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například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manipulace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předměty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vyžadujícími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zvláštní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zacházení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křehké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těžké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vznětlivé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nebezpečím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nákazy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).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Provádění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dílčích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které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jsou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součástí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širších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lastRenderedPageBreak/>
        <w:t>Dlouhodobé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jednostranné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zatížení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drobných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svalových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skupin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prstů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zápěstí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)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vnuceném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pracovním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rytmu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mírně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zhoršených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například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klimatických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)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vnějších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podmínkách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případným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rizikem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pracovního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úrazu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2" w:name="trida3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3.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2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přesně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vymezenými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výstupy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obecně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vymezeným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postupem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rámcovými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návaznostmi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další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celky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sestavami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logickým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účelovým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)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uspořádáním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bez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vazeb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jiné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celky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sestavy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).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Případná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odpovědnost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ohrožení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zdraví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bezpečnosti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spolupracovníků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v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rámci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kolektivu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3" w:name="trida4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4.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3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Stejnorodé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rámcovým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zadáním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přesně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vymezenými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výstupy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větší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možností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volby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jiného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postupu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rámcovými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návaznostmi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další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dále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jen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„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jednoduché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odborné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“).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celky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sestavami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několika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jednotlivých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prvků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předmětů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)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logickým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účelovým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)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uspořádáním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dílčími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vazbami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jiné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celky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sestavy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).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předpokládající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jednoduché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pracovní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vztahy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Dlouhodobé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jednostranné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zatížení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větších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svalových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skupin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Mírně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zvýšené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psychické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spojené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se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samostatným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řešením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skupiny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stejnorodých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časově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ustálených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pracovních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operací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podle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postupů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4" w:name="trida5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5.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4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Jednoduché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odborné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vykonávané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mnoha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vzájemně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provázanými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prvky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které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jsou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součástí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určitého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Usměrňování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jednoduchých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rutinních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manipulačních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v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proměnlivých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skupinách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týmech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jiných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nestálých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organizačních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celcích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bez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podřízenosti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skupiny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zaměstnanců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spojené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odpovědností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škody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které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nelze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odstranit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vlastními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silami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v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krátké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době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Zvýšené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psychické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vyplývající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samostatného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řešení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úkolů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kde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jsou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převážně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zastoupeny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konkrétní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jevy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různorodějšího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charakteru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dlouhodobější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paměť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dílčí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představivost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předvídatelnost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schopnost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srovnávání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pozornost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operativnost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Přesné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smyslové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rozlišování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drobných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detailů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Dlouhodobé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jednostranné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nadměrné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zatížení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svalových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skupin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předměty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různých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hmotností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nad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25 kg.</w:t>
      </w:r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5" w:name="trida6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6.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5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Různorodé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rámcově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vymezené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se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zadáním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podle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obvyklých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postupů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se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stanovenými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výstupy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vazbami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další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dále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jen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„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odborné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“).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ucelenými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složenými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z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mnoha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prvků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dílčími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vazbami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malý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okruh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dalších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Koordinace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v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proměnlivých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skupinách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Zvýšené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psychické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vyplývající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samostatného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řešení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úkolů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různorodými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konkrétními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jevy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představivost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předvídatelnost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schopnost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srovnávání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pozornost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operativnost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Značná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smyslová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náročnost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Značná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zátěž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velkých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svalových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skupin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velmi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ztížených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pracovních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podmínkách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6" w:name="trida7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7.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6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Odborné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konané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ucelenými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samostatnými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případným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členěním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dílčí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subsystémy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vazbami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další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Usměrňování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koordinace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jednoduchých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odborných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Odpovědnost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zdraví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dalších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osob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nebo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škody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odstranitelné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pouze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skupinou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dalších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zaměstnanců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nebo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škody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osob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jednajících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základě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chybných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příkazů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nebo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opatření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odstranitelné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delší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období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Psychická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námaha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vyplývající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samostatného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řešení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úkolů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kde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jsou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rovnoměrně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zastoupeny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konkrétní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abstraktní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jevy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různorodého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charakteru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aplikační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schopnosti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přizpůsobivost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různým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podmínkám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logické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myšlení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určitou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představivost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Vysoká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náročnost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identifikaci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velmi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malých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detailů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znaků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nebo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jiných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zrakově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důležitých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informací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zvýšené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vestibulární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aparát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Nadměrné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zatížení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velkých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svalových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skupin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v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extrémních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pracovních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podmínkách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7" w:name="trida8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8.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7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Zajišťování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širšího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souboru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odborných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rámcově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stanovenými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způsobem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vykonávání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vymezenými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výstupy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které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jsou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organickou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součástí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širších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dále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jen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„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odborné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specializované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“).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v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rámci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komplexních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vnitřním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členěním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ucelené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subsystémy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úzkými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vazbami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další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vnitřním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členěním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mimo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rámec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organizace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8" w:name="trida9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9.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8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Odborné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specializované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kterých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je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předmětem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komplexní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samostatný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složený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z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několika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dalších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sourodých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celků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nebo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nejsložitější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samostatné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celky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Koordinace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usměrňování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odborných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Zvýšená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psychická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námaha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vyplývající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samostatného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řešení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soustavy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úkolů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kde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jsou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více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zastoupeny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abstraktní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jevy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poznávání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chápání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interpretaci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jevů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Vysoké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paměť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flexibilitu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schopnosti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analýzy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syntézy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obecného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srovnávání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Vysoké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nároky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vestibulární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aparát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Mimořádná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zátěž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nervové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soustavy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9" w:name="trida10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lastRenderedPageBreak/>
        <w:t xml:space="preserve">10.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9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Zajišťování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komplexu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činností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obecně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vymezenými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rámcově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stanovenými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výstupy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značnou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variantností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způsobu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řešení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postupů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specifickými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vazbami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široký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okruh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dále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jen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„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systémové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“).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Předmětem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je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komplexní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složený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samostatných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různorodých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se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zásadními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určujícími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vnitřními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vnějšími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vazbami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Koordinace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usměrňování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odborných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specializovaných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10" w:name="trida11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11.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10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Systémové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jejichž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předmětem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činnosti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jsou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dílčí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obory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činností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se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širokou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působností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výkonem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je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spojena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značná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psychická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námaha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vyplývající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z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velké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složitosti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kognitivních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vyššího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stupně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abstraktního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myšlení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představivosti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generalizace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z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nutnosti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rozhodování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podle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různých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kritérií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11" w:name="trida12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12.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11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Komplex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systémových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činností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variantními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obecnými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rámcově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stanovenými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výstupy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nespecifikovanými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způsoby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se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širokými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vazbami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další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dále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jen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„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systémové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specializované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“),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kde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jsou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předmětem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obory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činnosti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složené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rozsáhlými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vnějšími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vnitřními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vazbami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12" w:name="trida13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13.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12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Systémové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specializované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jejichž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předmětem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činnosti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je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soubor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oborů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nebo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obor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rozsáhlou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vnitřní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strukturou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vnějšími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vazbami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Komplexní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koordinace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usměrňování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systémových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Vysoká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psychická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námaha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vyplývající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z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vysokých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nároků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tvůrčí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myšlení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Objevování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nových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postupů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způsobů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hledání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řešení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netradičním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způsobem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Přenos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aplikace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metod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způsobů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z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jiných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odvětví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oblastí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Rozhodování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v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rámci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značně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kombinovatelných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spíše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abstraktních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různorodých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jevů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z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různých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odvětví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oborů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13" w:name="trida14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14.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13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Činnosti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nespecifikovanými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způsoby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řešení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velmi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rámcově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vymezenými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výstupy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velmi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širokými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vazbami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další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tvůrčí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rozvojová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koncepční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činnost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systémová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koordinace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(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dále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jen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„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tvůrčí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systémové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“).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Předmětem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je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soubor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oborů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nebo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obor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rozsáhlým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vnitřním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členěním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četnými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vazbami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další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obory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působností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dopadem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široké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skupiny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obyvatelstva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nebo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souhrn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jinak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náročných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oborů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.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Koordinace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usměrňování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systémových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specializovaných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prací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14" w:name="trida15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15.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14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Tvůrčí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systémové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práce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kdy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předmětem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je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odvětví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jako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soubor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vzájemně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provázaných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oborů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nebo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nejnáročnější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obory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zásadního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významu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Velmi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vysoká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psychická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námaha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vyplývající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z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vysokých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nároků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tvůrčí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myšlení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vysoce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abstraktní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rovině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značné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variabilitě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kombinovatelnosti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procesů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jevů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schopnosti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nekonvenčního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systémového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nazírání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v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nejširších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souvislostech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21155D" w:rsidRPr="0021155D" w:rsidRDefault="0021155D" w:rsidP="0021155D">
      <w:pPr>
        <w:spacing w:before="100" w:beforeAutospacing="1" w:after="48" w:line="240" w:lineRule="auto"/>
        <w:jc w:val="center"/>
        <w:outlineLvl w:val="3"/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</w:pPr>
      <w:bookmarkStart w:id="15" w:name="trida16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16.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platová</w:t>
      </w:r>
      <w:proofErr w:type="spellEnd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b/>
          <w:bCs/>
          <w:color w:val="1060B8"/>
          <w:sz w:val="20"/>
          <w:szCs w:val="20"/>
          <w:lang w:val="en-US"/>
        </w:rPr>
        <w:t>třída</w:t>
      </w:r>
      <w:bookmarkEnd w:id="15"/>
      <w:proofErr w:type="spellEnd"/>
    </w:p>
    <w:p w:rsidR="0021155D" w:rsidRPr="0021155D" w:rsidRDefault="0021155D" w:rsidP="0021155D">
      <w:pPr>
        <w:spacing w:before="48" w:after="48" w:line="240" w:lineRule="auto"/>
        <w:ind w:firstLine="480"/>
        <w:jc w:val="both"/>
        <w:rPr>
          <w:rFonts w:ascii="Tahoma" w:eastAsia="Times New Roman" w:hAnsi="Tahoma" w:cs="Tahoma"/>
          <w:color w:val="424242"/>
          <w:sz w:val="18"/>
          <w:szCs w:val="18"/>
          <w:lang w:val="en-US"/>
        </w:rPr>
      </w:pP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Činnosti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nespecifikovanými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způsobem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řešení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výstupy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s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možnými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vazbami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na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celé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spektrum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dalších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činností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,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kde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jsou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předmětem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jednotlivé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vědní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obory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disciplíny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jiné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nejširší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a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nejnáročnější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 xml:space="preserve"> </w:t>
      </w:r>
      <w:proofErr w:type="spellStart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systémy</w:t>
      </w:r>
      <w:proofErr w:type="spellEnd"/>
      <w:r w:rsidRPr="0021155D">
        <w:rPr>
          <w:rFonts w:ascii="Tahoma" w:eastAsia="Times New Roman" w:hAnsi="Tahoma" w:cs="Tahoma"/>
          <w:color w:val="424242"/>
          <w:sz w:val="18"/>
          <w:szCs w:val="18"/>
          <w:lang w:val="en-US"/>
        </w:rPr>
        <w:t>.</w:t>
      </w:r>
    </w:p>
    <w:p w:rsidR="00150AF8" w:rsidRDefault="00B85BA0">
      <w:bookmarkStart w:id="16" w:name="_GoBack"/>
      <w:bookmarkEnd w:id="16"/>
    </w:p>
    <w:sectPr w:rsidR="0015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2A"/>
    <w:rsid w:val="0021155D"/>
    <w:rsid w:val="0046170C"/>
    <w:rsid w:val="008C681F"/>
    <w:rsid w:val="009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11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adpis3">
    <w:name w:val="heading 3"/>
    <w:basedOn w:val="Normln"/>
    <w:link w:val="Nadpis3Char"/>
    <w:uiPriority w:val="9"/>
    <w:qFormat/>
    <w:rsid w:val="00211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adpis4">
    <w:name w:val="heading 4"/>
    <w:basedOn w:val="Normln"/>
    <w:link w:val="Nadpis4Char"/>
    <w:uiPriority w:val="9"/>
    <w:qFormat/>
    <w:rsid w:val="002115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155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21155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21155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quare250">
    <w:name w:val="square250"/>
    <w:basedOn w:val="Standardnpsmoodstavce"/>
    <w:rsid w:val="0021155D"/>
  </w:style>
  <w:style w:type="character" w:customStyle="1" w:styleId="skyscraper">
    <w:name w:val="skyscraper"/>
    <w:basedOn w:val="Standardnpsmoodstavce"/>
    <w:rsid w:val="0021155D"/>
  </w:style>
  <w:style w:type="paragraph" w:customStyle="1" w:styleId="indent">
    <w:name w:val="indent"/>
    <w:basedOn w:val="Normln"/>
    <w:rsid w:val="0021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11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adpis3">
    <w:name w:val="heading 3"/>
    <w:basedOn w:val="Normln"/>
    <w:link w:val="Nadpis3Char"/>
    <w:uiPriority w:val="9"/>
    <w:qFormat/>
    <w:rsid w:val="00211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adpis4">
    <w:name w:val="heading 4"/>
    <w:basedOn w:val="Normln"/>
    <w:link w:val="Nadpis4Char"/>
    <w:uiPriority w:val="9"/>
    <w:qFormat/>
    <w:rsid w:val="002115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155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21155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21155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quare250">
    <w:name w:val="square250"/>
    <w:basedOn w:val="Standardnpsmoodstavce"/>
    <w:rsid w:val="0021155D"/>
  </w:style>
  <w:style w:type="character" w:customStyle="1" w:styleId="skyscraper">
    <w:name w:val="skyscraper"/>
    <w:basedOn w:val="Standardnpsmoodstavce"/>
    <w:rsid w:val="0021155D"/>
  </w:style>
  <w:style w:type="paragraph" w:customStyle="1" w:styleId="indent">
    <w:name w:val="indent"/>
    <w:basedOn w:val="Normln"/>
    <w:rsid w:val="0021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krizova</cp:lastModifiedBy>
  <cp:revision>2</cp:revision>
  <dcterms:created xsi:type="dcterms:W3CDTF">2013-09-24T20:49:00Z</dcterms:created>
  <dcterms:modified xsi:type="dcterms:W3CDTF">2013-09-24T20:49:00Z</dcterms:modified>
</cp:coreProperties>
</file>