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54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The investment Environment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Asset Classes and Financial Instruments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How Securities are Traded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 xml:space="preserve">Mutual Funds  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Bond Prices and Yields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Options markets</w:t>
      </w:r>
    </w:p>
    <w:p w:rsidR="00EF2456" w:rsidRPr="00EF2456" w:rsidRDefault="00EF2456" w:rsidP="00EF2456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Options markets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Futures markets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Security Analysis</w:t>
      </w:r>
    </w:p>
    <w:p w:rsidR="00EF2456" w:rsidRPr="00EF2456" w:rsidRDefault="00EF2456" w:rsidP="00EF2456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Security Analysis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CAPM, APT and MFMs of risk and return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r w:rsidRPr="00EF2456">
        <w:rPr>
          <w:lang w:val="en-GB"/>
        </w:rPr>
        <w:t>The Efficient market Hypothesis</w:t>
      </w:r>
    </w:p>
    <w:p w:rsidR="00EF2456" w:rsidRPr="00EF2456" w:rsidRDefault="00EF2456" w:rsidP="00645077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EF2456">
        <w:rPr>
          <w:lang w:val="en-GB"/>
        </w:rPr>
        <w:t>Beha</w:t>
      </w:r>
      <w:bookmarkStart w:id="0" w:name="_GoBack"/>
      <w:bookmarkEnd w:id="0"/>
      <w:r w:rsidRPr="00EF2456">
        <w:rPr>
          <w:lang w:val="en-GB"/>
        </w:rPr>
        <w:t>vioral</w:t>
      </w:r>
      <w:proofErr w:type="spellEnd"/>
      <w:r w:rsidRPr="00EF2456">
        <w:rPr>
          <w:lang w:val="en-GB"/>
        </w:rPr>
        <w:t xml:space="preserve"> Finance and Technical Analysis</w:t>
      </w:r>
    </w:p>
    <w:sectPr w:rsidR="00EF2456" w:rsidRPr="00EF2456" w:rsidSect="00192B3B">
      <w:pgSz w:w="11906" w:h="16838"/>
      <w:pgMar w:top="1644" w:right="851" w:bottom="136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94B"/>
    <w:multiLevelType w:val="hybridMultilevel"/>
    <w:tmpl w:val="469AF2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77"/>
    <w:rsid w:val="00192B3B"/>
    <w:rsid w:val="003C4CB9"/>
    <w:rsid w:val="003C56D8"/>
    <w:rsid w:val="005B1CE5"/>
    <w:rsid w:val="005F0556"/>
    <w:rsid w:val="00645077"/>
    <w:rsid w:val="00BD1C74"/>
    <w:rsid w:val="00E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2014-09-30T13:08:00Z</dcterms:created>
  <dcterms:modified xsi:type="dcterms:W3CDTF">2014-09-30T14:10:00Z</dcterms:modified>
</cp:coreProperties>
</file>