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254" w:rsidRPr="00E47A9F" w:rsidRDefault="00E47A9F" w:rsidP="00A848A0">
      <w:pPr>
        <w:rPr>
          <w:rFonts w:ascii="Garamond" w:hAnsi="Garamond" w:cs="Arial"/>
          <w:sz w:val="36"/>
          <w:szCs w:val="36"/>
          <w:lang w:val="en-US"/>
        </w:rPr>
      </w:pPr>
      <w:r w:rsidRPr="00E47A9F">
        <w:rPr>
          <w:rFonts w:ascii="Garamond" w:hAnsi="Garamond" w:cs="Arial"/>
          <w:sz w:val="36"/>
          <w:szCs w:val="36"/>
          <w:lang w:val="en-US"/>
        </w:rPr>
        <w:t>Public revenues and tax theory</w:t>
      </w:r>
    </w:p>
    <w:p w:rsidR="00A35254" w:rsidRPr="00E47A9F" w:rsidRDefault="00E47A9F" w:rsidP="00B76FA1">
      <w:pPr>
        <w:pStyle w:val="Odstavecseseznamem"/>
        <w:numPr>
          <w:ilvl w:val="0"/>
          <w:numId w:val="1"/>
        </w:numPr>
        <w:spacing w:before="240"/>
        <w:ind w:left="426" w:hanging="426"/>
        <w:jc w:val="both"/>
        <w:rPr>
          <w:rFonts w:ascii="Garamond" w:hAnsi="Garamond" w:cs="Arial"/>
          <w:b/>
          <w:sz w:val="28"/>
          <w:szCs w:val="24"/>
          <w:lang w:val="en-US"/>
        </w:rPr>
      </w:pPr>
      <w:r w:rsidRPr="00E47A9F">
        <w:rPr>
          <w:rFonts w:ascii="Garamond" w:hAnsi="Garamond" w:cs="Arial"/>
          <w:b/>
          <w:sz w:val="28"/>
          <w:szCs w:val="24"/>
          <w:lang w:val="en-US"/>
        </w:rPr>
        <w:t>Public revenues</w:t>
      </w:r>
    </w:p>
    <w:p w:rsidR="00E47A9F" w:rsidRPr="00E47A9F" w:rsidRDefault="00E47A9F" w:rsidP="0073454A">
      <w:pPr>
        <w:pStyle w:val="Odstavecseseznamem"/>
        <w:numPr>
          <w:ilvl w:val="0"/>
          <w:numId w:val="6"/>
        </w:numPr>
        <w:rPr>
          <w:rFonts w:ascii="Garamond" w:hAnsi="Garamond"/>
          <w:sz w:val="24"/>
          <w:szCs w:val="24"/>
          <w:lang w:val="en-US"/>
        </w:rPr>
      </w:pPr>
      <w:r w:rsidRPr="00E47A9F">
        <w:rPr>
          <w:rFonts w:ascii="Garamond" w:hAnsi="Garamond"/>
          <w:sz w:val="24"/>
          <w:szCs w:val="24"/>
          <w:lang w:val="en-US"/>
        </w:rPr>
        <w:t>What we can include to public revenues? Try to enumera</w:t>
      </w:r>
      <w:r w:rsidR="0091405E">
        <w:rPr>
          <w:rFonts w:ascii="Garamond" w:hAnsi="Garamond"/>
          <w:sz w:val="24"/>
          <w:szCs w:val="24"/>
          <w:lang w:val="en-US"/>
        </w:rPr>
        <w:t>t</w:t>
      </w:r>
      <w:r w:rsidRPr="00E47A9F">
        <w:rPr>
          <w:rFonts w:ascii="Garamond" w:hAnsi="Garamond"/>
          <w:sz w:val="24"/>
          <w:szCs w:val="24"/>
          <w:lang w:val="en-US"/>
        </w:rPr>
        <w:t xml:space="preserve">e several categories of public revenues and include various sources of public revenues to the each group. </w:t>
      </w:r>
    </w:p>
    <w:p w:rsidR="009C689C" w:rsidRPr="00E47A9F" w:rsidRDefault="00E47A9F" w:rsidP="009C689C">
      <w:pPr>
        <w:pStyle w:val="Odstavecseseznamem"/>
        <w:numPr>
          <w:ilvl w:val="0"/>
          <w:numId w:val="6"/>
        </w:numPr>
        <w:rPr>
          <w:rFonts w:ascii="Garamond" w:hAnsi="Garamond"/>
          <w:sz w:val="24"/>
          <w:szCs w:val="24"/>
          <w:lang w:val="en-US"/>
        </w:rPr>
      </w:pPr>
      <w:r w:rsidRPr="00E47A9F">
        <w:rPr>
          <w:rFonts w:ascii="Garamond" w:hAnsi="Garamond"/>
          <w:sz w:val="24"/>
          <w:szCs w:val="24"/>
          <w:lang w:val="en-US"/>
        </w:rPr>
        <w:t>Which group of public revenues make</w:t>
      </w:r>
      <w:r w:rsidR="0091405E">
        <w:rPr>
          <w:rFonts w:ascii="Garamond" w:hAnsi="Garamond"/>
          <w:sz w:val="24"/>
          <w:szCs w:val="24"/>
          <w:lang w:val="en-US"/>
        </w:rPr>
        <w:t>s</w:t>
      </w:r>
      <w:r w:rsidRPr="00E47A9F">
        <w:rPr>
          <w:rFonts w:ascii="Garamond" w:hAnsi="Garamond"/>
          <w:sz w:val="24"/>
          <w:szCs w:val="24"/>
          <w:lang w:val="en-US"/>
        </w:rPr>
        <w:t xml:space="preserve"> up the largest part of public revenues?</w:t>
      </w:r>
    </w:p>
    <w:p w:rsidR="0073454A" w:rsidRPr="00E47A9F" w:rsidRDefault="00E47A9F" w:rsidP="009C689C">
      <w:pPr>
        <w:pStyle w:val="Odstavecseseznamem"/>
        <w:numPr>
          <w:ilvl w:val="0"/>
          <w:numId w:val="6"/>
        </w:num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What is the importance of public re</w:t>
      </w:r>
      <w:r w:rsidR="0091405E">
        <w:rPr>
          <w:rFonts w:ascii="Garamond" w:hAnsi="Garamond"/>
          <w:sz w:val="24"/>
          <w:szCs w:val="24"/>
          <w:lang w:val="en-US"/>
        </w:rPr>
        <w:t>venues for public finance and what is it for?</w:t>
      </w:r>
    </w:p>
    <w:p w:rsidR="0091405E" w:rsidRDefault="0091405E" w:rsidP="009C689C">
      <w:pPr>
        <w:pStyle w:val="Odstavecseseznamem"/>
        <w:numPr>
          <w:ilvl w:val="0"/>
          <w:numId w:val="6"/>
        </w:numPr>
        <w:rPr>
          <w:rFonts w:ascii="Garamond" w:hAnsi="Garamond"/>
          <w:sz w:val="24"/>
          <w:szCs w:val="24"/>
          <w:lang w:val="en-US"/>
        </w:rPr>
      </w:pPr>
      <w:r w:rsidRPr="0091405E">
        <w:rPr>
          <w:rFonts w:ascii="Garamond" w:hAnsi="Garamond"/>
          <w:sz w:val="24"/>
          <w:szCs w:val="24"/>
          <w:lang w:val="en-US"/>
        </w:rPr>
        <w:t>What is the planned amount of public revenues for 2014</w:t>
      </w:r>
      <w:r>
        <w:rPr>
          <w:rFonts w:ascii="Garamond" w:hAnsi="Garamond"/>
          <w:sz w:val="24"/>
          <w:szCs w:val="24"/>
          <w:lang w:val="en-US"/>
        </w:rPr>
        <w:t xml:space="preserve"> in your country (in % GDP)</w:t>
      </w:r>
      <w:r w:rsidRPr="0091405E">
        <w:rPr>
          <w:rFonts w:ascii="Garamond" w:hAnsi="Garamond"/>
          <w:sz w:val="24"/>
          <w:szCs w:val="24"/>
          <w:lang w:val="en-US"/>
        </w:rPr>
        <w:t xml:space="preserve">? How </w:t>
      </w:r>
      <w:r>
        <w:rPr>
          <w:rFonts w:ascii="Garamond" w:hAnsi="Garamond"/>
          <w:sz w:val="24"/>
          <w:szCs w:val="24"/>
          <w:lang w:val="en-US"/>
        </w:rPr>
        <w:t xml:space="preserve">an economic crisis influenced the public revenues (mainly 2008-2012).  </w:t>
      </w:r>
    </w:p>
    <w:p w:rsidR="009C689C" w:rsidRPr="00E47A9F" w:rsidRDefault="0091405E" w:rsidP="009C689C">
      <w:pPr>
        <w:pStyle w:val="Odstavecseseznamem"/>
        <w:numPr>
          <w:ilvl w:val="0"/>
          <w:numId w:val="6"/>
        </w:num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Compare </w:t>
      </w:r>
      <w:r w:rsidRPr="0091405E">
        <w:rPr>
          <w:rFonts w:ascii="Garamond" w:hAnsi="Garamond"/>
          <w:sz w:val="24"/>
          <w:szCs w:val="24"/>
          <w:lang w:val="en-US"/>
        </w:rPr>
        <w:t>the size of public revenues with the size of public spending</w:t>
      </w:r>
    </w:p>
    <w:p w:rsidR="0091405E" w:rsidRDefault="0091405E" w:rsidP="009C689C">
      <w:pPr>
        <w:pStyle w:val="Odstavecseseznamem"/>
        <w:numPr>
          <w:ilvl w:val="0"/>
          <w:numId w:val="6"/>
        </w:numPr>
        <w:rPr>
          <w:rFonts w:ascii="Garamond" w:hAnsi="Garamond"/>
          <w:sz w:val="24"/>
          <w:szCs w:val="24"/>
          <w:lang w:val="en-US"/>
        </w:rPr>
      </w:pPr>
      <w:r w:rsidRPr="0091405E">
        <w:rPr>
          <w:rFonts w:ascii="Garamond" w:hAnsi="Garamond"/>
          <w:sz w:val="24"/>
          <w:szCs w:val="24"/>
          <w:lang w:val="en-US"/>
        </w:rPr>
        <w:t xml:space="preserve">Compare the amount of public revenues in % GDP with other countries. </w:t>
      </w:r>
    </w:p>
    <w:p w:rsidR="000536D4" w:rsidRPr="0091405E" w:rsidRDefault="0091405E" w:rsidP="009C689C">
      <w:pPr>
        <w:pStyle w:val="Odstavecseseznamem"/>
        <w:numPr>
          <w:ilvl w:val="0"/>
          <w:numId w:val="6"/>
        </w:numPr>
        <w:rPr>
          <w:rFonts w:ascii="Garamond" w:hAnsi="Garamond"/>
          <w:sz w:val="24"/>
          <w:szCs w:val="24"/>
          <w:lang w:val="en-US"/>
        </w:rPr>
      </w:pPr>
      <w:r w:rsidRPr="0091405E">
        <w:rPr>
          <w:rFonts w:ascii="Garamond" w:hAnsi="Garamond"/>
          <w:sz w:val="24"/>
          <w:szCs w:val="24"/>
          <w:lang w:val="en-US"/>
        </w:rPr>
        <w:t xml:space="preserve">What can you deduce from identified data? </w:t>
      </w:r>
    </w:p>
    <w:p w:rsidR="009C689C" w:rsidRPr="00E47A9F" w:rsidRDefault="006D6AFB" w:rsidP="000536D4">
      <w:pPr>
        <w:spacing w:after="120"/>
        <w:rPr>
          <w:rFonts w:ascii="Garamond" w:hAnsi="Garamond"/>
          <w:sz w:val="24"/>
          <w:szCs w:val="24"/>
          <w:lang w:val="en-US"/>
        </w:rPr>
      </w:pPr>
      <w:r w:rsidRPr="00E47A9F">
        <w:rPr>
          <w:noProof/>
          <w:lang w:val="en-US" w:eastAsia="cs-CZ"/>
        </w:rPr>
        <w:drawing>
          <wp:inline distT="0" distB="0" distL="0" distR="0">
            <wp:extent cx="5904230" cy="3431685"/>
            <wp:effectExtent l="19050" t="0" r="20320" b="0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F5FB4" w:rsidRPr="00E47A9F" w:rsidRDefault="00AD0A3E" w:rsidP="00D607E6">
      <w:pPr>
        <w:rPr>
          <w:rFonts w:ascii="Garamond" w:hAnsi="Garamond"/>
          <w:sz w:val="20"/>
          <w:szCs w:val="20"/>
          <w:lang w:val="en-US"/>
        </w:rPr>
      </w:pPr>
      <w:r>
        <w:rPr>
          <w:rFonts w:ascii="Garamond" w:hAnsi="Garamond"/>
          <w:sz w:val="20"/>
          <w:szCs w:val="20"/>
          <w:lang w:val="en-US"/>
        </w:rPr>
        <w:t>Source</w:t>
      </w:r>
      <w:r w:rsidR="000536D4" w:rsidRPr="00E47A9F">
        <w:rPr>
          <w:rFonts w:ascii="Garamond" w:hAnsi="Garamond"/>
          <w:sz w:val="20"/>
          <w:szCs w:val="20"/>
          <w:lang w:val="en-US"/>
        </w:rPr>
        <w:t xml:space="preserve">: </w:t>
      </w:r>
      <w:proofErr w:type="spellStart"/>
      <w:r w:rsidR="000536D4" w:rsidRPr="00E47A9F">
        <w:rPr>
          <w:rFonts w:ascii="Garamond" w:hAnsi="Garamond"/>
          <w:sz w:val="20"/>
          <w:szCs w:val="20"/>
          <w:lang w:val="en-US"/>
        </w:rPr>
        <w:t>Eurostat</w:t>
      </w:r>
      <w:proofErr w:type="spellEnd"/>
      <w:r w:rsidR="000536D4" w:rsidRPr="00E47A9F">
        <w:rPr>
          <w:rFonts w:ascii="Garamond" w:hAnsi="Garamond"/>
          <w:sz w:val="20"/>
          <w:szCs w:val="20"/>
          <w:lang w:val="en-US"/>
        </w:rPr>
        <w:t xml:space="preserve"> (20</w:t>
      </w:r>
      <w:r w:rsidR="005A54E7" w:rsidRPr="00E47A9F">
        <w:rPr>
          <w:rFonts w:ascii="Garamond" w:hAnsi="Garamond"/>
          <w:sz w:val="20"/>
          <w:szCs w:val="20"/>
          <w:lang w:val="en-US"/>
        </w:rPr>
        <w:t>1</w:t>
      </w:r>
      <w:r w:rsidR="00BC2F7D" w:rsidRPr="00E47A9F">
        <w:rPr>
          <w:rFonts w:ascii="Garamond" w:hAnsi="Garamond"/>
          <w:sz w:val="20"/>
          <w:szCs w:val="20"/>
          <w:lang w:val="en-US"/>
        </w:rPr>
        <w:t>5</w:t>
      </w:r>
      <w:r w:rsidR="000536D4" w:rsidRPr="00E47A9F">
        <w:rPr>
          <w:rFonts w:ascii="Garamond" w:hAnsi="Garamond"/>
          <w:sz w:val="20"/>
          <w:szCs w:val="20"/>
          <w:lang w:val="en-US"/>
        </w:rPr>
        <w:t>)</w:t>
      </w:r>
    </w:p>
    <w:p w:rsidR="00EB7601" w:rsidRPr="00E47A9F" w:rsidRDefault="0091405E" w:rsidP="00EB7601">
      <w:pPr>
        <w:pStyle w:val="Odstavecseseznamem"/>
        <w:numPr>
          <w:ilvl w:val="0"/>
          <w:numId w:val="1"/>
        </w:numPr>
        <w:spacing w:before="240"/>
        <w:ind w:left="426" w:hanging="426"/>
        <w:jc w:val="both"/>
        <w:rPr>
          <w:rFonts w:ascii="Garamond" w:hAnsi="Garamond" w:cs="Arial"/>
          <w:b/>
          <w:sz w:val="28"/>
          <w:szCs w:val="24"/>
          <w:lang w:val="en-US"/>
        </w:rPr>
      </w:pPr>
      <w:r>
        <w:rPr>
          <w:rFonts w:ascii="Garamond" w:hAnsi="Garamond" w:cs="Arial"/>
          <w:b/>
          <w:sz w:val="28"/>
          <w:szCs w:val="24"/>
          <w:lang w:val="en-US"/>
        </w:rPr>
        <w:t>Tax system</w:t>
      </w:r>
    </w:p>
    <w:p w:rsidR="00836554" w:rsidRPr="00836554" w:rsidRDefault="0091405E" w:rsidP="00836554">
      <w:pPr>
        <w:pStyle w:val="Odstavecseseznamem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hAnsi="Garamond" w:cs="Arial"/>
          <w:b/>
          <w:sz w:val="28"/>
          <w:szCs w:val="24"/>
          <w:lang w:val="en-US"/>
        </w:rPr>
      </w:pPr>
      <w:r w:rsidRPr="00836554">
        <w:rPr>
          <w:rFonts w:ascii="Garamond" w:hAnsi="Garamond"/>
          <w:sz w:val="24"/>
          <w:szCs w:val="24"/>
          <w:lang w:val="en-US"/>
        </w:rPr>
        <w:t>Try to defi</w:t>
      </w:r>
      <w:r w:rsidR="00836554" w:rsidRPr="00836554">
        <w:rPr>
          <w:rFonts w:ascii="Garamond" w:hAnsi="Garamond"/>
          <w:sz w:val="24"/>
          <w:szCs w:val="24"/>
          <w:lang w:val="en-US"/>
        </w:rPr>
        <w:t>ne tax. What in relation to tax revenues means these</w:t>
      </w:r>
      <w:r w:rsidR="00EB7601" w:rsidRPr="00836554">
        <w:rPr>
          <w:rFonts w:ascii="Garamond" w:hAnsi="Garamond"/>
          <w:sz w:val="24"/>
          <w:szCs w:val="24"/>
          <w:lang w:val="en-US"/>
        </w:rPr>
        <w:t xml:space="preserve"> princip</w:t>
      </w:r>
      <w:r w:rsidR="00836554" w:rsidRPr="00836554">
        <w:rPr>
          <w:rFonts w:ascii="Garamond" w:hAnsi="Garamond"/>
          <w:sz w:val="24"/>
          <w:szCs w:val="24"/>
          <w:lang w:val="en-US"/>
        </w:rPr>
        <w:t xml:space="preserve">les </w:t>
      </w:r>
      <w:proofErr w:type="gramStart"/>
      <w:r w:rsidR="00836554" w:rsidRPr="00836554">
        <w:rPr>
          <w:rFonts w:ascii="Garamond" w:hAnsi="Garamond"/>
          <w:sz w:val="24"/>
          <w:szCs w:val="24"/>
          <w:lang w:val="en-US"/>
        </w:rPr>
        <w:t xml:space="preserve">- </w:t>
      </w:r>
      <w:r w:rsidR="00EB7601" w:rsidRPr="00836554">
        <w:rPr>
          <w:rFonts w:ascii="Garamond" w:hAnsi="Garamond"/>
          <w:sz w:val="24"/>
          <w:szCs w:val="24"/>
          <w:lang w:val="en-US"/>
        </w:rPr>
        <w:t xml:space="preserve"> </w:t>
      </w:r>
      <w:r w:rsidR="00836554" w:rsidRPr="00836554">
        <w:rPr>
          <w:rFonts w:ascii="Garamond" w:hAnsi="Garamond"/>
          <w:sz w:val="24"/>
          <w:szCs w:val="24"/>
          <w:lang w:val="en-US"/>
        </w:rPr>
        <w:t>non</w:t>
      </w:r>
      <w:proofErr w:type="gramEnd"/>
      <w:r w:rsidR="00836554" w:rsidRPr="00836554">
        <w:rPr>
          <w:rFonts w:ascii="Garamond" w:hAnsi="Garamond"/>
          <w:sz w:val="24"/>
          <w:szCs w:val="24"/>
          <w:lang w:val="en-US"/>
        </w:rPr>
        <w:t>-recovery, non-equivalency</w:t>
      </w:r>
      <w:r w:rsidR="00836554">
        <w:rPr>
          <w:rFonts w:ascii="Garamond" w:hAnsi="Garamond"/>
          <w:sz w:val="24"/>
          <w:szCs w:val="24"/>
          <w:lang w:val="en-US"/>
        </w:rPr>
        <w:t>, n</w:t>
      </w:r>
      <w:r w:rsidR="00836554" w:rsidRPr="00836554">
        <w:rPr>
          <w:rFonts w:ascii="Garamond" w:hAnsi="Garamond"/>
          <w:sz w:val="24"/>
          <w:szCs w:val="24"/>
          <w:lang w:val="en-US"/>
        </w:rPr>
        <w:t xml:space="preserve">on-voluntarily </w:t>
      </w:r>
      <w:r w:rsidR="00836554">
        <w:rPr>
          <w:rFonts w:ascii="Garamond" w:hAnsi="Garamond"/>
          <w:sz w:val="24"/>
          <w:szCs w:val="24"/>
          <w:lang w:val="en-US"/>
        </w:rPr>
        <w:t>?</w:t>
      </w:r>
    </w:p>
    <w:p w:rsidR="00836554" w:rsidRPr="00836554" w:rsidRDefault="00836554" w:rsidP="00836554">
      <w:pPr>
        <w:pStyle w:val="Odstavecseseznamem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hAnsi="Garamond" w:cs="Arial"/>
          <w:b/>
          <w:sz w:val="28"/>
          <w:szCs w:val="24"/>
          <w:lang w:val="en-US"/>
        </w:rPr>
      </w:pPr>
      <w:r w:rsidRPr="00836554">
        <w:rPr>
          <w:rFonts w:ascii="Garamond" w:hAnsi="Garamond" w:cs="Arial"/>
          <w:sz w:val="24"/>
          <w:szCs w:val="24"/>
          <w:lang w:val="en-US"/>
        </w:rPr>
        <w:t xml:space="preserve">What functions </w:t>
      </w:r>
      <w:r>
        <w:rPr>
          <w:rFonts w:ascii="Garamond" w:hAnsi="Garamond" w:cs="Arial"/>
          <w:sz w:val="24"/>
          <w:szCs w:val="24"/>
          <w:lang w:val="en-US"/>
        </w:rPr>
        <w:t xml:space="preserve">do </w:t>
      </w:r>
      <w:r w:rsidRPr="00836554">
        <w:rPr>
          <w:rFonts w:ascii="Garamond" w:hAnsi="Garamond" w:cs="Arial"/>
          <w:sz w:val="24"/>
          <w:szCs w:val="24"/>
          <w:lang w:val="en-US"/>
        </w:rPr>
        <w:t>taxes perform</w:t>
      </w:r>
      <w:r>
        <w:rPr>
          <w:rFonts w:ascii="Garamond" w:hAnsi="Garamond" w:cs="Arial"/>
          <w:sz w:val="24"/>
          <w:szCs w:val="24"/>
          <w:lang w:val="en-US"/>
        </w:rPr>
        <w:t>?</w:t>
      </w:r>
      <w:r w:rsidRPr="00836554">
        <w:rPr>
          <w:rFonts w:ascii="Garamond" w:hAnsi="Garamond" w:cs="Arial"/>
          <w:sz w:val="24"/>
          <w:szCs w:val="24"/>
          <w:lang w:val="en-US"/>
        </w:rPr>
        <w:t xml:space="preserve"> For each function, tell at least one example. (allocation, redistribution and stabilization)</w:t>
      </w:r>
    </w:p>
    <w:p w:rsidR="00EB7601" w:rsidRPr="00836554" w:rsidRDefault="00836554" w:rsidP="00836554">
      <w:pPr>
        <w:pStyle w:val="Odstavecseseznamem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hAnsi="Garamond" w:cs="Arial"/>
          <w:b/>
          <w:sz w:val="28"/>
          <w:szCs w:val="24"/>
          <w:lang w:val="en-US"/>
        </w:rPr>
      </w:pPr>
      <w:r>
        <w:rPr>
          <w:rFonts w:ascii="Garamond" w:hAnsi="Garamond" w:cs="Arial"/>
          <w:sz w:val="24"/>
          <w:szCs w:val="24"/>
          <w:lang w:val="en-US"/>
        </w:rPr>
        <w:t xml:space="preserve">What is the difference between a tax and fee? </w:t>
      </w:r>
      <w:r w:rsidRPr="00836554">
        <w:rPr>
          <w:rFonts w:ascii="Garamond" w:hAnsi="Garamond"/>
          <w:sz w:val="24"/>
          <w:szCs w:val="24"/>
          <w:lang w:val="en-US"/>
        </w:rPr>
        <w:t xml:space="preserve">Try to define the main differences. What fees do you </w:t>
      </w:r>
      <w:r>
        <w:rPr>
          <w:rFonts w:ascii="Garamond" w:hAnsi="Garamond"/>
          <w:sz w:val="24"/>
          <w:szCs w:val="24"/>
          <w:lang w:val="en-US"/>
        </w:rPr>
        <w:t>have in your cou</w:t>
      </w:r>
      <w:r w:rsidR="00356432">
        <w:rPr>
          <w:rFonts w:ascii="Garamond" w:hAnsi="Garamond"/>
          <w:sz w:val="24"/>
          <w:szCs w:val="24"/>
          <w:lang w:val="en-US"/>
        </w:rPr>
        <w:t>n</w:t>
      </w:r>
      <w:r>
        <w:rPr>
          <w:rFonts w:ascii="Garamond" w:hAnsi="Garamond"/>
          <w:sz w:val="24"/>
          <w:szCs w:val="24"/>
          <w:lang w:val="en-US"/>
        </w:rPr>
        <w:t>try</w:t>
      </w:r>
      <w:r w:rsidRPr="00836554">
        <w:rPr>
          <w:rFonts w:ascii="Garamond" w:hAnsi="Garamond"/>
          <w:sz w:val="24"/>
          <w:szCs w:val="24"/>
          <w:lang w:val="en-US"/>
        </w:rPr>
        <w:t>?</w:t>
      </w:r>
      <w:r w:rsidR="00EB7601" w:rsidRPr="00836554">
        <w:rPr>
          <w:rFonts w:ascii="Garamond" w:hAnsi="Garamond"/>
          <w:sz w:val="24"/>
          <w:szCs w:val="24"/>
          <w:lang w:val="en-US"/>
        </w:rPr>
        <w:t xml:space="preserve"> </w:t>
      </w:r>
      <w:r w:rsidR="00EB7601" w:rsidRPr="00836554">
        <w:rPr>
          <w:rFonts w:ascii="Garamond" w:hAnsi="Garamond"/>
          <w:i/>
          <w:sz w:val="24"/>
          <w:szCs w:val="24"/>
          <w:lang w:val="en-US"/>
        </w:rPr>
        <w:t>(</w:t>
      </w:r>
      <w:r w:rsidRPr="00836554">
        <w:rPr>
          <w:rFonts w:ascii="Garamond" w:hAnsi="Garamond"/>
          <w:i/>
          <w:sz w:val="24"/>
          <w:szCs w:val="24"/>
          <w:lang w:val="en-US"/>
        </w:rPr>
        <w:t>administrative, judicial, local</w:t>
      </w:r>
      <w:r>
        <w:rPr>
          <w:rFonts w:ascii="Garamond" w:hAnsi="Garamond"/>
          <w:i/>
          <w:sz w:val="24"/>
          <w:szCs w:val="24"/>
          <w:lang w:val="en-US"/>
        </w:rPr>
        <w:t>)</w:t>
      </w:r>
    </w:p>
    <w:p w:rsidR="00836554" w:rsidRPr="00836554" w:rsidRDefault="00836554" w:rsidP="00EB7601">
      <w:pPr>
        <w:pStyle w:val="Odstavecseseznamem"/>
        <w:numPr>
          <w:ilvl w:val="0"/>
          <w:numId w:val="2"/>
        </w:numPr>
        <w:spacing w:after="0" w:line="240" w:lineRule="auto"/>
        <w:rPr>
          <w:rFonts w:ascii="Garamond" w:hAnsi="Garamond"/>
          <w:i/>
          <w:sz w:val="24"/>
          <w:szCs w:val="24"/>
          <w:lang w:val="en-US"/>
        </w:rPr>
      </w:pPr>
      <w:r w:rsidRPr="00836554">
        <w:rPr>
          <w:rFonts w:ascii="Garamond" w:hAnsi="Garamond"/>
          <w:sz w:val="24"/>
          <w:szCs w:val="24"/>
          <w:lang w:val="en-US"/>
        </w:rPr>
        <w:t>Describe</w:t>
      </w:r>
      <w:r w:rsidR="00EB7601" w:rsidRPr="00836554">
        <w:rPr>
          <w:rFonts w:ascii="Garamond" w:hAnsi="Garamond"/>
          <w:sz w:val="24"/>
          <w:szCs w:val="24"/>
          <w:lang w:val="en-US"/>
        </w:rPr>
        <w:t xml:space="preserve"> </w:t>
      </w:r>
      <w:r w:rsidRPr="00836554">
        <w:rPr>
          <w:rFonts w:ascii="Garamond" w:hAnsi="Garamond"/>
          <w:sz w:val="24"/>
          <w:szCs w:val="24"/>
          <w:lang w:val="en-US"/>
        </w:rPr>
        <w:t xml:space="preserve">tax system in your country. </w:t>
      </w:r>
      <w:r w:rsidR="00EB7601" w:rsidRPr="00836554">
        <w:rPr>
          <w:rFonts w:ascii="Garamond" w:hAnsi="Garamond"/>
          <w:sz w:val="24"/>
          <w:szCs w:val="24"/>
          <w:lang w:val="en-US"/>
        </w:rPr>
        <w:t xml:space="preserve"> </w:t>
      </w:r>
      <w:r w:rsidRPr="00836554">
        <w:rPr>
          <w:rFonts w:ascii="Garamond" w:hAnsi="Garamond"/>
          <w:sz w:val="24"/>
          <w:szCs w:val="24"/>
          <w:lang w:val="en-US"/>
        </w:rPr>
        <w:t>Characterize individual taxes</w:t>
      </w:r>
      <w:r>
        <w:rPr>
          <w:rFonts w:ascii="Garamond" w:hAnsi="Garamond"/>
          <w:sz w:val="24"/>
          <w:szCs w:val="24"/>
          <w:lang w:val="en-US"/>
        </w:rPr>
        <w:t xml:space="preserve">. </w:t>
      </w:r>
    </w:p>
    <w:p w:rsidR="00836554" w:rsidRPr="00836554" w:rsidRDefault="00836554" w:rsidP="00836554">
      <w:pPr>
        <w:pStyle w:val="Odstavecseseznamem"/>
        <w:spacing w:after="0" w:line="240" w:lineRule="auto"/>
        <w:rPr>
          <w:rFonts w:ascii="Garamond" w:hAnsi="Garamond"/>
          <w:i/>
          <w:sz w:val="24"/>
          <w:szCs w:val="24"/>
          <w:lang w:val="en-US"/>
        </w:rPr>
      </w:pPr>
      <w:r w:rsidRPr="00836554">
        <w:rPr>
          <w:rFonts w:ascii="Garamond" w:hAnsi="Garamond"/>
          <w:i/>
          <w:sz w:val="24"/>
          <w:szCs w:val="24"/>
          <w:lang w:val="en-US"/>
        </w:rPr>
        <w:t xml:space="preserve">Each tax has certain characteristics and according to them we can categorize taxes: </w:t>
      </w:r>
    </w:p>
    <w:p w:rsidR="00356432" w:rsidRDefault="00356432" w:rsidP="00EB7601">
      <w:pPr>
        <w:pStyle w:val="Odstavecseseznamem"/>
        <w:numPr>
          <w:ilvl w:val="1"/>
          <w:numId w:val="2"/>
        </w:numPr>
        <w:spacing w:after="0" w:line="240" w:lineRule="auto"/>
        <w:rPr>
          <w:rFonts w:ascii="Garamond" w:hAnsi="Garamond"/>
          <w:i/>
          <w:sz w:val="24"/>
          <w:szCs w:val="24"/>
          <w:lang w:val="en-US"/>
        </w:rPr>
      </w:pPr>
      <w:r w:rsidRPr="00356432">
        <w:rPr>
          <w:rFonts w:ascii="Garamond" w:hAnsi="Garamond"/>
          <w:i/>
          <w:sz w:val="24"/>
          <w:szCs w:val="24"/>
          <w:lang w:val="en-US"/>
        </w:rPr>
        <w:t xml:space="preserve">According to </w:t>
      </w:r>
      <w:r>
        <w:rPr>
          <w:rFonts w:ascii="Garamond" w:hAnsi="Garamond"/>
          <w:i/>
          <w:sz w:val="24"/>
          <w:szCs w:val="24"/>
          <w:lang w:val="en-US"/>
        </w:rPr>
        <w:t>a</w:t>
      </w:r>
      <w:r w:rsidRPr="00356432">
        <w:rPr>
          <w:rFonts w:ascii="Garamond" w:hAnsi="Garamond"/>
          <w:i/>
          <w:sz w:val="24"/>
          <w:szCs w:val="24"/>
          <w:lang w:val="en-US"/>
        </w:rPr>
        <w:t xml:space="preserve"> linkage to taxpayer – direc</w:t>
      </w:r>
      <w:r>
        <w:rPr>
          <w:rFonts w:ascii="Garamond" w:hAnsi="Garamond"/>
          <w:i/>
          <w:sz w:val="24"/>
          <w:szCs w:val="24"/>
          <w:lang w:val="en-US"/>
        </w:rPr>
        <w:t>t</w:t>
      </w:r>
      <w:r w:rsidRPr="00356432">
        <w:rPr>
          <w:rFonts w:ascii="Garamond" w:hAnsi="Garamond"/>
          <w:i/>
          <w:sz w:val="24"/>
          <w:szCs w:val="24"/>
          <w:lang w:val="en-US"/>
        </w:rPr>
        <w:t xml:space="preserve"> and indirect </w:t>
      </w:r>
      <w:r>
        <w:rPr>
          <w:rFonts w:ascii="Garamond" w:hAnsi="Garamond"/>
          <w:i/>
          <w:sz w:val="24"/>
          <w:szCs w:val="24"/>
          <w:lang w:val="en-US"/>
        </w:rPr>
        <w:t>taxes</w:t>
      </w:r>
    </w:p>
    <w:p w:rsidR="00EB7601" w:rsidRPr="00356432" w:rsidRDefault="00356432" w:rsidP="00EB7601">
      <w:pPr>
        <w:pStyle w:val="Odstavecseseznamem"/>
        <w:numPr>
          <w:ilvl w:val="1"/>
          <w:numId w:val="2"/>
        </w:numPr>
        <w:spacing w:after="0" w:line="240" w:lineRule="auto"/>
        <w:rPr>
          <w:rFonts w:ascii="Garamond" w:hAnsi="Garamond"/>
          <w:i/>
          <w:sz w:val="24"/>
          <w:szCs w:val="24"/>
          <w:lang w:val="en-US"/>
        </w:rPr>
      </w:pPr>
      <w:r>
        <w:rPr>
          <w:rFonts w:ascii="Garamond" w:hAnsi="Garamond"/>
          <w:i/>
          <w:sz w:val="24"/>
          <w:szCs w:val="24"/>
          <w:lang w:val="en-US"/>
        </w:rPr>
        <w:t xml:space="preserve">According to a subject </w:t>
      </w:r>
      <w:r w:rsidR="00EB7601" w:rsidRPr="00356432">
        <w:rPr>
          <w:rFonts w:ascii="Garamond" w:hAnsi="Garamond"/>
          <w:i/>
          <w:sz w:val="24"/>
          <w:szCs w:val="24"/>
          <w:lang w:val="en-US"/>
        </w:rPr>
        <w:t xml:space="preserve">– </w:t>
      </w:r>
      <w:r>
        <w:rPr>
          <w:rFonts w:ascii="Garamond" w:hAnsi="Garamond"/>
          <w:i/>
          <w:sz w:val="24"/>
          <w:szCs w:val="24"/>
          <w:lang w:val="en-US"/>
        </w:rPr>
        <w:t>wealth tax, income tax, excise tax, lump sum tax etc.</w:t>
      </w:r>
    </w:p>
    <w:p w:rsidR="00EB7601" w:rsidRPr="00E47A9F" w:rsidRDefault="00356432" w:rsidP="00EB7601">
      <w:pPr>
        <w:pStyle w:val="Odstavecseseznamem"/>
        <w:numPr>
          <w:ilvl w:val="1"/>
          <w:numId w:val="2"/>
        </w:numPr>
        <w:spacing w:after="0" w:line="240" w:lineRule="auto"/>
        <w:rPr>
          <w:rFonts w:ascii="Garamond" w:hAnsi="Garamond"/>
          <w:i/>
          <w:sz w:val="24"/>
          <w:szCs w:val="24"/>
          <w:lang w:val="en-US"/>
        </w:rPr>
      </w:pPr>
      <w:r>
        <w:rPr>
          <w:rFonts w:ascii="Garamond" w:hAnsi="Garamond"/>
          <w:i/>
          <w:sz w:val="24"/>
          <w:szCs w:val="24"/>
          <w:lang w:val="en-US"/>
        </w:rPr>
        <w:t>According to a tax rate</w:t>
      </w:r>
      <w:r w:rsidR="00EB7601" w:rsidRPr="00E47A9F">
        <w:rPr>
          <w:rFonts w:ascii="Garamond" w:hAnsi="Garamond"/>
          <w:i/>
          <w:sz w:val="24"/>
          <w:szCs w:val="24"/>
          <w:lang w:val="en-US"/>
        </w:rPr>
        <w:t xml:space="preserve">– </w:t>
      </w:r>
      <w:r>
        <w:rPr>
          <w:rFonts w:ascii="Garamond" w:hAnsi="Garamond"/>
          <w:i/>
          <w:sz w:val="24"/>
          <w:szCs w:val="24"/>
          <w:lang w:val="en-US"/>
        </w:rPr>
        <w:t>fixed and percentage (progressive, proportional, regressive)</w:t>
      </w:r>
    </w:p>
    <w:p w:rsidR="00356432" w:rsidRPr="00356432" w:rsidRDefault="00356432" w:rsidP="00356432">
      <w:pPr>
        <w:pStyle w:val="Odstavecseseznamem"/>
        <w:spacing w:before="240" w:after="0" w:line="240" w:lineRule="auto"/>
        <w:ind w:left="426"/>
        <w:jc w:val="both"/>
        <w:rPr>
          <w:rFonts w:ascii="Garamond" w:hAnsi="Garamond" w:cs="Arial"/>
          <w:b/>
          <w:sz w:val="28"/>
          <w:szCs w:val="24"/>
          <w:lang w:val="en-US"/>
        </w:rPr>
      </w:pPr>
      <w:r>
        <w:rPr>
          <w:rFonts w:ascii="Garamond" w:hAnsi="Garamond"/>
          <w:i/>
          <w:sz w:val="24"/>
          <w:szCs w:val="24"/>
          <w:lang w:val="en-US"/>
        </w:rPr>
        <w:t>G</w:t>
      </w:r>
      <w:r w:rsidRPr="00356432">
        <w:rPr>
          <w:rFonts w:ascii="Garamond" w:hAnsi="Garamond"/>
          <w:i/>
          <w:sz w:val="24"/>
          <w:szCs w:val="24"/>
          <w:lang w:val="en-US"/>
        </w:rPr>
        <w:t xml:space="preserve">ive an example from your tax system </w:t>
      </w:r>
      <w:r>
        <w:rPr>
          <w:rFonts w:ascii="Garamond" w:hAnsi="Garamond"/>
          <w:i/>
          <w:sz w:val="24"/>
          <w:szCs w:val="24"/>
          <w:lang w:val="en-US"/>
        </w:rPr>
        <w:t>f</w:t>
      </w:r>
      <w:r w:rsidRPr="00356432">
        <w:rPr>
          <w:rFonts w:ascii="Garamond" w:hAnsi="Garamond"/>
          <w:i/>
          <w:sz w:val="24"/>
          <w:szCs w:val="24"/>
          <w:lang w:val="en-US"/>
        </w:rPr>
        <w:t xml:space="preserve">or each </w:t>
      </w:r>
      <w:proofErr w:type="gramStart"/>
      <w:r w:rsidRPr="00356432">
        <w:rPr>
          <w:rFonts w:ascii="Garamond" w:hAnsi="Garamond"/>
          <w:i/>
          <w:sz w:val="24"/>
          <w:szCs w:val="24"/>
          <w:lang w:val="en-US"/>
        </w:rPr>
        <w:t>cases</w:t>
      </w:r>
      <w:proofErr w:type="gramEnd"/>
      <w:r w:rsidRPr="00356432">
        <w:rPr>
          <w:rFonts w:ascii="Garamond" w:hAnsi="Garamond"/>
          <w:i/>
          <w:sz w:val="24"/>
          <w:szCs w:val="24"/>
          <w:lang w:val="en-US"/>
        </w:rPr>
        <w:t xml:space="preserve">. </w:t>
      </w:r>
    </w:p>
    <w:p w:rsidR="00356432" w:rsidRPr="00356432" w:rsidRDefault="00356432" w:rsidP="00356432">
      <w:pPr>
        <w:pStyle w:val="Odstavecseseznamem"/>
        <w:spacing w:before="240" w:after="0" w:line="240" w:lineRule="auto"/>
        <w:ind w:left="426"/>
        <w:jc w:val="both"/>
        <w:rPr>
          <w:rFonts w:ascii="Garamond" w:hAnsi="Garamond" w:cs="Arial"/>
          <w:b/>
          <w:sz w:val="28"/>
          <w:szCs w:val="24"/>
          <w:lang w:val="en-US"/>
        </w:rPr>
      </w:pPr>
    </w:p>
    <w:p w:rsidR="00EE5ECC" w:rsidRPr="00356432" w:rsidRDefault="00356432" w:rsidP="00EE5ECC">
      <w:pPr>
        <w:pStyle w:val="Odstavecseseznamem"/>
        <w:numPr>
          <w:ilvl w:val="0"/>
          <w:numId w:val="1"/>
        </w:numPr>
        <w:spacing w:before="240" w:after="0" w:line="240" w:lineRule="auto"/>
        <w:ind w:left="426" w:hanging="426"/>
        <w:jc w:val="both"/>
        <w:rPr>
          <w:rFonts w:ascii="Garamond" w:hAnsi="Garamond" w:cs="Arial"/>
          <w:b/>
          <w:sz w:val="28"/>
          <w:szCs w:val="24"/>
          <w:lang w:val="en-US"/>
        </w:rPr>
      </w:pPr>
      <w:r>
        <w:rPr>
          <w:rFonts w:ascii="Garamond" w:hAnsi="Garamond" w:cs="Arial"/>
          <w:b/>
          <w:sz w:val="28"/>
          <w:szCs w:val="24"/>
          <w:lang w:val="en-US"/>
        </w:rPr>
        <w:lastRenderedPageBreak/>
        <w:t>Tax revenues</w:t>
      </w:r>
    </w:p>
    <w:p w:rsidR="00356432" w:rsidRPr="00AD0A3E" w:rsidRDefault="00356432" w:rsidP="00AD0A3E">
      <w:pPr>
        <w:pStyle w:val="Odstavecseseznamem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hAnsi="Garamond"/>
          <w:sz w:val="24"/>
          <w:szCs w:val="24"/>
          <w:lang w:val="en-US"/>
        </w:rPr>
      </w:pPr>
      <w:r w:rsidRPr="00AD0A3E">
        <w:rPr>
          <w:rFonts w:ascii="Garamond" w:hAnsi="Garamond"/>
          <w:sz w:val="24"/>
          <w:szCs w:val="24"/>
          <w:lang w:val="en-US"/>
        </w:rPr>
        <w:t xml:space="preserve">What is the share of tax revenues in public revenues in your country? </w:t>
      </w:r>
    </w:p>
    <w:p w:rsidR="00356432" w:rsidRPr="00AD0A3E" w:rsidRDefault="00356432" w:rsidP="00AD0A3E">
      <w:pPr>
        <w:pStyle w:val="Odstavecseseznamem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hAnsi="Garamond"/>
          <w:sz w:val="24"/>
          <w:szCs w:val="24"/>
          <w:lang w:val="en-US"/>
        </w:rPr>
      </w:pPr>
      <w:r w:rsidRPr="00AD0A3E">
        <w:rPr>
          <w:rFonts w:ascii="Garamond" w:hAnsi="Garamond"/>
          <w:sz w:val="24"/>
          <w:szCs w:val="24"/>
          <w:lang w:val="en-US"/>
        </w:rPr>
        <w:t xml:space="preserve">Which tax has the largest share in public revenues in your country? </w:t>
      </w:r>
      <w:r w:rsidR="00AD0A3E" w:rsidRPr="00AD0A3E">
        <w:rPr>
          <w:rFonts w:ascii="Garamond" w:hAnsi="Garamond"/>
          <w:sz w:val="24"/>
          <w:szCs w:val="24"/>
          <w:lang w:val="en-US"/>
        </w:rPr>
        <w:t>(</w:t>
      </w:r>
      <w:proofErr w:type="gramStart"/>
      <w:r w:rsidR="00AD0A3E" w:rsidRPr="00AD0A3E">
        <w:rPr>
          <w:rFonts w:ascii="Garamond" w:hAnsi="Garamond"/>
          <w:sz w:val="24"/>
          <w:szCs w:val="24"/>
          <w:lang w:val="en-US"/>
        </w:rPr>
        <w:t>try</w:t>
      </w:r>
      <w:proofErr w:type="gramEnd"/>
      <w:r w:rsidR="00AD0A3E" w:rsidRPr="00AD0A3E">
        <w:rPr>
          <w:rFonts w:ascii="Garamond" w:hAnsi="Garamond"/>
          <w:sz w:val="24"/>
          <w:szCs w:val="24"/>
          <w:lang w:val="en-US"/>
        </w:rPr>
        <w:t xml:space="preserve"> to find out shares for each taxes)</w:t>
      </w:r>
    </w:p>
    <w:p w:rsidR="00AD0A3E" w:rsidRDefault="00356432" w:rsidP="00AD0A3E">
      <w:pPr>
        <w:pStyle w:val="Odstavecseseznamem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hAnsi="Garamond"/>
          <w:sz w:val="24"/>
          <w:szCs w:val="24"/>
          <w:lang w:val="en-US"/>
        </w:rPr>
      </w:pPr>
      <w:r w:rsidRPr="00AD0A3E">
        <w:rPr>
          <w:rFonts w:ascii="Garamond" w:hAnsi="Garamond"/>
          <w:sz w:val="24"/>
          <w:szCs w:val="24"/>
          <w:lang w:val="en-US"/>
        </w:rPr>
        <w:t>Why do we rank social security and health insurance to the tax revenue?</w:t>
      </w:r>
    </w:p>
    <w:p w:rsidR="00AD0A3E" w:rsidRPr="00AD0A3E" w:rsidRDefault="00AD0A3E" w:rsidP="00AD0A3E">
      <w:pPr>
        <w:pStyle w:val="Odstavecseseznamem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hAnsi="Garamond"/>
          <w:sz w:val="24"/>
          <w:szCs w:val="24"/>
          <w:lang w:val="en-US"/>
        </w:rPr>
      </w:pPr>
      <w:r w:rsidRPr="00AD0A3E">
        <w:rPr>
          <w:rFonts w:ascii="Garamond" w:hAnsi="Garamond"/>
          <w:sz w:val="24"/>
          <w:szCs w:val="24"/>
          <w:lang w:val="en-US"/>
        </w:rPr>
        <w:t xml:space="preserve">What does it mean tax quota? What is a difference between simple and compound tax quota? </w:t>
      </w:r>
    </w:p>
    <w:p w:rsidR="00AD0A3E" w:rsidRPr="00AD0A3E" w:rsidRDefault="00AD0A3E" w:rsidP="00AD0A3E">
      <w:pPr>
        <w:pStyle w:val="Odstavecseseznamem"/>
        <w:spacing w:after="0" w:line="240" w:lineRule="auto"/>
        <w:ind w:left="360"/>
        <w:jc w:val="both"/>
        <w:rPr>
          <w:rFonts w:ascii="Garamond" w:hAnsi="Garamond"/>
          <w:b/>
          <w:sz w:val="24"/>
          <w:szCs w:val="24"/>
          <w:lang w:val="en-US"/>
        </w:rPr>
      </w:pPr>
    </w:p>
    <w:p w:rsidR="00C104D3" w:rsidRPr="00AD0A3E" w:rsidRDefault="00AD0A3E" w:rsidP="00AD0A3E">
      <w:pPr>
        <w:pStyle w:val="Odstavecseseznamem"/>
        <w:spacing w:after="0" w:line="240" w:lineRule="auto"/>
        <w:ind w:left="360"/>
        <w:jc w:val="both"/>
        <w:rPr>
          <w:rFonts w:ascii="Garamond" w:hAnsi="Garamond"/>
          <w:b/>
          <w:sz w:val="24"/>
          <w:szCs w:val="24"/>
          <w:lang w:val="en-US"/>
        </w:rPr>
      </w:pPr>
      <w:r>
        <w:rPr>
          <w:rFonts w:ascii="Garamond" w:hAnsi="Garamond"/>
          <w:b/>
          <w:sz w:val="24"/>
          <w:szCs w:val="24"/>
          <w:lang w:val="en-US"/>
        </w:rPr>
        <w:t>Tax quota – international comparison (2012, % G</w:t>
      </w:r>
      <w:r w:rsidR="00C104D3" w:rsidRPr="00AD0A3E">
        <w:rPr>
          <w:rFonts w:ascii="Garamond" w:hAnsi="Garamond"/>
          <w:b/>
          <w:sz w:val="24"/>
          <w:szCs w:val="24"/>
          <w:lang w:val="en-US"/>
        </w:rPr>
        <w:t>DP)</w:t>
      </w:r>
    </w:p>
    <w:p w:rsidR="00551965" w:rsidRPr="00E47A9F" w:rsidRDefault="00C104D3" w:rsidP="00D607E6">
      <w:pPr>
        <w:ind w:left="360"/>
        <w:rPr>
          <w:rFonts w:ascii="Garamond" w:hAnsi="Garamond"/>
          <w:b/>
          <w:sz w:val="24"/>
          <w:szCs w:val="24"/>
          <w:lang w:val="en-US"/>
        </w:rPr>
      </w:pPr>
      <w:r w:rsidRPr="00E47A9F">
        <w:rPr>
          <w:noProof/>
          <w:lang w:val="en-US" w:eastAsia="cs-CZ"/>
        </w:rPr>
        <w:drawing>
          <wp:inline distT="0" distB="0" distL="0" distR="0">
            <wp:extent cx="5400675" cy="2524125"/>
            <wp:effectExtent l="0" t="0" r="9525" b="9525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E2612" w:rsidRPr="00E47A9F" w:rsidRDefault="00AD0A3E" w:rsidP="005E2612">
      <w:pPr>
        <w:jc w:val="both"/>
        <w:rPr>
          <w:rFonts w:ascii="Garamond" w:hAnsi="Garamond"/>
          <w:szCs w:val="24"/>
          <w:lang w:val="en-US"/>
        </w:rPr>
      </w:pPr>
      <w:r>
        <w:rPr>
          <w:rFonts w:ascii="Garamond" w:hAnsi="Garamond"/>
          <w:szCs w:val="24"/>
          <w:lang w:val="en-US"/>
        </w:rPr>
        <w:t>Source</w:t>
      </w:r>
      <w:r w:rsidR="00551965" w:rsidRPr="00E47A9F">
        <w:rPr>
          <w:rFonts w:ascii="Garamond" w:hAnsi="Garamond"/>
          <w:szCs w:val="24"/>
          <w:lang w:val="en-US"/>
        </w:rPr>
        <w:t xml:space="preserve">: </w:t>
      </w:r>
      <w:proofErr w:type="spellStart"/>
      <w:r w:rsidR="00C104D3" w:rsidRPr="00E47A9F">
        <w:rPr>
          <w:rFonts w:ascii="Garamond" w:hAnsi="Garamond"/>
          <w:szCs w:val="24"/>
          <w:lang w:val="en-US"/>
        </w:rPr>
        <w:t>OECD.stat</w:t>
      </w:r>
      <w:proofErr w:type="spellEnd"/>
      <w:r w:rsidR="00C104D3" w:rsidRPr="00E47A9F">
        <w:rPr>
          <w:rFonts w:ascii="Garamond" w:hAnsi="Garamond"/>
          <w:szCs w:val="24"/>
          <w:lang w:val="en-US"/>
        </w:rPr>
        <w:t>. (2014</w:t>
      </w:r>
      <w:r w:rsidR="005E2612" w:rsidRPr="00E47A9F">
        <w:rPr>
          <w:rFonts w:ascii="Garamond" w:hAnsi="Garamond"/>
          <w:szCs w:val="24"/>
          <w:lang w:val="en-US"/>
        </w:rPr>
        <w:t>)</w:t>
      </w:r>
    </w:p>
    <w:p w:rsidR="00AF5FB4" w:rsidRPr="00E47A9F" w:rsidRDefault="00AD0A3E" w:rsidP="00191D30">
      <w:pPr>
        <w:pStyle w:val="Odstavecseseznamem"/>
        <w:numPr>
          <w:ilvl w:val="0"/>
          <w:numId w:val="6"/>
        </w:num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Can we deduce according to the tax quota a characteristic of tax revenues and tax system in certain </w:t>
      </w:r>
      <w:proofErr w:type="spellStart"/>
      <w:r>
        <w:rPr>
          <w:rFonts w:ascii="Garamond" w:hAnsi="Garamond"/>
          <w:sz w:val="24"/>
          <w:szCs w:val="24"/>
          <w:lang w:val="en-US"/>
        </w:rPr>
        <w:t>coutry</w:t>
      </w:r>
      <w:proofErr w:type="spellEnd"/>
      <w:r>
        <w:rPr>
          <w:rFonts w:ascii="Garamond" w:hAnsi="Garamond"/>
          <w:sz w:val="24"/>
          <w:szCs w:val="24"/>
          <w:lang w:val="en-US"/>
        </w:rPr>
        <w:t>?</w:t>
      </w:r>
    </w:p>
    <w:p w:rsidR="00137529" w:rsidRPr="00E47A9F" w:rsidRDefault="00137529" w:rsidP="00CD7AA4">
      <w:pPr>
        <w:pStyle w:val="Odstavecseseznamem"/>
        <w:ind w:left="0"/>
        <w:rPr>
          <w:rFonts w:ascii="Garamond" w:hAnsi="Garamond"/>
          <w:sz w:val="24"/>
          <w:szCs w:val="24"/>
          <w:lang w:val="en-US"/>
        </w:rPr>
      </w:pPr>
    </w:p>
    <w:p w:rsidR="006C7356" w:rsidRPr="00E47A9F" w:rsidRDefault="00E6470D" w:rsidP="006C7356">
      <w:pPr>
        <w:pStyle w:val="Odstavecseseznamem"/>
        <w:numPr>
          <w:ilvl w:val="0"/>
          <w:numId w:val="1"/>
        </w:numPr>
        <w:spacing w:before="240"/>
        <w:ind w:left="426" w:hanging="426"/>
        <w:jc w:val="both"/>
        <w:rPr>
          <w:rFonts w:ascii="Garamond" w:hAnsi="Garamond" w:cs="Arial"/>
          <w:b/>
          <w:sz w:val="28"/>
          <w:szCs w:val="24"/>
          <w:lang w:val="en-US"/>
        </w:rPr>
      </w:pPr>
      <w:r>
        <w:rPr>
          <w:rFonts w:ascii="Garamond" w:hAnsi="Garamond" w:cs="Arial"/>
          <w:b/>
          <w:sz w:val="28"/>
          <w:szCs w:val="24"/>
          <w:lang w:val="en-US"/>
        </w:rPr>
        <w:t>Tax efficiency and tax burden</w:t>
      </w:r>
    </w:p>
    <w:p w:rsidR="00E6470D" w:rsidRPr="00E6470D" w:rsidRDefault="00E6470D" w:rsidP="00E6470D">
      <w:pPr>
        <w:pStyle w:val="Odstavecseseznamem"/>
        <w:numPr>
          <w:ilvl w:val="0"/>
          <w:numId w:val="3"/>
        </w:numPr>
        <w:rPr>
          <w:rFonts w:ascii="Garamond" w:hAnsi="Garamond"/>
          <w:sz w:val="24"/>
          <w:szCs w:val="24"/>
          <w:lang w:val="en-US"/>
        </w:rPr>
      </w:pPr>
      <w:r w:rsidRPr="00E6470D">
        <w:rPr>
          <w:rFonts w:ascii="Garamond" w:hAnsi="Garamond"/>
          <w:sz w:val="24"/>
          <w:szCs w:val="24"/>
          <w:lang w:val="en-US"/>
        </w:rPr>
        <w:t xml:space="preserve">Are there costs associated with tax collection? What additional costs except the actual tax payment you perceive? </w:t>
      </w:r>
    </w:p>
    <w:p w:rsidR="00160119" w:rsidRPr="00E6470D" w:rsidRDefault="00E6470D" w:rsidP="00160119">
      <w:pPr>
        <w:pStyle w:val="Odstavecseseznamem"/>
        <w:numPr>
          <w:ilvl w:val="1"/>
          <w:numId w:val="3"/>
        </w:num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Direct administrative costs </w:t>
      </w:r>
      <w:r w:rsidR="00160119" w:rsidRPr="00E6470D">
        <w:rPr>
          <w:rFonts w:ascii="Garamond" w:hAnsi="Garamond"/>
          <w:sz w:val="24"/>
          <w:szCs w:val="24"/>
          <w:lang w:val="en-US"/>
        </w:rPr>
        <w:t>(</w:t>
      </w:r>
      <w:proofErr w:type="spellStart"/>
      <w:r>
        <w:rPr>
          <w:rFonts w:ascii="Garamond" w:hAnsi="Garamond"/>
          <w:sz w:val="24"/>
          <w:szCs w:val="24"/>
          <w:lang w:val="en-US"/>
        </w:rPr>
        <w:t>ie</w:t>
      </w:r>
      <w:proofErr w:type="spellEnd"/>
      <w:r w:rsidR="00160119" w:rsidRPr="00E6470D">
        <w:rPr>
          <w:rFonts w:ascii="Garamond" w:hAnsi="Garamond"/>
          <w:sz w:val="24"/>
          <w:szCs w:val="24"/>
          <w:lang w:val="en-US"/>
        </w:rPr>
        <w:t xml:space="preserve">. </w:t>
      </w:r>
      <w:r>
        <w:rPr>
          <w:rFonts w:ascii="Garamond" w:hAnsi="Garamond"/>
          <w:sz w:val="24"/>
          <w:szCs w:val="24"/>
          <w:lang w:val="en-US"/>
        </w:rPr>
        <w:t>connected with tax collection</w:t>
      </w:r>
      <w:r w:rsidR="00160119" w:rsidRPr="00E6470D">
        <w:rPr>
          <w:rFonts w:ascii="Garamond" w:hAnsi="Garamond"/>
          <w:sz w:val="24"/>
          <w:szCs w:val="24"/>
          <w:lang w:val="en-US"/>
        </w:rPr>
        <w:t>)</w:t>
      </w:r>
    </w:p>
    <w:p w:rsidR="00137529" w:rsidRDefault="00E6470D" w:rsidP="009F6E16">
      <w:pPr>
        <w:pStyle w:val="Odstavecseseznamem"/>
        <w:numPr>
          <w:ilvl w:val="1"/>
          <w:numId w:val="3"/>
        </w:num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Indirect </w:t>
      </w:r>
      <w:r w:rsidR="009C3345">
        <w:rPr>
          <w:rFonts w:ascii="Garamond" w:hAnsi="Garamond"/>
          <w:sz w:val="24"/>
          <w:szCs w:val="24"/>
          <w:lang w:val="en-US"/>
        </w:rPr>
        <w:t xml:space="preserve">administrative costs </w:t>
      </w:r>
      <w:r w:rsidR="00160119" w:rsidRPr="00E47A9F">
        <w:rPr>
          <w:rFonts w:ascii="Garamond" w:hAnsi="Garamond"/>
          <w:sz w:val="24"/>
          <w:szCs w:val="24"/>
          <w:lang w:val="en-US"/>
        </w:rPr>
        <w:t>(</w:t>
      </w:r>
      <w:r w:rsidR="009C3345">
        <w:rPr>
          <w:rFonts w:ascii="Garamond" w:hAnsi="Garamond"/>
          <w:sz w:val="24"/>
          <w:szCs w:val="24"/>
          <w:lang w:val="en-US"/>
        </w:rPr>
        <w:t>private sector bears</w:t>
      </w:r>
      <w:r w:rsidR="00160119" w:rsidRPr="00E47A9F">
        <w:rPr>
          <w:rFonts w:ascii="Garamond" w:hAnsi="Garamond"/>
          <w:sz w:val="24"/>
          <w:szCs w:val="24"/>
          <w:lang w:val="en-US"/>
        </w:rPr>
        <w:t xml:space="preserve">) </w:t>
      </w:r>
    </w:p>
    <w:p w:rsidR="009F6E16" w:rsidRPr="009F6E16" w:rsidRDefault="009F6E16" w:rsidP="009F6E16">
      <w:pPr>
        <w:pStyle w:val="Odstavecseseznamem"/>
        <w:numPr>
          <w:ilvl w:val="1"/>
          <w:numId w:val="3"/>
        </w:numPr>
        <w:rPr>
          <w:rFonts w:ascii="Garamond" w:hAnsi="Garamond"/>
          <w:sz w:val="24"/>
          <w:szCs w:val="24"/>
          <w:lang w:val="en-US"/>
        </w:rPr>
      </w:pPr>
    </w:p>
    <w:p w:rsidR="00137529" w:rsidRPr="00E47A9F" w:rsidRDefault="009C3345" w:rsidP="00137529">
      <w:pPr>
        <w:pStyle w:val="Odstavecseseznamem"/>
        <w:numPr>
          <w:ilvl w:val="0"/>
          <w:numId w:val="3"/>
        </w:numPr>
        <w:rPr>
          <w:rFonts w:ascii="Garamond" w:hAnsi="Garamond"/>
          <w:i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Deadweight loss = Excess burden</w:t>
      </w:r>
    </w:p>
    <w:p w:rsidR="009F6E16" w:rsidRPr="009F6E16" w:rsidRDefault="009C3345" w:rsidP="009F6E16">
      <w:pPr>
        <w:pStyle w:val="Odstavecseseznamem"/>
        <w:numPr>
          <w:ilvl w:val="1"/>
          <w:numId w:val="3"/>
        </w:numPr>
        <w:ind w:left="1080"/>
        <w:rPr>
          <w:rFonts w:ascii="Garamond" w:hAnsi="Garamond"/>
          <w:i/>
          <w:sz w:val="24"/>
          <w:szCs w:val="24"/>
          <w:lang w:val="en-US"/>
        </w:rPr>
      </w:pPr>
      <w:r w:rsidRPr="009F6E16">
        <w:rPr>
          <w:rFonts w:ascii="Garamond" w:hAnsi="Garamond"/>
          <w:sz w:val="24"/>
          <w:szCs w:val="24"/>
          <w:lang w:val="en-US"/>
        </w:rPr>
        <w:t>Imagine – taxes don´t exist. On a market with cigarettes is equilibrium – consumer buy what they want and producer sell what they are able to produce. Than government impose taxes</w:t>
      </w:r>
      <w:r w:rsidR="009F6E16">
        <w:rPr>
          <w:rFonts w:ascii="Garamond" w:hAnsi="Garamond"/>
          <w:sz w:val="24"/>
          <w:szCs w:val="24"/>
          <w:lang w:val="en-US"/>
        </w:rPr>
        <w:t xml:space="preserve"> (1,50$ for each package)</w:t>
      </w:r>
      <w:r w:rsidRPr="009F6E16">
        <w:rPr>
          <w:rFonts w:ascii="Garamond" w:hAnsi="Garamond"/>
          <w:sz w:val="24"/>
          <w:szCs w:val="24"/>
          <w:lang w:val="en-US"/>
        </w:rPr>
        <w:t xml:space="preserve"> to cigarettes because of citizens´ health. Because it is indirect tax – producers transfer this “additional cost” to consumers and price of cigarettes go up</w:t>
      </w:r>
      <w:r w:rsidR="00AE7935" w:rsidRPr="009F6E16">
        <w:rPr>
          <w:rFonts w:ascii="Garamond" w:hAnsi="Garamond"/>
          <w:sz w:val="24"/>
          <w:szCs w:val="24"/>
          <w:lang w:val="en-US"/>
        </w:rPr>
        <w:t xml:space="preserve">. </w:t>
      </w:r>
      <w:r w:rsidRPr="009F6E16">
        <w:rPr>
          <w:rFonts w:ascii="Garamond" w:hAnsi="Garamond"/>
          <w:sz w:val="24"/>
          <w:szCs w:val="24"/>
          <w:lang w:val="en-US"/>
        </w:rPr>
        <w:t xml:space="preserve">People are forced to decrease a cigarettes consumption because of limited incomes and part of consumer replace it </w:t>
      </w:r>
      <w:proofErr w:type="spellStart"/>
      <w:r w:rsidRPr="009F6E16">
        <w:rPr>
          <w:rFonts w:ascii="Garamond" w:hAnsi="Garamond"/>
          <w:sz w:val="24"/>
          <w:szCs w:val="24"/>
          <w:lang w:val="en-US"/>
        </w:rPr>
        <w:t>ie</w:t>
      </w:r>
      <w:proofErr w:type="spellEnd"/>
      <w:r w:rsidRPr="009F6E16">
        <w:rPr>
          <w:rFonts w:ascii="Garamond" w:hAnsi="Garamond"/>
          <w:sz w:val="24"/>
          <w:szCs w:val="24"/>
          <w:lang w:val="en-US"/>
        </w:rPr>
        <w:t xml:space="preserve">. </w:t>
      </w:r>
      <w:proofErr w:type="gramStart"/>
      <w:r w:rsidRPr="009F6E16">
        <w:rPr>
          <w:rFonts w:ascii="Garamond" w:hAnsi="Garamond"/>
          <w:sz w:val="24"/>
          <w:szCs w:val="24"/>
          <w:lang w:val="en-US"/>
        </w:rPr>
        <w:t>tobacco</w:t>
      </w:r>
      <w:proofErr w:type="gramEnd"/>
      <w:r w:rsidRPr="009F6E16">
        <w:rPr>
          <w:rFonts w:ascii="Garamond" w:hAnsi="Garamond"/>
          <w:sz w:val="24"/>
          <w:szCs w:val="24"/>
          <w:lang w:val="en-US"/>
        </w:rPr>
        <w:t>, electronics cigarettes whi</w:t>
      </w:r>
      <w:r w:rsidR="009F6E16" w:rsidRPr="009F6E16">
        <w:rPr>
          <w:rFonts w:ascii="Garamond" w:hAnsi="Garamond"/>
          <w:sz w:val="24"/>
          <w:szCs w:val="24"/>
          <w:lang w:val="en-US"/>
        </w:rPr>
        <w:t>ch</w:t>
      </w:r>
      <w:r w:rsidRPr="009F6E16">
        <w:rPr>
          <w:rFonts w:ascii="Garamond" w:hAnsi="Garamond"/>
          <w:sz w:val="24"/>
          <w:szCs w:val="24"/>
          <w:lang w:val="en-US"/>
        </w:rPr>
        <w:t xml:space="preserve"> are cheaper. Producer</w:t>
      </w:r>
      <w:r w:rsidR="009F6E16" w:rsidRPr="009F6E16">
        <w:rPr>
          <w:rFonts w:ascii="Garamond" w:hAnsi="Garamond"/>
          <w:sz w:val="24"/>
          <w:szCs w:val="24"/>
          <w:lang w:val="en-US"/>
        </w:rPr>
        <w:t>s</w:t>
      </w:r>
      <w:r w:rsidRPr="009F6E16">
        <w:rPr>
          <w:rFonts w:ascii="Garamond" w:hAnsi="Garamond"/>
          <w:sz w:val="24"/>
          <w:szCs w:val="24"/>
          <w:lang w:val="en-US"/>
        </w:rPr>
        <w:t xml:space="preserve"> sell fewer cigarettes and limit their production. </w:t>
      </w:r>
    </w:p>
    <w:p w:rsidR="00AE7935" w:rsidRPr="009F6E16" w:rsidRDefault="009F6E16" w:rsidP="009F6E16">
      <w:pPr>
        <w:pStyle w:val="Odstavecseseznamem"/>
        <w:numPr>
          <w:ilvl w:val="1"/>
          <w:numId w:val="3"/>
        </w:numPr>
        <w:ind w:left="1080"/>
        <w:rPr>
          <w:rFonts w:ascii="Garamond" w:hAnsi="Garamond"/>
          <w:i/>
          <w:sz w:val="24"/>
          <w:szCs w:val="24"/>
          <w:lang w:val="en-US"/>
        </w:rPr>
      </w:pPr>
      <w:r w:rsidRPr="009F6E16">
        <w:rPr>
          <w:rFonts w:ascii="Garamond" w:hAnsi="Garamond"/>
          <w:sz w:val="24"/>
          <w:szCs w:val="24"/>
          <w:lang w:val="en-US"/>
        </w:rPr>
        <w:lastRenderedPageBreak/>
        <w:t>To what losses and benefits and on what side (consumer, producer, state) in this situation come about?</w:t>
      </w:r>
      <w:r w:rsidR="00E6470D" w:rsidRPr="009F6E16">
        <w:rPr>
          <w:noProof/>
          <w:lang w:val="en-US" w:eastAsia="cs-CZ"/>
        </w:rPr>
        <w:t xml:space="preserve"> </w:t>
      </w:r>
      <w:r w:rsidR="00E6470D">
        <w:rPr>
          <w:noProof/>
          <w:lang w:eastAsia="cs-CZ"/>
        </w:rPr>
        <w:drawing>
          <wp:inline distT="0" distB="0" distL="0" distR="0">
            <wp:extent cx="5904230" cy="4530508"/>
            <wp:effectExtent l="19050" t="0" r="1270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4530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AA4" w:rsidRPr="00E47A9F" w:rsidRDefault="00E6470D" w:rsidP="00C104D3">
      <w:pPr>
        <w:jc w:val="center"/>
        <w:rPr>
          <w:rFonts w:ascii="Garamond" w:hAnsi="Garamond"/>
          <w:b/>
          <w:sz w:val="24"/>
          <w:szCs w:val="24"/>
          <w:lang w:val="en-US"/>
        </w:rPr>
      </w:pPr>
      <w:r>
        <w:rPr>
          <w:rFonts w:ascii="Garamond" w:hAnsi="Garamond"/>
          <w:b/>
          <w:sz w:val="24"/>
          <w:szCs w:val="24"/>
          <w:bdr w:val="single" w:sz="4" w:space="0" w:color="auto"/>
          <w:lang w:val="en-US"/>
        </w:rPr>
        <w:t>Tax</w:t>
      </w:r>
      <w:r w:rsidR="00333213" w:rsidRPr="00E47A9F">
        <w:rPr>
          <w:rFonts w:ascii="Garamond" w:hAnsi="Garamond"/>
          <w:b/>
          <w:sz w:val="24"/>
          <w:szCs w:val="24"/>
          <w:bdr w:val="single" w:sz="4" w:space="0" w:color="auto"/>
          <w:lang w:val="en-US"/>
        </w:rPr>
        <w:t xml:space="preserve"> </w:t>
      </w:r>
      <w:r>
        <w:rPr>
          <w:rFonts w:ascii="Garamond" w:hAnsi="Garamond"/>
          <w:b/>
          <w:sz w:val="24"/>
          <w:szCs w:val="24"/>
          <w:bdr w:val="single" w:sz="4" w:space="0" w:color="auto"/>
          <w:lang w:val="en-US"/>
        </w:rPr>
        <w:t>burden</w:t>
      </w:r>
      <w:r w:rsidR="00333213" w:rsidRPr="00E47A9F">
        <w:rPr>
          <w:rFonts w:ascii="Garamond" w:hAnsi="Garamond"/>
          <w:b/>
          <w:sz w:val="24"/>
          <w:szCs w:val="24"/>
          <w:bdr w:val="single" w:sz="4" w:space="0" w:color="auto"/>
          <w:lang w:val="en-US"/>
        </w:rPr>
        <w:t xml:space="preserve"> = </w:t>
      </w:r>
      <w:r>
        <w:rPr>
          <w:rFonts w:ascii="Garamond" w:hAnsi="Garamond"/>
          <w:b/>
          <w:sz w:val="24"/>
          <w:szCs w:val="24"/>
          <w:bdr w:val="single" w:sz="4" w:space="0" w:color="auto"/>
          <w:lang w:val="en-US"/>
        </w:rPr>
        <w:t>tax</w:t>
      </w:r>
      <w:r w:rsidR="00333213" w:rsidRPr="00E47A9F">
        <w:rPr>
          <w:rFonts w:ascii="Garamond" w:hAnsi="Garamond"/>
          <w:b/>
          <w:sz w:val="24"/>
          <w:szCs w:val="24"/>
          <w:bdr w:val="single" w:sz="4" w:space="0" w:color="auto"/>
          <w:lang w:val="en-US"/>
        </w:rPr>
        <w:t xml:space="preserve"> + </w:t>
      </w:r>
      <w:r>
        <w:rPr>
          <w:rFonts w:ascii="Garamond" w:hAnsi="Garamond"/>
          <w:b/>
          <w:sz w:val="24"/>
          <w:szCs w:val="24"/>
          <w:bdr w:val="single" w:sz="4" w:space="0" w:color="auto"/>
          <w:lang w:val="en-US"/>
        </w:rPr>
        <w:t>excess</w:t>
      </w:r>
      <w:r w:rsidR="00333213" w:rsidRPr="00E47A9F">
        <w:rPr>
          <w:rFonts w:ascii="Garamond" w:hAnsi="Garamond"/>
          <w:b/>
          <w:sz w:val="24"/>
          <w:szCs w:val="24"/>
          <w:bdr w:val="single" w:sz="4" w:space="0" w:color="auto"/>
          <w:lang w:val="en-US"/>
        </w:rPr>
        <w:t xml:space="preserve"> </w:t>
      </w:r>
      <w:r>
        <w:rPr>
          <w:rFonts w:ascii="Garamond" w:hAnsi="Garamond"/>
          <w:b/>
          <w:sz w:val="24"/>
          <w:szCs w:val="24"/>
          <w:bdr w:val="single" w:sz="4" w:space="0" w:color="auto"/>
          <w:lang w:val="en-US"/>
        </w:rPr>
        <w:t>burden</w:t>
      </w:r>
      <w:r w:rsidR="00333213" w:rsidRPr="00E47A9F">
        <w:rPr>
          <w:rFonts w:ascii="Garamond" w:hAnsi="Garamond"/>
          <w:b/>
          <w:sz w:val="24"/>
          <w:szCs w:val="24"/>
          <w:bdr w:val="single" w:sz="4" w:space="0" w:color="auto"/>
          <w:lang w:val="en-US"/>
        </w:rPr>
        <w:t xml:space="preserve"> + </w:t>
      </w:r>
      <w:r>
        <w:rPr>
          <w:rFonts w:ascii="Garamond" w:hAnsi="Garamond"/>
          <w:b/>
          <w:sz w:val="24"/>
          <w:szCs w:val="24"/>
          <w:bdr w:val="single" w:sz="4" w:space="0" w:color="auto"/>
          <w:lang w:val="en-US"/>
        </w:rPr>
        <w:t>administrative costs</w:t>
      </w:r>
      <w:r w:rsidR="00333213" w:rsidRPr="00E47A9F">
        <w:rPr>
          <w:rFonts w:ascii="Garamond" w:hAnsi="Garamond"/>
          <w:b/>
          <w:sz w:val="24"/>
          <w:szCs w:val="24"/>
          <w:lang w:val="en-US"/>
        </w:rPr>
        <w:t xml:space="preserve"> </w:t>
      </w:r>
    </w:p>
    <w:p w:rsidR="00CD7AA4" w:rsidRPr="00E47A9F" w:rsidRDefault="00CD7AA4" w:rsidP="00CD7AA4">
      <w:pPr>
        <w:pStyle w:val="Odstavecseseznamem"/>
        <w:ind w:left="0"/>
        <w:rPr>
          <w:rFonts w:ascii="Garamond" w:hAnsi="Garamond"/>
          <w:sz w:val="24"/>
          <w:szCs w:val="24"/>
          <w:lang w:val="en-US"/>
        </w:rPr>
      </w:pPr>
    </w:p>
    <w:p w:rsidR="00E6470D" w:rsidRDefault="00E6470D" w:rsidP="00E6470D">
      <w:pPr>
        <w:pStyle w:val="Odstavecseseznamem"/>
        <w:spacing w:before="240"/>
        <w:ind w:left="426"/>
        <w:jc w:val="both"/>
        <w:rPr>
          <w:rFonts w:ascii="Garamond" w:hAnsi="Garamond" w:cs="Arial"/>
          <w:b/>
          <w:sz w:val="28"/>
          <w:szCs w:val="24"/>
          <w:lang w:val="en-US"/>
        </w:rPr>
      </w:pPr>
    </w:p>
    <w:p w:rsidR="00E6470D" w:rsidRDefault="00E6470D" w:rsidP="00E6470D">
      <w:pPr>
        <w:pStyle w:val="Odstavecseseznamem"/>
        <w:numPr>
          <w:ilvl w:val="0"/>
          <w:numId w:val="1"/>
        </w:numPr>
        <w:spacing w:before="240"/>
        <w:ind w:left="426" w:hanging="426"/>
        <w:jc w:val="both"/>
        <w:rPr>
          <w:rFonts w:ascii="Garamond" w:hAnsi="Garamond" w:cs="Arial"/>
          <w:b/>
          <w:sz w:val="28"/>
          <w:szCs w:val="24"/>
          <w:lang w:val="en-US"/>
        </w:rPr>
      </w:pPr>
      <w:r>
        <w:rPr>
          <w:rFonts w:ascii="Garamond" w:hAnsi="Garamond" w:cs="Arial"/>
          <w:b/>
          <w:sz w:val="28"/>
          <w:szCs w:val="24"/>
          <w:lang w:val="en-US"/>
        </w:rPr>
        <w:t>Tax incidence</w:t>
      </w:r>
    </w:p>
    <w:p w:rsidR="00E6470D" w:rsidRPr="00E6470D" w:rsidRDefault="00E6470D" w:rsidP="00E6470D">
      <w:pPr>
        <w:pStyle w:val="Odstavecseseznamem"/>
        <w:numPr>
          <w:ilvl w:val="0"/>
          <w:numId w:val="13"/>
        </w:numPr>
        <w:spacing w:before="240"/>
        <w:jc w:val="both"/>
        <w:rPr>
          <w:rFonts w:ascii="Garamond" w:hAnsi="Garamond" w:cs="Arial"/>
          <w:b/>
          <w:sz w:val="28"/>
          <w:szCs w:val="24"/>
          <w:lang w:val="en-US"/>
        </w:rPr>
      </w:pPr>
      <w:r w:rsidRPr="00E6470D">
        <w:rPr>
          <w:rFonts w:ascii="Garamond" w:hAnsi="Garamond" w:cs="Arial"/>
          <w:sz w:val="24"/>
          <w:szCs w:val="24"/>
          <w:lang w:val="en-US"/>
        </w:rPr>
        <w:t>In other words – who bears the burden of taxes?</w:t>
      </w:r>
    </w:p>
    <w:p w:rsidR="00E6470D" w:rsidRPr="00AD0A3E" w:rsidRDefault="00E6470D" w:rsidP="00E6470D">
      <w:pPr>
        <w:pStyle w:val="Odstavecseseznamem"/>
        <w:numPr>
          <w:ilvl w:val="0"/>
          <w:numId w:val="13"/>
        </w:numPr>
        <w:spacing w:before="240"/>
        <w:jc w:val="both"/>
        <w:rPr>
          <w:rFonts w:ascii="Garamond" w:hAnsi="Garamond" w:cs="Arial"/>
          <w:sz w:val="24"/>
          <w:szCs w:val="24"/>
          <w:lang w:val="en-US"/>
        </w:rPr>
      </w:pPr>
      <w:r w:rsidRPr="00AD0A3E">
        <w:rPr>
          <w:rFonts w:ascii="Garamond" w:hAnsi="Garamond" w:cs="Arial"/>
          <w:sz w:val="24"/>
          <w:szCs w:val="24"/>
          <w:lang w:val="en-US"/>
        </w:rPr>
        <w:t>An important distinction:</w:t>
      </w:r>
    </w:p>
    <w:p w:rsidR="00E6470D" w:rsidRPr="00AD0A3E" w:rsidRDefault="00E6470D" w:rsidP="00E6470D">
      <w:pPr>
        <w:pStyle w:val="Odstavecseseznamem"/>
        <w:numPr>
          <w:ilvl w:val="2"/>
          <w:numId w:val="13"/>
        </w:numPr>
        <w:spacing w:before="240"/>
        <w:jc w:val="both"/>
        <w:rPr>
          <w:rFonts w:ascii="Garamond" w:hAnsi="Garamond" w:cs="Arial"/>
          <w:sz w:val="24"/>
          <w:szCs w:val="24"/>
          <w:lang w:val="en-US"/>
        </w:rPr>
      </w:pPr>
      <w:r w:rsidRPr="00AD0A3E">
        <w:rPr>
          <w:rFonts w:ascii="Garamond" w:hAnsi="Garamond" w:cs="Arial"/>
          <w:sz w:val="24"/>
          <w:szCs w:val="24"/>
          <w:lang w:val="en-US"/>
        </w:rPr>
        <w:t xml:space="preserve">Formal Incidence: Who is legally obliged to pay the </w:t>
      </w:r>
      <w:proofErr w:type="gramStart"/>
      <w:r w:rsidRPr="00AD0A3E">
        <w:rPr>
          <w:rFonts w:ascii="Garamond" w:hAnsi="Garamond" w:cs="Arial"/>
          <w:sz w:val="24"/>
          <w:szCs w:val="24"/>
          <w:lang w:val="en-US"/>
        </w:rPr>
        <w:t>tax.</w:t>
      </w:r>
      <w:proofErr w:type="gramEnd"/>
    </w:p>
    <w:p w:rsidR="00E6470D" w:rsidRDefault="00E6470D" w:rsidP="00E6470D">
      <w:pPr>
        <w:pStyle w:val="Odstavecseseznamem"/>
        <w:numPr>
          <w:ilvl w:val="2"/>
          <w:numId w:val="13"/>
        </w:numPr>
        <w:spacing w:before="240"/>
        <w:jc w:val="both"/>
        <w:rPr>
          <w:rFonts w:ascii="Garamond" w:hAnsi="Garamond" w:cs="Arial"/>
          <w:sz w:val="24"/>
          <w:szCs w:val="24"/>
          <w:lang w:val="en-US"/>
        </w:rPr>
      </w:pPr>
      <w:r w:rsidRPr="00AD0A3E">
        <w:rPr>
          <w:rFonts w:ascii="Garamond" w:hAnsi="Garamond" w:cs="Arial"/>
          <w:sz w:val="24"/>
          <w:szCs w:val="24"/>
          <w:lang w:val="en-US"/>
        </w:rPr>
        <w:t>Effective Incidence: Who actually bears the burden of the</w:t>
      </w:r>
    </w:p>
    <w:p w:rsidR="00E6470D" w:rsidRDefault="00E6470D" w:rsidP="00E6470D">
      <w:pPr>
        <w:pStyle w:val="Odstavecseseznamem"/>
        <w:numPr>
          <w:ilvl w:val="0"/>
          <w:numId w:val="13"/>
        </w:numPr>
        <w:spacing w:before="240"/>
        <w:jc w:val="both"/>
        <w:rPr>
          <w:rFonts w:ascii="Garamond" w:hAnsi="Garamond" w:cs="Arial"/>
          <w:sz w:val="24"/>
          <w:szCs w:val="24"/>
          <w:lang w:val="en-US"/>
        </w:rPr>
      </w:pPr>
      <w:r>
        <w:rPr>
          <w:rFonts w:ascii="Garamond" w:hAnsi="Garamond" w:cs="Arial"/>
          <w:sz w:val="24"/>
          <w:szCs w:val="24"/>
          <w:lang w:val="en-US"/>
        </w:rPr>
        <w:t>What is the difference between formal and effective incidence? What plays the most important role in effective incidence?</w:t>
      </w:r>
    </w:p>
    <w:p w:rsidR="00E6470D" w:rsidRDefault="00E6470D" w:rsidP="00E6470D">
      <w:pPr>
        <w:pStyle w:val="Odstavecseseznamem"/>
        <w:numPr>
          <w:ilvl w:val="0"/>
          <w:numId w:val="13"/>
        </w:numPr>
        <w:spacing w:before="240"/>
        <w:jc w:val="both"/>
        <w:rPr>
          <w:rFonts w:ascii="Garamond" w:hAnsi="Garamond" w:cs="Arial"/>
          <w:sz w:val="24"/>
          <w:szCs w:val="24"/>
          <w:lang w:val="en-US"/>
        </w:rPr>
      </w:pPr>
      <w:r>
        <w:rPr>
          <w:rFonts w:ascii="Garamond" w:hAnsi="Garamond" w:cs="Arial"/>
          <w:sz w:val="24"/>
          <w:szCs w:val="24"/>
          <w:lang w:val="en-US"/>
        </w:rPr>
        <w:t>C</w:t>
      </w:r>
      <w:r w:rsidRPr="00E6470D">
        <w:rPr>
          <w:rFonts w:ascii="Garamond" w:hAnsi="Garamond" w:cs="Arial"/>
          <w:sz w:val="24"/>
          <w:szCs w:val="24"/>
          <w:lang w:val="en-US"/>
        </w:rPr>
        <w:t xml:space="preserve">an you control, respectively. </w:t>
      </w:r>
      <w:proofErr w:type="gramStart"/>
      <w:r w:rsidRPr="00E6470D">
        <w:rPr>
          <w:rFonts w:ascii="Garamond" w:hAnsi="Garamond" w:cs="Arial"/>
          <w:sz w:val="24"/>
          <w:szCs w:val="24"/>
          <w:lang w:val="en-US"/>
        </w:rPr>
        <w:t>prevent</w:t>
      </w:r>
      <w:proofErr w:type="gramEnd"/>
      <w:r w:rsidRPr="00E6470D">
        <w:rPr>
          <w:rFonts w:ascii="Garamond" w:hAnsi="Garamond" w:cs="Arial"/>
          <w:sz w:val="24"/>
          <w:szCs w:val="24"/>
          <w:lang w:val="en-US"/>
        </w:rPr>
        <w:t xml:space="preserve"> </w:t>
      </w:r>
      <w:r>
        <w:rPr>
          <w:rFonts w:ascii="Garamond" w:hAnsi="Garamond" w:cs="Arial"/>
          <w:sz w:val="24"/>
          <w:szCs w:val="24"/>
          <w:lang w:val="en-US"/>
        </w:rPr>
        <w:t xml:space="preserve">effective </w:t>
      </w:r>
      <w:r w:rsidRPr="00E6470D">
        <w:rPr>
          <w:rFonts w:ascii="Garamond" w:hAnsi="Garamond" w:cs="Arial"/>
          <w:sz w:val="24"/>
          <w:szCs w:val="24"/>
          <w:lang w:val="en-US"/>
        </w:rPr>
        <w:t>tax incidence?</w:t>
      </w:r>
    </w:p>
    <w:p w:rsidR="00E6470D" w:rsidRDefault="00E6470D" w:rsidP="00E6470D">
      <w:pPr>
        <w:pStyle w:val="Odstavecseseznamem"/>
        <w:spacing w:before="240"/>
        <w:ind w:left="426"/>
        <w:jc w:val="both"/>
        <w:rPr>
          <w:rFonts w:ascii="Garamond" w:hAnsi="Garamond" w:cs="Arial"/>
          <w:b/>
          <w:sz w:val="28"/>
          <w:szCs w:val="24"/>
          <w:lang w:val="en-US"/>
        </w:rPr>
      </w:pPr>
    </w:p>
    <w:p w:rsidR="00333213" w:rsidRPr="00E47A9F" w:rsidRDefault="00E6470D" w:rsidP="00333213">
      <w:pPr>
        <w:pStyle w:val="Odstavecseseznamem"/>
        <w:numPr>
          <w:ilvl w:val="0"/>
          <w:numId w:val="1"/>
        </w:numPr>
        <w:spacing w:before="240"/>
        <w:ind w:left="426" w:hanging="426"/>
        <w:jc w:val="both"/>
        <w:rPr>
          <w:rFonts w:ascii="Garamond" w:hAnsi="Garamond" w:cs="Arial"/>
          <w:b/>
          <w:sz w:val="28"/>
          <w:szCs w:val="24"/>
          <w:lang w:val="en-US"/>
        </w:rPr>
      </w:pPr>
      <w:r>
        <w:rPr>
          <w:rFonts w:ascii="Garamond" w:hAnsi="Garamond" w:cs="Arial"/>
          <w:b/>
          <w:sz w:val="28"/>
          <w:szCs w:val="24"/>
          <w:lang w:val="en-US"/>
        </w:rPr>
        <w:t>Tax equity</w:t>
      </w:r>
    </w:p>
    <w:p w:rsidR="009F6E16" w:rsidRDefault="009F6E16" w:rsidP="00E6470D">
      <w:pPr>
        <w:spacing w:before="240"/>
        <w:jc w:val="both"/>
        <w:rPr>
          <w:rFonts w:ascii="Garamond" w:hAnsi="Garamond" w:cs="Arial"/>
          <w:sz w:val="24"/>
          <w:szCs w:val="24"/>
          <w:lang w:val="en-US"/>
        </w:rPr>
      </w:pPr>
      <w:r>
        <w:rPr>
          <w:rFonts w:ascii="Garamond" w:hAnsi="Garamond" w:cs="Arial"/>
          <w:sz w:val="24"/>
          <w:szCs w:val="24"/>
          <w:lang w:val="en-US"/>
        </w:rPr>
        <w:t>How can we judge the tax equity and fairness?</w:t>
      </w:r>
    </w:p>
    <w:p w:rsidR="00E6470D" w:rsidRDefault="009F6E16" w:rsidP="00E6470D">
      <w:pPr>
        <w:spacing w:before="240"/>
        <w:jc w:val="both"/>
        <w:rPr>
          <w:rFonts w:ascii="Garamond" w:hAnsi="Garamond" w:cs="Arial"/>
          <w:i/>
          <w:sz w:val="24"/>
          <w:szCs w:val="24"/>
          <w:lang w:val="en-US"/>
        </w:rPr>
      </w:pPr>
      <w:r>
        <w:rPr>
          <w:rFonts w:ascii="Garamond" w:hAnsi="Garamond" w:cs="Arial"/>
          <w:sz w:val="24"/>
          <w:szCs w:val="24"/>
          <w:lang w:val="en-US"/>
        </w:rPr>
        <w:t xml:space="preserve">According what principles taxpayer should contribute to government (in form of taxes)? </w:t>
      </w:r>
      <w:r w:rsidRPr="009F6E16">
        <w:rPr>
          <w:rFonts w:ascii="Garamond" w:hAnsi="Garamond" w:cs="Arial"/>
          <w:i/>
          <w:sz w:val="24"/>
          <w:szCs w:val="24"/>
          <w:lang w:val="en-US"/>
        </w:rPr>
        <w:t>Benefits-received principle, ability-to-pay principle</w:t>
      </w:r>
    </w:p>
    <w:p w:rsidR="009F6E16" w:rsidRPr="009F6E16" w:rsidRDefault="009F6E16" w:rsidP="00E6470D">
      <w:pPr>
        <w:spacing w:before="240"/>
        <w:jc w:val="both"/>
        <w:rPr>
          <w:rFonts w:ascii="Garamond" w:hAnsi="Garamond" w:cs="Arial"/>
          <w:sz w:val="24"/>
          <w:szCs w:val="24"/>
          <w:lang w:val="en-US"/>
        </w:rPr>
      </w:pPr>
      <w:r w:rsidRPr="009F6E16">
        <w:rPr>
          <w:rFonts w:ascii="Garamond" w:hAnsi="Garamond" w:cs="Arial"/>
          <w:sz w:val="24"/>
          <w:szCs w:val="24"/>
          <w:lang w:val="en-US"/>
        </w:rPr>
        <w:t>What is more important – EFFECIENCY OR FAIRNESS????</w:t>
      </w:r>
    </w:p>
    <w:p w:rsidR="00E6470D" w:rsidRPr="00E6470D" w:rsidRDefault="00E6470D" w:rsidP="00E6470D">
      <w:pPr>
        <w:spacing w:before="240"/>
        <w:jc w:val="both"/>
        <w:rPr>
          <w:rFonts w:ascii="Garamond" w:hAnsi="Garamond" w:cs="Arial"/>
          <w:sz w:val="24"/>
          <w:szCs w:val="24"/>
          <w:lang w:val="en-US"/>
        </w:rPr>
      </w:pPr>
    </w:p>
    <w:p w:rsidR="00333213" w:rsidRPr="00E47A9F" w:rsidRDefault="00333213" w:rsidP="00CD7AA4">
      <w:pPr>
        <w:pStyle w:val="Odstavecseseznamem"/>
        <w:ind w:left="0"/>
        <w:rPr>
          <w:rFonts w:ascii="Garamond" w:hAnsi="Garamond"/>
          <w:sz w:val="24"/>
          <w:szCs w:val="24"/>
          <w:lang w:val="en-US"/>
        </w:rPr>
      </w:pPr>
    </w:p>
    <w:p w:rsidR="00A35254" w:rsidRPr="00E47A9F" w:rsidRDefault="00A35254" w:rsidP="00E6470D">
      <w:pPr>
        <w:pStyle w:val="Odstavecseseznamem"/>
        <w:ind w:left="1647"/>
        <w:rPr>
          <w:rFonts w:ascii="Garamond" w:hAnsi="Garamond"/>
          <w:sz w:val="20"/>
          <w:lang w:val="en-US"/>
        </w:rPr>
      </w:pPr>
    </w:p>
    <w:sectPr w:rsidR="00A35254" w:rsidRPr="00E47A9F" w:rsidSect="007761E9">
      <w:headerReference w:type="default" r:id="rId11"/>
      <w:footerReference w:type="default" r:id="rId12"/>
      <w:pgSz w:w="11906" w:h="16838"/>
      <w:pgMar w:top="1304" w:right="1304" w:bottom="993" w:left="1304" w:header="709" w:footer="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F80" w:rsidRDefault="00FE4F80" w:rsidP="00183EDD">
      <w:pPr>
        <w:spacing w:after="0" w:line="240" w:lineRule="auto"/>
      </w:pPr>
      <w:r>
        <w:separator/>
      </w:r>
    </w:p>
  </w:endnote>
  <w:endnote w:type="continuationSeparator" w:id="0">
    <w:p w:rsidR="00FE4F80" w:rsidRDefault="00FE4F80" w:rsidP="00183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3923449"/>
      <w:docPartObj>
        <w:docPartGallery w:val="Page Numbers (Bottom of Page)"/>
        <w:docPartUnique/>
      </w:docPartObj>
    </w:sdtPr>
    <w:sdtContent>
      <w:p w:rsidR="00E6470D" w:rsidRDefault="00E6470D">
        <w:pPr>
          <w:pStyle w:val="Zpat"/>
          <w:jc w:val="center"/>
        </w:pPr>
        <w:fldSimple w:instr="PAGE   \* MERGEFORMAT">
          <w:r w:rsidR="009F6E16">
            <w:rPr>
              <w:noProof/>
            </w:rPr>
            <w:t>2</w:t>
          </w:r>
        </w:fldSimple>
      </w:p>
    </w:sdtContent>
  </w:sdt>
  <w:p w:rsidR="00E6470D" w:rsidRDefault="00E6470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F80" w:rsidRDefault="00FE4F80" w:rsidP="00183EDD">
      <w:pPr>
        <w:spacing w:after="0" w:line="240" w:lineRule="auto"/>
      </w:pPr>
      <w:r>
        <w:separator/>
      </w:r>
    </w:p>
  </w:footnote>
  <w:footnote w:type="continuationSeparator" w:id="0">
    <w:p w:rsidR="00FE4F80" w:rsidRDefault="00FE4F80" w:rsidP="00183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70D" w:rsidRPr="00183EDD" w:rsidRDefault="00E6470D" w:rsidP="00183EDD">
    <w:pPr>
      <w:pStyle w:val="Zhlav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Public finance 1</w:t>
    </w:r>
  </w:p>
  <w:p w:rsidR="00E6470D" w:rsidRDefault="00E6470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3952"/>
    <w:multiLevelType w:val="hybridMultilevel"/>
    <w:tmpl w:val="75C2039A"/>
    <w:lvl w:ilvl="0" w:tplc="3EA80F1C"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C592B1B"/>
    <w:multiLevelType w:val="hybridMultilevel"/>
    <w:tmpl w:val="DD348EC2"/>
    <w:lvl w:ilvl="0" w:tplc="11E846EA">
      <w:numFmt w:val="bullet"/>
      <w:pStyle w:val="StylVlevo063cm"/>
      <w:lvlText w:val="-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5D171B"/>
    <w:multiLevelType w:val="hybridMultilevel"/>
    <w:tmpl w:val="2488F3EA"/>
    <w:lvl w:ilvl="0" w:tplc="DD909D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29035D"/>
    <w:multiLevelType w:val="multilevel"/>
    <w:tmpl w:val="6C40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7E18B0"/>
    <w:multiLevelType w:val="hybridMultilevel"/>
    <w:tmpl w:val="1BE8D544"/>
    <w:lvl w:ilvl="0" w:tplc="FFFAD1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567"/>
      </w:pPr>
      <w:rPr>
        <w:rFonts w:ascii="Courier New" w:hAnsi="Courier New" w:hint="default"/>
      </w:rPr>
    </w:lvl>
    <w:lvl w:ilvl="2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F6266E"/>
    <w:multiLevelType w:val="multilevel"/>
    <w:tmpl w:val="EBAE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4F475F"/>
    <w:multiLevelType w:val="hybridMultilevel"/>
    <w:tmpl w:val="83B40F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34499"/>
    <w:multiLevelType w:val="hybridMultilevel"/>
    <w:tmpl w:val="BC0A57FA"/>
    <w:lvl w:ilvl="0" w:tplc="FFFAD1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13654E"/>
    <w:multiLevelType w:val="hybridMultilevel"/>
    <w:tmpl w:val="55D8AB88"/>
    <w:lvl w:ilvl="0" w:tplc="FFFAD1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A4274D"/>
    <w:multiLevelType w:val="hybridMultilevel"/>
    <w:tmpl w:val="D8EA11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044FF"/>
    <w:multiLevelType w:val="hybridMultilevel"/>
    <w:tmpl w:val="09A0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54F41"/>
    <w:multiLevelType w:val="hybridMultilevel"/>
    <w:tmpl w:val="65F24F08"/>
    <w:lvl w:ilvl="0" w:tplc="3EA80F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16196A"/>
    <w:multiLevelType w:val="hybridMultilevel"/>
    <w:tmpl w:val="AA089966"/>
    <w:lvl w:ilvl="0" w:tplc="7E6421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1"/>
  </w:num>
  <w:num w:numId="5">
    <w:abstractNumId w:val="4"/>
  </w:num>
  <w:num w:numId="6">
    <w:abstractNumId w:val="11"/>
  </w:num>
  <w:num w:numId="7">
    <w:abstractNumId w:val="5"/>
  </w:num>
  <w:num w:numId="8">
    <w:abstractNumId w:val="0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  <w:num w:numId="13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EDD"/>
    <w:rsid w:val="00003918"/>
    <w:rsid w:val="00012A50"/>
    <w:rsid w:val="00017955"/>
    <w:rsid w:val="00047D73"/>
    <w:rsid w:val="000536D4"/>
    <w:rsid w:val="00064B24"/>
    <w:rsid w:val="00086A67"/>
    <w:rsid w:val="00096FC4"/>
    <w:rsid w:val="000B6D1E"/>
    <w:rsid w:val="000C571B"/>
    <w:rsid w:val="000D1DE2"/>
    <w:rsid w:val="000F4039"/>
    <w:rsid w:val="001041C5"/>
    <w:rsid w:val="00137529"/>
    <w:rsid w:val="00151798"/>
    <w:rsid w:val="00160119"/>
    <w:rsid w:val="001609F3"/>
    <w:rsid w:val="00173434"/>
    <w:rsid w:val="00183EDD"/>
    <w:rsid w:val="001867F9"/>
    <w:rsid w:val="00191D30"/>
    <w:rsid w:val="00193E5A"/>
    <w:rsid w:val="00194A4C"/>
    <w:rsid w:val="00196DE9"/>
    <w:rsid w:val="001B4B22"/>
    <w:rsid w:val="001B56BA"/>
    <w:rsid w:val="001D161F"/>
    <w:rsid w:val="001D3F12"/>
    <w:rsid w:val="0020503E"/>
    <w:rsid w:val="00247A26"/>
    <w:rsid w:val="00260B7D"/>
    <w:rsid w:val="00264DB0"/>
    <w:rsid w:val="00274B9E"/>
    <w:rsid w:val="00275BEB"/>
    <w:rsid w:val="00276AA7"/>
    <w:rsid w:val="00277529"/>
    <w:rsid w:val="002A364C"/>
    <w:rsid w:val="002A7A84"/>
    <w:rsid w:val="002B2538"/>
    <w:rsid w:val="002C52E1"/>
    <w:rsid w:val="00310AC3"/>
    <w:rsid w:val="0032250F"/>
    <w:rsid w:val="00333213"/>
    <w:rsid w:val="00356432"/>
    <w:rsid w:val="003566AF"/>
    <w:rsid w:val="00370EFD"/>
    <w:rsid w:val="00383CAD"/>
    <w:rsid w:val="003972B7"/>
    <w:rsid w:val="003C4ED4"/>
    <w:rsid w:val="003D7093"/>
    <w:rsid w:val="003D72AA"/>
    <w:rsid w:val="003F307B"/>
    <w:rsid w:val="00416E59"/>
    <w:rsid w:val="00433863"/>
    <w:rsid w:val="00446635"/>
    <w:rsid w:val="004549FF"/>
    <w:rsid w:val="00466D51"/>
    <w:rsid w:val="00467332"/>
    <w:rsid w:val="00485762"/>
    <w:rsid w:val="00495D8D"/>
    <w:rsid w:val="004A512A"/>
    <w:rsid w:val="0050705A"/>
    <w:rsid w:val="00510622"/>
    <w:rsid w:val="00537188"/>
    <w:rsid w:val="00551965"/>
    <w:rsid w:val="00566D93"/>
    <w:rsid w:val="00581EC8"/>
    <w:rsid w:val="005A54E7"/>
    <w:rsid w:val="005B2554"/>
    <w:rsid w:val="005B7548"/>
    <w:rsid w:val="005E0FB0"/>
    <w:rsid w:val="005E2612"/>
    <w:rsid w:val="005E511E"/>
    <w:rsid w:val="005F44D3"/>
    <w:rsid w:val="00603C78"/>
    <w:rsid w:val="0060451C"/>
    <w:rsid w:val="00607425"/>
    <w:rsid w:val="00622D51"/>
    <w:rsid w:val="006320DB"/>
    <w:rsid w:val="00634999"/>
    <w:rsid w:val="00650B94"/>
    <w:rsid w:val="00652582"/>
    <w:rsid w:val="00675038"/>
    <w:rsid w:val="00687899"/>
    <w:rsid w:val="006A0E07"/>
    <w:rsid w:val="006B24E0"/>
    <w:rsid w:val="006B2786"/>
    <w:rsid w:val="006C7356"/>
    <w:rsid w:val="006D661F"/>
    <w:rsid w:val="006D6AFB"/>
    <w:rsid w:val="006E2D71"/>
    <w:rsid w:val="006E495E"/>
    <w:rsid w:val="00711890"/>
    <w:rsid w:val="00733B76"/>
    <w:rsid w:val="0073454A"/>
    <w:rsid w:val="007349EE"/>
    <w:rsid w:val="00745854"/>
    <w:rsid w:val="0075795F"/>
    <w:rsid w:val="00762E3C"/>
    <w:rsid w:val="00774065"/>
    <w:rsid w:val="007761E9"/>
    <w:rsid w:val="00791DBA"/>
    <w:rsid w:val="007E07F8"/>
    <w:rsid w:val="007E5408"/>
    <w:rsid w:val="007F5412"/>
    <w:rsid w:val="008055B4"/>
    <w:rsid w:val="0082769B"/>
    <w:rsid w:val="00836554"/>
    <w:rsid w:val="00841B37"/>
    <w:rsid w:val="00844BF4"/>
    <w:rsid w:val="00845475"/>
    <w:rsid w:val="008619D8"/>
    <w:rsid w:val="00874624"/>
    <w:rsid w:val="008811A7"/>
    <w:rsid w:val="008A7590"/>
    <w:rsid w:val="008F15EE"/>
    <w:rsid w:val="008F3432"/>
    <w:rsid w:val="009048FA"/>
    <w:rsid w:val="00910D3E"/>
    <w:rsid w:val="0091405E"/>
    <w:rsid w:val="0091795F"/>
    <w:rsid w:val="00931DF2"/>
    <w:rsid w:val="009523D0"/>
    <w:rsid w:val="00961BDF"/>
    <w:rsid w:val="0096498C"/>
    <w:rsid w:val="00965A9E"/>
    <w:rsid w:val="009676BA"/>
    <w:rsid w:val="00974EB0"/>
    <w:rsid w:val="00992465"/>
    <w:rsid w:val="0099351D"/>
    <w:rsid w:val="009A68D1"/>
    <w:rsid w:val="009B0BC5"/>
    <w:rsid w:val="009C0564"/>
    <w:rsid w:val="009C3345"/>
    <w:rsid w:val="009C689C"/>
    <w:rsid w:val="009C6B42"/>
    <w:rsid w:val="009F6E16"/>
    <w:rsid w:val="00A0406F"/>
    <w:rsid w:val="00A24B9A"/>
    <w:rsid w:val="00A30765"/>
    <w:rsid w:val="00A31AA7"/>
    <w:rsid w:val="00A35254"/>
    <w:rsid w:val="00A67009"/>
    <w:rsid w:val="00A848A0"/>
    <w:rsid w:val="00A87EF3"/>
    <w:rsid w:val="00AA4CA2"/>
    <w:rsid w:val="00AA4D00"/>
    <w:rsid w:val="00AD0A3E"/>
    <w:rsid w:val="00AE3AC8"/>
    <w:rsid w:val="00AE3B92"/>
    <w:rsid w:val="00AE7935"/>
    <w:rsid w:val="00AF13DD"/>
    <w:rsid w:val="00AF29F7"/>
    <w:rsid w:val="00AF5FB4"/>
    <w:rsid w:val="00B05E09"/>
    <w:rsid w:val="00B360DC"/>
    <w:rsid w:val="00B36F01"/>
    <w:rsid w:val="00B67FC8"/>
    <w:rsid w:val="00B76FA1"/>
    <w:rsid w:val="00B8560C"/>
    <w:rsid w:val="00BA497C"/>
    <w:rsid w:val="00BA68D2"/>
    <w:rsid w:val="00BC2F7D"/>
    <w:rsid w:val="00BC4988"/>
    <w:rsid w:val="00C104D3"/>
    <w:rsid w:val="00C11EF3"/>
    <w:rsid w:val="00C25A9C"/>
    <w:rsid w:val="00C46541"/>
    <w:rsid w:val="00C66C17"/>
    <w:rsid w:val="00C702CF"/>
    <w:rsid w:val="00C7409B"/>
    <w:rsid w:val="00C7534B"/>
    <w:rsid w:val="00C9126F"/>
    <w:rsid w:val="00C94C38"/>
    <w:rsid w:val="00CA3577"/>
    <w:rsid w:val="00CA651F"/>
    <w:rsid w:val="00CA7D57"/>
    <w:rsid w:val="00CC1847"/>
    <w:rsid w:val="00CC7E38"/>
    <w:rsid w:val="00CD4C30"/>
    <w:rsid w:val="00CD7AA4"/>
    <w:rsid w:val="00CE4B71"/>
    <w:rsid w:val="00CF4616"/>
    <w:rsid w:val="00CF6C32"/>
    <w:rsid w:val="00D35028"/>
    <w:rsid w:val="00D4192F"/>
    <w:rsid w:val="00D607C2"/>
    <w:rsid w:val="00D607E6"/>
    <w:rsid w:val="00D93E4C"/>
    <w:rsid w:val="00DA76D6"/>
    <w:rsid w:val="00DD56A7"/>
    <w:rsid w:val="00DE7252"/>
    <w:rsid w:val="00DF2C9B"/>
    <w:rsid w:val="00E379D5"/>
    <w:rsid w:val="00E47A9F"/>
    <w:rsid w:val="00E52049"/>
    <w:rsid w:val="00E56FD5"/>
    <w:rsid w:val="00E6470D"/>
    <w:rsid w:val="00E6578D"/>
    <w:rsid w:val="00E6784F"/>
    <w:rsid w:val="00E734EB"/>
    <w:rsid w:val="00E958DC"/>
    <w:rsid w:val="00EA004E"/>
    <w:rsid w:val="00EB20EF"/>
    <w:rsid w:val="00EB4715"/>
    <w:rsid w:val="00EB7601"/>
    <w:rsid w:val="00EC567C"/>
    <w:rsid w:val="00ED24CB"/>
    <w:rsid w:val="00EE2F59"/>
    <w:rsid w:val="00EE5ECC"/>
    <w:rsid w:val="00EF2ADA"/>
    <w:rsid w:val="00EF3518"/>
    <w:rsid w:val="00EF5E09"/>
    <w:rsid w:val="00EF5F58"/>
    <w:rsid w:val="00F35F4D"/>
    <w:rsid w:val="00F400E1"/>
    <w:rsid w:val="00F43A11"/>
    <w:rsid w:val="00F55BCA"/>
    <w:rsid w:val="00F567F9"/>
    <w:rsid w:val="00F60BF3"/>
    <w:rsid w:val="00F6572A"/>
    <w:rsid w:val="00F65E7C"/>
    <w:rsid w:val="00F70B4C"/>
    <w:rsid w:val="00F71474"/>
    <w:rsid w:val="00F97167"/>
    <w:rsid w:val="00FB6566"/>
    <w:rsid w:val="00FB6AAF"/>
    <w:rsid w:val="00FE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1B37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910D3E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9B0BC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10D3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9B0BC5"/>
    <w:rPr>
      <w:rFonts w:ascii="Cambria" w:hAnsi="Cambria" w:cs="Times New Roman"/>
      <w:b/>
      <w:bCs/>
      <w:color w:val="4F81BD"/>
    </w:rPr>
  </w:style>
  <w:style w:type="paragraph" w:styleId="Zhlav">
    <w:name w:val="header"/>
    <w:basedOn w:val="Normln"/>
    <w:link w:val="ZhlavChar"/>
    <w:uiPriority w:val="99"/>
    <w:rsid w:val="00183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83EDD"/>
    <w:rPr>
      <w:rFonts w:cs="Times New Roman"/>
    </w:rPr>
  </w:style>
  <w:style w:type="paragraph" w:styleId="Zpat">
    <w:name w:val="footer"/>
    <w:basedOn w:val="Normln"/>
    <w:link w:val="ZpatChar"/>
    <w:uiPriority w:val="99"/>
    <w:rsid w:val="00183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83E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18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83E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183EDD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9676BA"/>
    <w:rPr>
      <w:rFonts w:cs="Times New Roman"/>
      <w:color w:val="0000FF"/>
      <w:u w:val="single"/>
    </w:rPr>
  </w:style>
  <w:style w:type="character" w:styleId="slostrnky">
    <w:name w:val="page number"/>
    <w:basedOn w:val="Standardnpsmoodstavce"/>
    <w:uiPriority w:val="99"/>
    <w:rsid w:val="00C94C38"/>
    <w:rPr>
      <w:rFonts w:cs="Times New Roman"/>
    </w:rPr>
  </w:style>
  <w:style w:type="table" w:styleId="Mkatabulky">
    <w:name w:val="Table Grid"/>
    <w:basedOn w:val="Normlntabulka"/>
    <w:uiPriority w:val="99"/>
    <w:rsid w:val="00E56FD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rsid w:val="00E678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9B0BC5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b/>
      <w:bCs/>
      <w:color w:val="000000"/>
      <w:sz w:val="40"/>
      <w:szCs w:val="4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B0BC5"/>
    <w:rPr>
      <w:rFonts w:ascii="Times New Roman" w:hAnsi="Times New Roman" w:cs="Times New Roman"/>
      <w:b/>
      <w:bCs/>
      <w:color w:val="000000"/>
      <w:sz w:val="48"/>
      <w:szCs w:val="48"/>
      <w:lang w:eastAsia="cs-CZ"/>
    </w:rPr>
  </w:style>
  <w:style w:type="paragraph" w:customStyle="1" w:styleId="StylVlevo063cm">
    <w:name w:val="Styl Vlevo:  063 cm"/>
    <w:basedOn w:val="Normln"/>
    <w:uiPriority w:val="99"/>
    <w:rsid w:val="009B0BC5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194A4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94A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94A4C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94A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94A4C"/>
    <w:rPr>
      <w:rFonts w:cs="Times New Roman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locked/>
    <w:rsid w:val="00160119"/>
    <w:rPr>
      <w:b/>
      <w:bCs/>
    </w:rPr>
  </w:style>
  <w:style w:type="paragraph" w:styleId="Bezmezer">
    <w:name w:val="No Spacing"/>
    <w:uiPriority w:val="1"/>
    <w:qFormat/>
    <w:rsid w:val="00AD0A3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1B37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910D3E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9B0BC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10D3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9B0BC5"/>
    <w:rPr>
      <w:rFonts w:ascii="Cambria" w:hAnsi="Cambria" w:cs="Times New Roman"/>
      <w:b/>
      <w:bCs/>
      <w:color w:val="4F81BD"/>
    </w:rPr>
  </w:style>
  <w:style w:type="paragraph" w:styleId="Zhlav">
    <w:name w:val="header"/>
    <w:basedOn w:val="Normln"/>
    <w:link w:val="ZhlavChar"/>
    <w:uiPriority w:val="99"/>
    <w:rsid w:val="00183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83EDD"/>
    <w:rPr>
      <w:rFonts w:cs="Times New Roman"/>
    </w:rPr>
  </w:style>
  <w:style w:type="paragraph" w:styleId="Zpat">
    <w:name w:val="footer"/>
    <w:basedOn w:val="Normln"/>
    <w:link w:val="ZpatChar"/>
    <w:uiPriority w:val="99"/>
    <w:rsid w:val="00183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83E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18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83E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183EDD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9676BA"/>
    <w:rPr>
      <w:rFonts w:cs="Times New Roman"/>
      <w:color w:val="0000FF"/>
      <w:u w:val="single"/>
    </w:rPr>
  </w:style>
  <w:style w:type="character" w:styleId="slostrnky">
    <w:name w:val="page number"/>
    <w:basedOn w:val="Standardnpsmoodstavce"/>
    <w:uiPriority w:val="99"/>
    <w:rsid w:val="00C94C38"/>
    <w:rPr>
      <w:rFonts w:cs="Times New Roman"/>
    </w:rPr>
  </w:style>
  <w:style w:type="table" w:styleId="Mkatabulky">
    <w:name w:val="Table Grid"/>
    <w:basedOn w:val="Normlntabulka"/>
    <w:uiPriority w:val="99"/>
    <w:rsid w:val="00E56FD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678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9B0BC5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b/>
      <w:bCs/>
      <w:color w:val="000000"/>
      <w:sz w:val="40"/>
      <w:szCs w:val="4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B0BC5"/>
    <w:rPr>
      <w:rFonts w:ascii="Times New Roman" w:hAnsi="Times New Roman" w:cs="Times New Roman"/>
      <w:b/>
      <w:bCs/>
      <w:color w:val="000000"/>
      <w:sz w:val="48"/>
      <w:szCs w:val="48"/>
      <w:lang w:eastAsia="cs-CZ"/>
    </w:rPr>
  </w:style>
  <w:style w:type="paragraph" w:customStyle="1" w:styleId="StylVlevo063cm">
    <w:name w:val="Styl Vlevo:  063 cm"/>
    <w:basedOn w:val="Normln"/>
    <w:uiPriority w:val="99"/>
    <w:rsid w:val="009B0BC5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194A4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94A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94A4C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94A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94A4C"/>
    <w:rPr>
      <w:rFonts w:cs="Times New Roman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locked/>
    <w:rsid w:val="001601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11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5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99925\AppData\Local\Temp\Eurostat_Table_tec00021FlagNoDesc_18f8e95f-4d5c-42e5-a992-a69ac0b8822e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kumenty\s\doktorske_studium\vyuka\VEFI1\vefi2014\03_VP_14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title>
      <c:tx>
        <c:rich>
          <a:bodyPr/>
          <a:lstStyle/>
          <a:p>
            <a:pPr>
              <a:defRPr/>
            </a:pPr>
            <a:r>
              <a:rPr lang="cs-CZ" sz="1800" b="1" i="0" u="none" strike="noStrike" baseline="0">
                <a:effectLst/>
              </a:rPr>
              <a:t>Pulic revenues in GDP (</a:t>
            </a:r>
            <a:r>
              <a:rPr lang="en-US"/>
              <a:t>%</a:t>
            </a:r>
            <a:r>
              <a:rPr lang="cs-CZ"/>
              <a:t>)</a:t>
            </a:r>
            <a:endParaRPr lang="en-US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v>% HDP</c:v>
          </c:tx>
          <c:spPr>
            <a:ln w="0"/>
          </c:spPr>
          <c:dPt>
            <c:idx val="12"/>
            <c:spPr>
              <a:solidFill>
                <a:srgbClr val="FFFF00"/>
              </a:solidFill>
              <a:ln w="0"/>
            </c:spPr>
          </c:dPt>
          <c:dPt>
            <c:idx val="20"/>
            <c:spPr>
              <a:solidFill>
                <a:srgbClr val="C00000"/>
              </a:solidFill>
              <a:ln w="0"/>
            </c:spPr>
          </c:dPt>
          <c:dLbls>
            <c:txPr>
              <a:bodyPr rot="5400000" vert="horz" anchor="ctr" anchorCtr="0"/>
              <a:lstStyle/>
              <a:p>
                <a:pPr>
                  <a:defRPr/>
                </a:pPr>
                <a:endParaRPr lang="cs-CZ"/>
              </a:p>
            </c:txPr>
            <c:dLblPos val="inEnd"/>
            <c:showVal val="1"/>
          </c:dLbls>
          <c:cat>
            <c:strRef>
              <c:f>'[Eurostat_Table_tec00021FlagNoDesc_18f8e95f-4d5c-42e5-a992-a69ac0b8822e.xls]Sheet0'!$A$5:$A$36</c:f>
              <c:strCache>
                <c:ptCount val="32"/>
                <c:pt idx="0">
                  <c:v>Romania</c:v>
                </c:pt>
                <c:pt idx="1">
                  <c:v>Switzerland</c:v>
                </c:pt>
                <c:pt idx="2">
                  <c:v>Lithuania</c:v>
                </c:pt>
                <c:pt idx="3">
                  <c:v>Ireland</c:v>
                </c:pt>
                <c:pt idx="4">
                  <c:v>Latvia</c:v>
                </c:pt>
                <c:pt idx="5">
                  <c:v>Bulgaria</c:v>
                </c:pt>
                <c:pt idx="6">
                  <c:v>United Kingdom</c:v>
                </c:pt>
                <c:pt idx="7">
                  <c:v>Spain</c:v>
                </c:pt>
                <c:pt idx="8">
                  <c:v>Estonia</c:v>
                </c:pt>
                <c:pt idx="9">
                  <c:v>Poland</c:v>
                </c:pt>
                <c:pt idx="10">
                  <c:v>Slovakia</c:v>
                </c:pt>
                <c:pt idx="11">
                  <c:v>Cyprus</c:v>
                </c:pt>
                <c:pt idx="12">
                  <c:v>Czech Republic</c:v>
                </c:pt>
                <c:pt idx="13">
                  <c:v>Malta</c:v>
                </c:pt>
                <c:pt idx="14">
                  <c:v>Croatia</c:v>
                </c:pt>
                <c:pt idx="15">
                  <c:v>Luxembourg</c:v>
                </c:pt>
                <c:pt idx="16">
                  <c:v>Netherlands</c:v>
                </c:pt>
                <c:pt idx="17">
                  <c:v>Portugal</c:v>
                </c:pt>
                <c:pt idx="18">
                  <c:v>Germany</c:v>
                </c:pt>
                <c:pt idx="19">
                  <c:v>Slovenia</c:v>
                </c:pt>
                <c:pt idx="20">
                  <c:v>EU (28 countries)</c:v>
                </c:pt>
                <c:pt idx="21">
                  <c:v>Iceland</c:v>
                </c:pt>
                <c:pt idx="22">
                  <c:v>Greece</c:v>
                </c:pt>
                <c:pt idx="23">
                  <c:v>Hungary</c:v>
                </c:pt>
                <c:pt idx="24">
                  <c:v>Italy</c:v>
                </c:pt>
                <c:pt idx="25">
                  <c:v>Austria</c:v>
                </c:pt>
                <c:pt idx="26">
                  <c:v>Sweden</c:v>
                </c:pt>
                <c:pt idx="27">
                  <c:v>Belgium</c:v>
                </c:pt>
                <c:pt idx="28">
                  <c:v>France</c:v>
                </c:pt>
                <c:pt idx="29">
                  <c:v>Norway</c:v>
                </c:pt>
                <c:pt idx="30">
                  <c:v>Finland</c:v>
                </c:pt>
                <c:pt idx="31">
                  <c:v>Denmark</c:v>
                </c:pt>
              </c:strCache>
            </c:strRef>
          </c:cat>
          <c:val>
            <c:numRef>
              <c:f>'[Eurostat_Table_tec00021FlagNoDesc_18f8e95f-4d5c-42e5-a992-a69ac0b8822e.xls]Sheet0'!$B$5:$B$36</c:f>
              <c:numCache>
                <c:formatCode>General</c:formatCode>
                <c:ptCount val="32"/>
                <c:pt idx="0">
                  <c:v>33.5</c:v>
                </c:pt>
                <c:pt idx="1">
                  <c:v>33.5</c:v>
                </c:pt>
                <c:pt idx="2">
                  <c:v>34.1</c:v>
                </c:pt>
                <c:pt idx="3">
                  <c:v>34.4</c:v>
                </c:pt>
                <c:pt idx="4">
                  <c:v>35.6</c:v>
                </c:pt>
                <c:pt idx="5">
                  <c:v>36.300000000000004</c:v>
                </c:pt>
                <c:pt idx="6">
                  <c:v>38.200000000000003</c:v>
                </c:pt>
                <c:pt idx="7">
                  <c:v>38.6</c:v>
                </c:pt>
                <c:pt idx="8">
                  <c:v>38.700000000000003</c:v>
                </c:pt>
                <c:pt idx="9">
                  <c:v>38.800000000000004</c:v>
                </c:pt>
                <c:pt idx="10">
                  <c:v>38.9</c:v>
                </c:pt>
                <c:pt idx="11">
                  <c:v>40.4</c:v>
                </c:pt>
                <c:pt idx="12">
                  <c:v>40.6</c:v>
                </c:pt>
                <c:pt idx="13">
                  <c:v>41.9</c:v>
                </c:pt>
                <c:pt idx="14">
                  <c:v>42.6</c:v>
                </c:pt>
                <c:pt idx="15">
                  <c:v>43.8</c:v>
                </c:pt>
                <c:pt idx="16">
                  <c:v>43.9</c:v>
                </c:pt>
                <c:pt idx="17">
                  <c:v>44.5</c:v>
                </c:pt>
                <c:pt idx="18">
                  <c:v>44.6</c:v>
                </c:pt>
                <c:pt idx="19">
                  <c:v>44.8</c:v>
                </c:pt>
                <c:pt idx="20">
                  <c:v>45.2</c:v>
                </c:pt>
                <c:pt idx="21">
                  <c:v>45.6</c:v>
                </c:pt>
                <c:pt idx="22">
                  <c:v>46.4</c:v>
                </c:pt>
                <c:pt idx="23">
                  <c:v>47.4</c:v>
                </c:pt>
                <c:pt idx="24">
                  <c:v>48.2</c:v>
                </c:pt>
                <c:pt idx="25">
                  <c:v>50</c:v>
                </c:pt>
                <c:pt idx="26">
                  <c:v>50.1</c:v>
                </c:pt>
                <c:pt idx="27">
                  <c:v>52</c:v>
                </c:pt>
                <c:pt idx="28">
                  <c:v>53.6</c:v>
                </c:pt>
                <c:pt idx="29">
                  <c:v>54.7</c:v>
                </c:pt>
                <c:pt idx="30">
                  <c:v>54.9</c:v>
                </c:pt>
                <c:pt idx="31">
                  <c:v>58.4</c:v>
                </c:pt>
              </c:numCache>
            </c:numRef>
          </c:val>
        </c:ser>
        <c:gapWidth val="75"/>
        <c:overlap val="40"/>
        <c:axId val="53158272"/>
        <c:axId val="53159808"/>
      </c:barChart>
      <c:catAx>
        <c:axId val="53158272"/>
        <c:scaling>
          <c:orientation val="minMax"/>
        </c:scaling>
        <c:axPos val="b"/>
        <c:majorTickMark val="none"/>
        <c:tickLblPos val="nextTo"/>
        <c:crossAx val="53159808"/>
        <c:crosses val="autoZero"/>
        <c:auto val="1"/>
        <c:lblAlgn val="ctr"/>
        <c:lblOffset val="100"/>
      </c:catAx>
      <c:valAx>
        <c:axId val="5315980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53158272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882352941176472"/>
          <c:y val="7.5301204819277143E-2"/>
          <c:w val="0.87058823529411788"/>
          <c:h val="0.61746987951807275"/>
        </c:manualLayout>
      </c:layout>
      <c:barChart>
        <c:barDir val="col"/>
        <c:grouping val="clustered"/>
        <c:ser>
          <c:idx val="0"/>
          <c:order val="0"/>
          <c:tx>
            <c:strRef>
              <c:f>OECD_tax_12!$B$1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FFCC99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1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35</a:t>
                    </a:r>
                  </a:p>
                </c:rich>
              </c:tx>
              <c:dLblPos val="inBase"/>
              <c:showVal val="1"/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35</a:t>
                    </a:r>
                    <a:r>
                      <a:rPr lang="cs-CZ"/>
                      <a:t>,0</a:t>
                    </a:r>
                    <a:endParaRPr lang="en-US"/>
                  </a:p>
                </c:rich>
              </c:tx>
              <c:dLblPos val="inBase"/>
              <c:showVal val="1"/>
            </c:dLbl>
            <c:spPr>
              <a:noFill/>
              <a:ln w="25400">
                <a:noFill/>
              </a:ln>
            </c:spPr>
            <c:txPr>
              <a:bodyPr rot="-4500000" vert="horz"/>
              <a:lstStyle/>
              <a:p>
                <a:pPr algn="ctr"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cs-CZ"/>
              </a:p>
            </c:txPr>
            <c:dLblPos val="inBase"/>
            <c:showVal val="1"/>
          </c:dLbls>
          <c:cat>
            <c:strRef>
              <c:f>OECD_tax_12!$A$2:$A$26</c:f>
              <c:strCache>
                <c:ptCount val="25"/>
                <c:pt idx="0">
                  <c:v>United States</c:v>
                </c:pt>
                <c:pt idx="1">
                  <c:v>Korea</c:v>
                </c:pt>
                <c:pt idx="2">
                  <c:v>Turkey</c:v>
                </c:pt>
                <c:pt idx="3">
                  <c:v>Switzerland</c:v>
                </c:pt>
                <c:pt idx="4">
                  <c:v>Slovak Republic</c:v>
                </c:pt>
                <c:pt idx="5">
                  <c:v>Estonia</c:v>
                </c:pt>
                <c:pt idx="6">
                  <c:v>Portugal</c:v>
                </c:pt>
                <c:pt idx="7">
                  <c:v>New Zealand</c:v>
                </c:pt>
                <c:pt idx="8">
                  <c:v>Spain</c:v>
                </c:pt>
                <c:pt idx="9">
                  <c:v>Greece</c:v>
                </c:pt>
                <c:pt idx="10">
                  <c:v>United Kingdom</c:v>
                </c:pt>
                <c:pt idx="11">
                  <c:v>Czech Republic</c:v>
                </c:pt>
                <c:pt idx="12">
                  <c:v>Iceland</c:v>
                </c:pt>
                <c:pt idx="13">
                  <c:v>Slovenia</c:v>
                </c:pt>
                <c:pt idx="14">
                  <c:v>Germany</c:v>
                </c:pt>
                <c:pt idx="15">
                  <c:v>Luxembourg</c:v>
                </c:pt>
                <c:pt idx="16">
                  <c:v>Hungary</c:v>
                </c:pt>
                <c:pt idx="17">
                  <c:v>Norway</c:v>
                </c:pt>
                <c:pt idx="18">
                  <c:v>Austria</c:v>
                </c:pt>
                <c:pt idx="19">
                  <c:v>Finland</c:v>
                </c:pt>
                <c:pt idx="20">
                  <c:v>Sweden</c:v>
                </c:pt>
                <c:pt idx="21">
                  <c:v>Italy</c:v>
                </c:pt>
                <c:pt idx="22">
                  <c:v>Belgium</c:v>
                </c:pt>
                <c:pt idx="23">
                  <c:v>France</c:v>
                </c:pt>
                <c:pt idx="24">
                  <c:v>Denmark</c:v>
                </c:pt>
              </c:strCache>
            </c:strRef>
          </c:cat>
          <c:val>
            <c:numRef>
              <c:f>OECD_tax_12!$B$2:$B$26</c:f>
              <c:numCache>
                <c:formatCode>0.0</c:formatCode>
                <c:ptCount val="25"/>
                <c:pt idx="0">
                  <c:v>24.3</c:v>
                </c:pt>
                <c:pt idx="1">
                  <c:v>26.8</c:v>
                </c:pt>
                <c:pt idx="2">
                  <c:v>27.7</c:v>
                </c:pt>
                <c:pt idx="3">
                  <c:v>28.2</c:v>
                </c:pt>
                <c:pt idx="4">
                  <c:v>28.5</c:v>
                </c:pt>
                <c:pt idx="5">
                  <c:v>32.5</c:v>
                </c:pt>
                <c:pt idx="6">
                  <c:v>32.5</c:v>
                </c:pt>
                <c:pt idx="7">
                  <c:v>32.9</c:v>
                </c:pt>
                <c:pt idx="8">
                  <c:v>32.9</c:v>
                </c:pt>
                <c:pt idx="9">
                  <c:v>33.800000000000004</c:v>
                </c:pt>
                <c:pt idx="10">
                  <c:v>35.200000000000003</c:v>
                </c:pt>
                <c:pt idx="11">
                  <c:v>35.5</c:v>
                </c:pt>
                <c:pt idx="12">
                  <c:v>37.200000000000003</c:v>
                </c:pt>
                <c:pt idx="13">
                  <c:v>37.4</c:v>
                </c:pt>
                <c:pt idx="14">
                  <c:v>37.6</c:v>
                </c:pt>
                <c:pt idx="15">
                  <c:v>37.800000000000004</c:v>
                </c:pt>
                <c:pt idx="16">
                  <c:v>38.9</c:v>
                </c:pt>
                <c:pt idx="17">
                  <c:v>42.2</c:v>
                </c:pt>
                <c:pt idx="18">
                  <c:v>43.2</c:v>
                </c:pt>
                <c:pt idx="19">
                  <c:v>44.1</c:v>
                </c:pt>
                <c:pt idx="20">
                  <c:v>44.3</c:v>
                </c:pt>
                <c:pt idx="21">
                  <c:v>44.4</c:v>
                </c:pt>
                <c:pt idx="22">
                  <c:v>45.3</c:v>
                </c:pt>
                <c:pt idx="23">
                  <c:v>45.3</c:v>
                </c:pt>
                <c:pt idx="24">
                  <c:v>48</c:v>
                </c:pt>
              </c:numCache>
            </c:numRef>
          </c:val>
        </c:ser>
        <c:gapWidth val="50"/>
        <c:axId val="53258880"/>
        <c:axId val="72991104"/>
      </c:barChart>
      <c:catAx>
        <c:axId val="53258880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cs-CZ"/>
          </a:p>
        </c:txPr>
        <c:crossAx val="72991104"/>
        <c:crosses val="autoZero"/>
        <c:auto val="1"/>
        <c:lblAlgn val="ctr"/>
        <c:lblOffset val="20"/>
        <c:tickLblSkip val="1"/>
        <c:tickMarkSkip val="1"/>
      </c:catAx>
      <c:valAx>
        <c:axId val="72991104"/>
        <c:scaling>
          <c:orientation val="minMax"/>
          <c:max val="50"/>
        </c:scaling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cs-CZ"/>
                  <a:t>% GDP</a:t>
                </a:r>
              </a:p>
            </c:rich>
          </c:tx>
          <c:layout>
            <c:manualLayout>
              <c:xMode val="edge"/>
              <c:yMode val="edge"/>
              <c:x val="2.3529411764705879E-2"/>
              <c:y val="0.31024081843784146"/>
            </c:manualLayout>
          </c:layout>
          <c:spPr>
            <a:noFill/>
            <a:ln w="25400">
              <a:noFill/>
            </a:ln>
          </c:spPr>
        </c:title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cs-CZ"/>
          </a:p>
        </c:txPr>
        <c:crossAx val="53258880"/>
        <c:crosses val="autoZero"/>
        <c:crossBetween val="between"/>
        <c:majorUnit val="10"/>
        <c:minorUnit val="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Výchozí návrh 1">
    <a:dk1>
      <a:srgbClr val="000000"/>
    </a:dk1>
    <a:lt1>
      <a:srgbClr val="FFFFFF"/>
    </a:lt1>
    <a:dk2>
      <a:srgbClr val="000000"/>
    </a:dk2>
    <a:lt2>
      <a:srgbClr val="808080"/>
    </a:lt2>
    <a:accent1>
      <a:srgbClr val="BBE0E3"/>
    </a:accent1>
    <a:accent2>
      <a:srgbClr val="333399"/>
    </a:accent2>
    <a:accent3>
      <a:srgbClr val="FFFFFF"/>
    </a:accent3>
    <a:accent4>
      <a:srgbClr val="000000"/>
    </a:accent4>
    <a:accent5>
      <a:srgbClr val="DAEDEF"/>
    </a:accent5>
    <a:accent6>
      <a:srgbClr val="2D2D8A"/>
    </a:accent6>
    <a:hlink>
      <a:srgbClr val="009999"/>
    </a:hlink>
    <a:folHlink>
      <a:srgbClr val="99CC00"/>
    </a:folHlink>
  </a:clrScheme>
  <a:fontScheme name="Výchozí návrh">
    <a:majorFont>
      <a:latin typeface="Arial"/>
      <a:ea typeface=""/>
      <a:cs typeface=""/>
    </a:majorFont>
    <a:minorFont>
      <a:latin typeface="Arial"/>
      <a:ea typeface=""/>
      <a:cs typeface="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4A030-B755-4D56-82FB-063419780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555</Words>
  <Characters>3275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Cvičení č</vt:lpstr>
      <vt:lpstr>Cvičení č</vt:lpstr>
    </vt:vector>
  </TitlesOfParts>
  <Company>Ekonomicko-správní fakulta Masarykovy univerzity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Cvičení č</dc:title>
  <dc:creator>Furova Lenka</dc:creator>
  <cp:lastModifiedBy>starhovi</cp:lastModifiedBy>
  <cp:revision>2</cp:revision>
  <cp:lastPrinted>2015-11-11T13:57:00Z</cp:lastPrinted>
  <dcterms:created xsi:type="dcterms:W3CDTF">2015-11-20T14:30:00Z</dcterms:created>
  <dcterms:modified xsi:type="dcterms:W3CDTF">2015-11-20T14:30:00Z</dcterms:modified>
</cp:coreProperties>
</file>