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16" w:rsidRPr="007661A4" w:rsidRDefault="00ED3616" w:rsidP="00A848A0">
      <w:pPr>
        <w:rPr>
          <w:rFonts w:ascii="Garamond" w:hAnsi="Garamond" w:cs="Arial"/>
          <w:b/>
          <w:sz w:val="36"/>
          <w:szCs w:val="36"/>
        </w:rPr>
      </w:pPr>
      <w:r w:rsidRPr="007661A4">
        <w:rPr>
          <w:rFonts w:ascii="Garamond" w:hAnsi="Garamond" w:cs="Arial"/>
          <w:b/>
          <w:sz w:val="36"/>
          <w:szCs w:val="36"/>
        </w:rPr>
        <w:t>Cvičení č. 10 – Veřejné příjmy a daňová teorie II</w:t>
      </w:r>
    </w:p>
    <w:p w:rsidR="00ED3616" w:rsidRPr="009B0BC5" w:rsidRDefault="00ED3616" w:rsidP="00C44683">
      <w:pPr>
        <w:pStyle w:val="Odstavecseseznamem"/>
        <w:numPr>
          <w:ilvl w:val="0"/>
          <w:numId w:val="1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</w:rPr>
      </w:pPr>
      <w:r>
        <w:rPr>
          <w:rFonts w:ascii="Garamond" w:hAnsi="Garamond" w:cs="Arial"/>
          <w:b/>
          <w:sz w:val="28"/>
          <w:szCs w:val="24"/>
        </w:rPr>
        <w:t>Přímé daně</w:t>
      </w:r>
    </w:p>
    <w:p w:rsidR="00ED3616" w:rsidRDefault="00ED3616" w:rsidP="00761E10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  <w:r w:rsidRPr="00857472">
        <w:rPr>
          <w:rFonts w:ascii="Garamond" w:hAnsi="Garamond"/>
          <w:sz w:val="24"/>
          <w:szCs w:val="24"/>
        </w:rPr>
        <w:t>Jedná se o takové daně, které zdaněný subjekt (poplatník) hradí na úkor</w:t>
      </w:r>
      <w:r>
        <w:rPr>
          <w:rFonts w:ascii="Garamond" w:hAnsi="Garamond"/>
          <w:sz w:val="24"/>
          <w:szCs w:val="24"/>
        </w:rPr>
        <w:t xml:space="preserve"> </w:t>
      </w:r>
      <w:r w:rsidRPr="00857472">
        <w:rPr>
          <w:rFonts w:ascii="Garamond" w:hAnsi="Garamond"/>
          <w:sz w:val="24"/>
          <w:szCs w:val="24"/>
        </w:rPr>
        <w:t xml:space="preserve">svého příjmu, svého majetku, a dopadají na něj přímo (viz </w:t>
      </w:r>
      <w:r>
        <w:rPr>
          <w:rFonts w:ascii="Garamond" w:hAnsi="Garamond"/>
          <w:sz w:val="24"/>
          <w:szCs w:val="24"/>
        </w:rPr>
        <w:t>„</w:t>
      </w:r>
      <w:r w:rsidRPr="00857472">
        <w:rPr>
          <w:rFonts w:ascii="Garamond" w:hAnsi="Garamond"/>
          <w:sz w:val="24"/>
          <w:szCs w:val="24"/>
        </w:rPr>
        <w:t>Daňový přesun a dopad</w:t>
      </w:r>
      <w:r>
        <w:rPr>
          <w:rFonts w:ascii="Garamond" w:hAnsi="Garamond"/>
          <w:sz w:val="24"/>
          <w:szCs w:val="24"/>
        </w:rPr>
        <w:t>“ ve cvičení Veřejné příjmy a daňová teorie I</w:t>
      </w:r>
      <w:r w:rsidRPr="00857472">
        <w:rPr>
          <w:rFonts w:ascii="Garamond" w:hAnsi="Garamond"/>
          <w:sz w:val="24"/>
          <w:szCs w:val="24"/>
        </w:rPr>
        <w:t>).</w:t>
      </w:r>
      <w:r>
        <w:rPr>
          <w:rFonts w:ascii="Garamond" w:hAnsi="Garamond"/>
          <w:sz w:val="24"/>
          <w:szCs w:val="24"/>
        </w:rPr>
        <w:t xml:space="preserve"> Svojí podstatou mezi přímé daně patří i platby, které se daněmi přímo nenazývají.</w:t>
      </w:r>
    </w:p>
    <w:p w:rsidR="009B310A" w:rsidRDefault="009B310A" w:rsidP="00761E10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cs-CZ"/>
        </w:rPr>
        <w:drawing>
          <wp:inline distT="0" distB="0" distL="0" distR="0">
            <wp:extent cx="5895975" cy="58483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616" w:rsidRPr="00E77256" w:rsidRDefault="00ED3616" w:rsidP="00E77256">
      <w:pPr>
        <w:pStyle w:val="Odstavecseseznamem"/>
        <w:ind w:left="0"/>
        <w:rPr>
          <w:rFonts w:ascii="Garamond" w:hAnsi="Garamond"/>
          <w:sz w:val="24"/>
          <w:szCs w:val="24"/>
        </w:rPr>
      </w:pPr>
      <w:r w:rsidRPr="00E77256">
        <w:rPr>
          <w:rFonts w:ascii="Garamond" w:hAnsi="Garamond"/>
          <w:sz w:val="24"/>
          <w:szCs w:val="24"/>
        </w:rPr>
        <w:t>Zdroj: OECD</w:t>
      </w:r>
      <w:r w:rsidR="009B310A">
        <w:rPr>
          <w:rFonts w:ascii="Garamond" w:hAnsi="Garamond"/>
          <w:sz w:val="24"/>
          <w:szCs w:val="24"/>
        </w:rPr>
        <w:t xml:space="preserve"> (2014</w:t>
      </w:r>
      <w:r w:rsidR="00E77256" w:rsidRPr="00E77256">
        <w:rPr>
          <w:rFonts w:ascii="Garamond" w:hAnsi="Garamond"/>
          <w:sz w:val="24"/>
          <w:szCs w:val="24"/>
        </w:rPr>
        <w:t>)</w:t>
      </w:r>
    </w:p>
    <w:p w:rsidR="00ED3616" w:rsidRDefault="00ED3616" w:rsidP="009A797B">
      <w:pPr>
        <w:pStyle w:val="Odstavecseseznamem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:rsidR="00ED3616" w:rsidRDefault="00ED3616" w:rsidP="00857472">
      <w:pPr>
        <w:pStyle w:val="Odstavecseseznamem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Mezi přímé daně v ČR patří:</w:t>
      </w:r>
    </w:p>
    <w:p w:rsidR="00ED3616" w:rsidRPr="0072676E" w:rsidRDefault="00ED3616" w:rsidP="001B60EE">
      <w:pPr>
        <w:pStyle w:val="Odstavecseseznamem"/>
        <w:numPr>
          <w:ilvl w:val="0"/>
          <w:numId w:val="6"/>
        </w:numPr>
        <w:rPr>
          <w:rFonts w:ascii="Garamond" w:hAnsi="Garamond"/>
          <w:b/>
          <w:bCs/>
          <w:sz w:val="24"/>
          <w:szCs w:val="24"/>
        </w:rPr>
      </w:pPr>
      <w:r w:rsidRPr="0072676E">
        <w:rPr>
          <w:rFonts w:ascii="Garamond" w:hAnsi="Garamond"/>
          <w:b/>
          <w:bCs/>
          <w:sz w:val="24"/>
          <w:szCs w:val="24"/>
        </w:rPr>
        <w:t xml:space="preserve">Daň z příjmu fyzických osob (DPFO) </w:t>
      </w:r>
    </w:p>
    <w:p w:rsidR="00ED3616" w:rsidRPr="000C0A9C" w:rsidRDefault="00ED3616" w:rsidP="000C0A9C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 w:rsidRPr="000C0A9C">
        <w:rPr>
          <w:rFonts w:ascii="Garamond" w:hAnsi="Garamond"/>
          <w:sz w:val="24"/>
          <w:szCs w:val="24"/>
        </w:rPr>
        <w:t xml:space="preserve">poplatníky této daně jsou fyzické osoby </w:t>
      </w:r>
    </w:p>
    <w:p w:rsidR="00ED3616" w:rsidRDefault="00ED3616" w:rsidP="002E4D62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 w:rsidRPr="00112C51">
        <w:rPr>
          <w:rFonts w:ascii="Garamond" w:hAnsi="Garamond"/>
          <w:sz w:val="24"/>
          <w:szCs w:val="24"/>
        </w:rPr>
        <w:t>výnosově</w:t>
      </w:r>
      <w:r>
        <w:rPr>
          <w:rFonts w:ascii="Garamond" w:hAnsi="Garamond"/>
          <w:sz w:val="24"/>
          <w:szCs w:val="24"/>
        </w:rPr>
        <w:t xml:space="preserve"> silná</w:t>
      </w:r>
      <w:r w:rsidRPr="00112C51">
        <w:rPr>
          <w:rFonts w:ascii="Garamond" w:hAnsi="Garamond"/>
          <w:sz w:val="24"/>
          <w:szCs w:val="24"/>
        </w:rPr>
        <w:t xml:space="preserve"> </w:t>
      </w:r>
    </w:p>
    <w:p w:rsidR="00ED3616" w:rsidRDefault="00ED3616" w:rsidP="002E4D62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 w:rsidRPr="00112C51">
        <w:rPr>
          <w:rFonts w:ascii="Garamond" w:hAnsi="Garamond"/>
          <w:sz w:val="24"/>
          <w:szCs w:val="24"/>
        </w:rPr>
        <w:t>„univerzální“ daň</w:t>
      </w:r>
      <w:r>
        <w:rPr>
          <w:rFonts w:ascii="Garamond" w:hAnsi="Garamond"/>
          <w:sz w:val="24"/>
          <w:szCs w:val="24"/>
        </w:rPr>
        <w:t>ový základ</w:t>
      </w:r>
      <w:r w:rsidRPr="00112C51">
        <w:rPr>
          <w:rFonts w:ascii="Garamond" w:hAnsi="Garamond"/>
          <w:sz w:val="24"/>
          <w:szCs w:val="24"/>
        </w:rPr>
        <w:t xml:space="preserve"> </w:t>
      </w:r>
    </w:p>
    <w:p w:rsidR="00ED3616" w:rsidRDefault="00ED3616" w:rsidP="002E4D62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 w:rsidRPr="00112C51">
        <w:rPr>
          <w:rFonts w:ascii="Garamond" w:hAnsi="Garamond"/>
          <w:sz w:val="24"/>
          <w:szCs w:val="24"/>
        </w:rPr>
        <w:t xml:space="preserve">dříve progresivní sazba (12, 19, </w:t>
      </w:r>
      <w:r>
        <w:rPr>
          <w:rFonts w:ascii="Garamond" w:hAnsi="Garamond"/>
          <w:sz w:val="24"/>
          <w:szCs w:val="24"/>
        </w:rPr>
        <w:t>25, 32 %)</w:t>
      </w:r>
      <w:r w:rsidRPr="00112C51">
        <w:rPr>
          <w:rFonts w:ascii="Garamond" w:hAnsi="Garamond"/>
          <w:sz w:val="24"/>
          <w:szCs w:val="24"/>
        </w:rPr>
        <w:t xml:space="preserve"> </w:t>
      </w:r>
    </w:p>
    <w:p w:rsidR="00ED3616" w:rsidRPr="00140B91" w:rsidRDefault="00ED3616" w:rsidP="00E415D0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 w:rsidRPr="004D7185">
        <w:rPr>
          <w:rFonts w:ascii="Garamond" w:hAnsi="Garamond"/>
          <w:sz w:val="24"/>
          <w:szCs w:val="24"/>
        </w:rPr>
        <w:t>od roku 2008</w:t>
      </w:r>
      <w:r>
        <w:rPr>
          <w:rFonts w:ascii="Garamond" w:hAnsi="Garamond"/>
          <w:sz w:val="24"/>
          <w:szCs w:val="24"/>
        </w:rPr>
        <w:t xml:space="preserve"> sazba </w:t>
      </w:r>
      <w:r w:rsidRPr="00E76FAE">
        <w:rPr>
          <w:rFonts w:ascii="Garamond" w:hAnsi="Garamond"/>
          <w:sz w:val="24"/>
          <w:szCs w:val="24"/>
        </w:rPr>
        <w:t xml:space="preserve">činí 15 % ze základu daně (základem daně je </w:t>
      </w:r>
      <w:r>
        <w:rPr>
          <w:rFonts w:ascii="Garamond" w:hAnsi="Garamond"/>
          <w:sz w:val="24"/>
          <w:szCs w:val="24"/>
        </w:rPr>
        <w:t>tzv. „</w:t>
      </w:r>
      <w:proofErr w:type="spellStart"/>
      <w:r w:rsidRPr="00E76FAE">
        <w:rPr>
          <w:rFonts w:ascii="Garamond" w:hAnsi="Garamond"/>
          <w:sz w:val="24"/>
          <w:szCs w:val="24"/>
        </w:rPr>
        <w:t>superhrubá</w:t>
      </w:r>
      <w:proofErr w:type="spellEnd"/>
      <w:r w:rsidRPr="00E76FAE">
        <w:rPr>
          <w:rFonts w:ascii="Garamond" w:hAnsi="Garamond"/>
          <w:sz w:val="24"/>
          <w:szCs w:val="24"/>
        </w:rPr>
        <w:t xml:space="preserve"> mzda</w:t>
      </w:r>
      <w:r>
        <w:rPr>
          <w:rFonts w:ascii="Garamond" w:hAnsi="Garamond"/>
          <w:sz w:val="24"/>
          <w:szCs w:val="24"/>
        </w:rPr>
        <w:t>“</w:t>
      </w:r>
      <w:r w:rsidRPr="00E76FAE">
        <w:rPr>
          <w:rFonts w:ascii="Garamond" w:hAnsi="Garamond"/>
          <w:sz w:val="24"/>
          <w:szCs w:val="24"/>
        </w:rPr>
        <w:t xml:space="preserve">, tedy hrubá mzda zvýšená o částky odpovídající pojistnému na sociální </w:t>
      </w:r>
      <w:r w:rsidRPr="00E76FAE">
        <w:rPr>
          <w:rFonts w:ascii="Garamond" w:hAnsi="Garamond"/>
          <w:sz w:val="24"/>
          <w:szCs w:val="24"/>
        </w:rPr>
        <w:lastRenderedPageBreak/>
        <w:t xml:space="preserve">zabezpečení a zdravotní pojištění, které je povinen odvádět zaměstnavatel </w:t>
      </w:r>
      <w:r>
        <w:rPr>
          <w:rFonts w:ascii="Garamond" w:hAnsi="Garamond"/>
          <w:sz w:val="24"/>
          <w:szCs w:val="24"/>
        </w:rPr>
        <w:t xml:space="preserve">ze </w:t>
      </w:r>
      <w:r w:rsidRPr="00E76FAE">
        <w:rPr>
          <w:rFonts w:ascii="Garamond" w:hAnsi="Garamond"/>
          <w:sz w:val="24"/>
          <w:szCs w:val="24"/>
        </w:rPr>
        <w:t xml:space="preserve">mzdy </w:t>
      </w:r>
      <w:r>
        <w:rPr>
          <w:rFonts w:ascii="Garamond" w:hAnsi="Garamond"/>
          <w:sz w:val="24"/>
          <w:szCs w:val="24"/>
        </w:rPr>
        <w:t xml:space="preserve">svého </w:t>
      </w:r>
      <w:r w:rsidRPr="00E76FAE">
        <w:rPr>
          <w:rFonts w:ascii="Garamond" w:hAnsi="Garamond"/>
          <w:sz w:val="24"/>
          <w:szCs w:val="24"/>
        </w:rPr>
        <w:t>zaměstnance.</w:t>
      </w:r>
      <w:r w:rsidR="00E415D0">
        <w:rPr>
          <w:rFonts w:ascii="Garamond" w:hAnsi="Garamond"/>
          <w:sz w:val="24"/>
          <w:szCs w:val="24"/>
        </w:rPr>
        <w:t xml:space="preserve"> Od 2013 je uplatňována</w:t>
      </w:r>
      <w:r w:rsidR="005200B7">
        <w:rPr>
          <w:rFonts w:ascii="Garamond" w:hAnsi="Garamond"/>
          <w:sz w:val="24"/>
          <w:szCs w:val="24"/>
        </w:rPr>
        <w:t xml:space="preserve"> „solidární </w:t>
      </w:r>
      <w:r w:rsidR="00E415D0">
        <w:rPr>
          <w:rFonts w:ascii="Garamond" w:hAnsi="Garamond"/>
          <w:sz w:val="24"/>
          <w:szCs w:val="24"/>
        </w:rPr>
        <w:t>daň“</w:t>
      </w:r>
      <w:r w:rsidR="005200B7">
        <w:rPr>
          <w:rFonts w:ascii="Garamond" w:hAnsi="Garamond"/>
          <w:sz w:val="24"/>
          <w:szCs w:val="24"/>
        </w:rPr>
        <w:t xml:space="preserve"> 7 % pro příjmy </w:t>
      </w:r>
      <w:r w:rsidR="00431DF2">
        <w:rPr>
          <w:rFonts w:ascii="Garamond" w:hAnsi="Garamond"/>
          <w:sz w:val="24"/>
          <w:szCs w:val="24"/>
        </w:rPr>
        <w:t>vyšší, než je strop pro platby na sociální pojištění (4 násobek průměrné mzdy – pro rok 2015 1277328 Kč ročně)</w:t>
      </w:r>
      <w:r w:rsidR="00E415D0">
        <w:rPr>
          <w:rFonts w:ascii="Garamond" w:hAnsi="Garamond"/>
          <w:sz w:val="24"/>
          <w:szCs w:val="24"/>
        </w:rPr>
        <w:t>. D</w:t>
      </w:r>
      <w:r w:rsidR="00E415D0" w:rsidRPr="00E415D0">
        <w:rPr>
          <w:rFonts w:ascii="Garamond" w:hAnsi="Garamond"/>
          <w:sz w:val="24"/>
          <w:szCs w:val="24"/>
        </w:rPr>
        <w:t xml:space="preserve">aň se platí z částky </w:t>
      </w:r>
      <w:proofErr w:type="gramStart"/>
      <w:r w:rsidR="00E415D0" w:rsidRPr="00E415D0">
        <w:rPr>
          <w:rFonts w:ascii="Garamond" w:hAnsi="Garamond"/>
          <w:sz w:val="24"/>
          <w:szCs w:val="24"/>
        </w:rPr>
        <w:t xml:space="preserve">nad </w:t>
      </w:r>
      <w:r w:rsidR="00E415D0">
        <w:rPr>
          <w:rFonts w:ascii="Garamond" w:hAnsi="Garamond"/>
          <w:sz w:val="24"/>
          <w:szCs w:val="24"/>
        </w:rPr>
        <w:t xml:space="preserve"> uvedený</w:t>
      </w:r>
      <w:proofErr w:type="gramEnd"/>
      <w:r w:rsidR="00E415D0">
        <w:rPr>
          <w:rFonts w:ascii="Garamond" w:hAnsi="Garamond"/>
          <w:sz w:val="24"/>
          <w:szCs w:val="24"/>
        </w:rPr>
        <w:t xml:space="preserve"> </w:t>
      </w:r>
      <w:r w:rsidR="00E415D0" w:rsidRPr="00E415D0">
        <w:rPr>
          <w:rFonts w:ascii="Garamond" w:hAnsi="Garamond"/>
          <w:sz w:val="24"/>
          <w:szCs w:val="24"/>
        </w:rPr>
        <w:t>násobek průměrné mzdy.</w:t>
      </w:r>
    </w:p>
    <w:p w:rsidR="00ED3616" w:rsidRPr="00F82DC3" w:rsidRDefault="00ED3616" w:rsidP="00140B91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 w:rsidRPr="00F82DC3">
        <w:rPr>
          <w:rFonts w:ascii="Garamond" w:hAnsi="Garamond"/>
          <w:sz w:val="24"/>
          <w:szCs w:val="24"/>
        </w:rPr>
        <w:t>patří sem příjmy ze závislé činnosti, z podnikání, z kapitálového majetku, z pronájmu a ostatní příjmy</w:t>
      </w:r>
    </w:p>
    <w:p w:rsidR="00ED3616" w:rsidRDefault="00ED3616" w:rsidP="00F82DC3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 w:rsidRPr="00F82DC3">
        <w:rPr>
          <w:rFonts w:ascii="Garamond" w:hAnsi="Garamond"/>
          <w:sz w:val="24"/>
          <w:szCs w:val="24"/>
        </w:rPr>
        <w:t>zdanění nepodléhají příjmy vyňaté ze zdanění, příjmy osvobozené (např. stipendia, starobní důchody)</w:t>
      </w:r>
    </w:p>
    <w:p w:rsidR="00ED3616" w:rsidRDefault="00ED3616" w:rsidP="00F82DC3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složitost daňového systému (odečitatelné položky, slevy na </w:t>
      </w:r>
      <w:proofErr w:type="gramStart"/>
      <w:r>
        <w:rPr>
          <w:rFonts w:ascii="Garamond" w:hAnsi="Garamond"/>
          <w:sz w:val="24"/>
          <w:szCs w:val="24"/>
        </w:rPr>
        <w:t>dani,..)</w:t>
      </w:r>
      <w:proofErr w:type="gramEnd"/>
    </w:p>
    <w:p w:rsidR="00ED3616" w:rsidRPr="00FB209B" w:rsidRDefault="00ED3616" w:rsidP="00FB209B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 w:rsidRPr="00FB209B">
        <w:rPr>
          <w:rFonts w:ascii="Garamond" w:hAnsi="Garamond"/>
          <w:sz w:val="24"/>
          <w:szCs w:val="24"/>
        </w:rPr>
        <w:t>charakter daně podle sazeb:</w:t>
      </w:r>
    </w:p>
    <w:p w:rsidR="00ED3616" w:rsidRPr="00FB209B" w:rsidRDefault="00ED3616" w:rsidP="00FB209B">
      <w:pPr>
        <w:pStyle w:val="Odstavecseseznamem"/>
        <w:numPr>
          <w:ilvl w:val="2"/>
          <w:numId w:val="6"/>
        </w:numPr>
        <w:rPr>
          <w:rFonts w:ascii="Garamond" w:hAnsi="Garamond"/>
          <w:sz w:val="24"/>
          <w:szCs w:val="24"/>
        </w:rPr>
      </w:pPr>
      <w:r w:rsidRPr="00FB209B">
        <w:rPr>
          <w:rFonts w:ascii="Garamond" w:hAnsi="Garamond"/>
          <w:sz w:val="24"/>
          <w:szCs w:val="24"/>
        </w:rPr>
        <w:t>lineární</w:t>
      </w:r>
      <w:r>
        <w:rPr>
          <w:rFonts w:ascii="Garamond" w:hAnsi="Garamond"/>
          <w:sz w:val="24"/>
          <w:szCs w:val="24"/>
        </w:rPr>
        <w:t xml:space="preserve"> (proporcionální)</w:t>
      </w:r>
      <w:r w:rsidRPr="00FB209B">
        <w:rPr>
          <w:rFonts w:ascii="Garamond" w:hAnsi="Garamond"/>
          <w:sz w:val="24"/>
          <w:szCs w:val="24"/>
        </w:rPr>
        <w:t>: vypočtená daň roste s růstem základu ve stejném poměru (% základu daně, jež se nemění s velikostí daňového základu)</w:t>
      </w:r>
    </w:p>
    <w:p w:rsidR="00ED3616" w:rsidRDefault="00ED3616" w:rsidP="00FB209B">
      <w:pPr>
        <w:pStyle w:val="Odstavecseseznamem"/>
        <w:numPr>
          <w:ilvl w:val="2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progresivní: základ daně se rozdělí na jednotlivá pásma („rozparceluje“) podle hranic pásem určených zákonem, která se vynásobí různými sazbami (čím vyšší pásmo, tím vyšší příslušná </w:t>
      </w:r>
      <w:r w:rsidR="005200B7">
        <w:rPr>
          <w:rFonts w:ascii="Garamond" w:hAnsi="Garamond"/>
          <w:sz w:val="24"/>
          <w:szCs w:val="24"/>
        </w:rPr>
        <w:t xml:space="preserve">mezní </w:t>
      </w:r>
      <w:r>
        <w:rPr>
          <w:rFonts w:ascii="Garamond" w:hAnsi="Garamond"/>
          <w:sz w:val="24"/>
          <w:szCs w:val="24"/>
        </w:rPr>
        <w:t xml:space="preserve">sazba) </w:t>
      </w:r>
    </w:p>
    <w:p w:rsidR="00ED3616" w:rsidRDefault="00ED3616" w:rsidP="00B71910">
      <w:pPr>
        <w:pStyle w:val="Odstavecseseznamem"/>
        <w:numPr>
          <w:ilvl w:val="4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Příklad: zaměstnanec má základ daně 40 000 Kč</w:t>
      </w:r>
    </w:p>
    <w:p w:rsidR="00ED3616" w:rsidRDefault="00ED3616" w:rsidP="00B71910">
      <w:pPr>
        <w:pStyle w:val="Odstavecseseznamem"/>
        <w:ind w:left="36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 pásmo</w:t>
      </w:r>
      <w:r>
        <w:rPr>
          <w:rFonts w:ascii="Garamond" w:hAnsi="Garamond"/>
          <w:sz w:val="24"/>
          <w:szCs w:val="24"/>
        </w:rPr>
        <w:tab/>
        <w:t>do 10 000 Kč</w:t>
      </w:r>
      <w:r>
        <w:rPr>
          <w:rFonts w:ascii="Garamond" w:hAnsi="Garamond"/>
          <w:sz w:val="24"/>
          <w:szCs w:val="24"/>
        </w:rPr>
        <w:tab/>
        <w:t xml:space="preserve"> </w:t>
      </w:r>
      <w:r>
        <w:rPr>
          <w:rFonts w:ascii="Garamond" w:hAnsi="Garamond"/>
          <w:sz w:val="24"/>
          <w:szCs w:val="24"/>
        </w:rPr>
        <w:tab/>
        <w:t>10%</w:t>
      </w:r>
    </w:p>
    <w:p w:rsidR="00ED3616" w:rsidRDefault="00ED3616" w:rsidP="00B71910">
      <w:pPr>
        <w:pStyle w:val="Odstavecseseznamem"/>
        <w:ind w:left="36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 pásmo</w:t>
      </w:r>
      <w:r>
        <w:rPr>
          <w:rFonts w:ascii="Garamond" w:hAnsi="Garamond"/>
          <w:sz w:val="24"/>
          <w:szCs w:val="24"/>
        </w:rPr>
        <w:tab/>
        <w:t>do 20 000 Kč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15%</w:t>
      </w:r>
    </w:p>
    <w:p w:rsidR="00ED3616" w:rsidRDefault="00ED3616" w:rsidP="00B71910">
      <w:pPr>
        <w:pStyle w:val="Odstavecseseznamem"/>
        <w:ind w:left="36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 pásmo</w:t>
      </w:r>
      <w:r>
        <w:rPr>
          <w:rFonts w:ascii="Garamond" w:hAnsi="Garamond"/>
          <w:sz w:val="24"/>
          <w:szCs w:val="24"/>
        </w:rPr>
        <w:tab/>
        <w:t>nad 20 000 Kč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20%</w:t>
      </w:r>
    </w:p>
    <w:p w:rsidR="00ED3616" w:rsidRDefault="00ED3616" w:rsidP="00B71910">
      <w:pPr>
        <w:pStyle w:val="Odstavecseseznamem"/>
        <w:numPr>
          <w:ilvl w:val="4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Vypočítejte daňovou povinnost zaměstnance.</w:t>
      </w:r>
    </w:p>
    <w:p w:rsidR="002C6630" w:rsidRDefault="002C6630" w:rsidP="002C6630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Od roku </w:t>
      </w:r>
      <w:r w:rsidRPr="002C6630">
        <w:rPr>
          <w:rFonts w:ascii="Garamond" w:hAnsi="Garamond"/>
          <w:b/>
          <w:sz w:val="24"/>
          <w:szCs w:val="24"/>
        </w:rPr>
        <w:t>2014</w:t>
      </w:r>
      <w:r>
        <w:rPr>
          <w:rFonts w:ascii="Garamond" w:hAnsi="Garamond"/>
          <w:sz w:val="24"/>
          <w:szCs w:val="24"/>
        </w:rPr>
        <w:t xml:space="preserve"> je její součástí daň darovací (součást dílčího základu daně) a daň dědická (v praxi jsou ale zděděné příjmy osvobozeny od daně)</w:t>
      </w:r>
    </w:p>
    <w:p w:rsidR="00ED3616" w:rsidRDefault="00ED3616" w:rsidP="00112C51">
      <w:pPr>
        <w:pStyle w:val="Odstavecseseznamem"/>
        <w:ind w:left="0"/>
        <w:rPr>
          <w:rFonts w:ascii="Garamond" w:hAnsi="Garamond"/>
          <w:sz w:val="24"/>
          <w:szCs w:val="24"/>
        </w:rPr>
      </w:pPr>
    </w:p>
    <w:p w:rsidR="00ED3616" w:rsidRPr="00AD7CA1" w:rsidRDefault="008D5614" w:rsidP="005563B8">
      <w:pPr>
        <w:pStyle w:val="Odstavecseseznamem"/>
        <w:numPr>
          <w:ilvl w:val="0"/>
          <w:numId w:val="6"/>
        </w:num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Pojistné na s</w:t>
      </w:r>
      <w:r w:rsidR="00ED3616" w:rsidRPr="00AD7CA1">
        <w:rPr>
          <w:rFonts w:ascii="Garamond" w:hAnsi="Garamond"/>
          <w:b/>
          <w:bCs/>
          <w:sz w:val="24"/>
          <w:szCs w:val="24"/>
        </w:rPr>
        <w:t xml:space="preserve">ociální </w:t>
      </w:r>
      <w:r>
        <w:rPr>
          <w:rFonts w:ascii="Garamond" w:hAnsi="Garamond"/>
          <w:b/>
          <w:bCs/>
          <w:sz w:val="24"/>
          <w:szCs w:val="24"/>
        </w:rPr>
        <w:t>pojištění</w:t>
      </w:r>
    </w:p>
    <w:p w:rsidR="00ED3616" w:rsidRDefault="00ED3616" w:rsidP="008F75A3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Pr="005546C6">
        <w:rPr>
          <w:rFonts w:ascii="Garamond" w:hAnsi="Garamond"/>
          <w:sz w:val="24"/>
          <w:szCs w:val="24"/>
        </w:rPr>
        <w:t>oplatníky jsou zaměstnanci, zaměstnavatelé, osoby samostatně výdělečně činné</w:t>
      </w:r>
      <w:r>
        <w:rPr>
          <w:rFonts w:ascii="Garamond" w:hAnsi="Garamond"/>
          <w:sz w:val="24"/>
          <w:szCs w:val="24"/>
        </w:rPr>
        <w:t xml:space="preserve"> </w:t>
      </w:r>
      <w:r w:rsidRPr="005546C6">
        <w:rPr>
          <w:rFonts w:ascii="Garamond" w:hAnsi="Garamond"/>
          <w:sz w:val="24"/>
          <w:szCs w:val="24"/>
        </w:rPr>
        <w:t>(OSVČ) a osoby účastné dobrovolného důchodového pojištění</w:t>
      </w:r>
    </w:p>
    <w:p w:rsidR="00ED3616" w:rsidRPr="00E735F1" w:rsidRDefault="00ED3616" w:rsidP="008F75A3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 w:rsidRPr="00E735F1">
        <w:rPr>
          <w:rFonts w:ascii="Garamond" w:hAnsi="Garamond"/>
          <w:sz w:val="24"/>
          <w:szCs w:val="24"/>
        </w:rPr>
        <w:t>největší výnos (i ve srovnání s ostatními zeměmi OECD)</w:t>
      </w:r>
    </w:p>
    <w:p w:rsidR="00ED3616" w:rsidRDefault="00ED3616" w:rsidP="008F75A3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 w:rsidRPr="00E735F1">
        <w:rPr>
          <w:rFonts w:ascii="Garamond" w:hAnsi="Garamond"/>
          <w:sz w:val="24"/>
          <w:szCs w:val="24"/>
        </w:rPr>
        <w:t>spravuje jej Česká správa</w:t>
      </w:r>
      <w:r>
        <w:rPr>
          <w:rFonts w:ascii="Garamond" w:hAnsi="Garamond"/>
          <w:sz w:val="24"/>
          <w:szCs w:val="24"/>
        </w:rPr>
        <w:t xml:space="preserve"> </w:t>
      </w:r>
      <w:r w:rsidRPr="00E735F1">
        <w:rPr>
          <w:rFonts w:ascii="Garamond" w:hAnsi="Garamond"/>
          <w:sz w:val="24"/>
          <w:szCs w:val="24"/>
        </w:rPr>
        <w:t>sociálního zabezpečení (ČSSZ)</w:t>
      </w:r>
    </w:p>
    <w:p w:rsidR="00ED3616" w:rsidRDefault="00ED3616" w:rsidP="008F75A3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>u zaměstnance uplatněn „</w:t>
      </w:r>
      <w:proofErr w:type="spellStart"/>
      <w:r>
        <w:rPr>
          <w:rFonts w:ascii="Garamond" w:hAnsi="Garamond"/>
          <w:sz w:val="24"/>
          <w:szCs w:val="24"/>
        </w:rPr>
        <w:t>bismarkův</w:t>
      </w:r>
      <w:proofErr w:type="spellEnd"/>
      <w:r>
        <w:rPr>
          <w:rFonts w:ascii="Garamond" w:hAnsi="Garamond"/>
          <w:sz w:val="24"/>
          <w:szCs w:val="24"/>
        </w:rPr>
        <w:t xml:space="preserve"> koncept sdílení nákladů na financování sociálního pojištění“ mezi zaměstnance a zaměstnavatele</w:t>
      </w:r>
    </w:p>
    <w:p w:rsidR="00ED3616" w:rsidRDefault="00ED3616" w:rsidP="008F75A3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 w:rsidRPr="00112C51">
        <w:rPr>
          <w:rFonts w:ascii="Garamond" w:hAnsi="Garamond"/>
          <w:sz w:val="24"/>
          <w:szCs w:val="24"/>
        </w:rPr>
        <w:t xml:space="preserve">problém s OSVČ – </w:t>
      </w:r>
      <w:r w:rsidR="008D5614">
        <w:rPr>
          <w:rFonts w:ascii="Garamond" w:hAnsi="Garamond"/>
          <w:sz w:val="24"/>
          <w:szCs w:val="24"/>
        </w:rPr>
        <w:t>odlišně stanoven</w:t>
      </w:r>
      <w:r>
        <w:rPr>
          <w:rFonts w:ascii="Garamond" w:hAnsi="Garamond"/>
          <w:sz w:val="24"/>
          <w:szCs w:val="24"/>
        </w:rPr>
        <w:t xml:space="preserve"> vyměřovací základ než u zaměstnanců, existuje </w:t>
      </w:r>
      <w:r w:rsidRPr="00112C51">
        <w:rPr>
          <w:rFonts w:ascii="Garamond" w:hAnsi="Garamond"/>
          <w:sz w:val="24"/>
          <w:szCs w:val="24"/>
        </w:rPr>
        <w:t>minimální vyměřovací základ</w:t>
      </w:r>
      <w:r w:rsidR="008D5614">
        <w:rPr>
          <w:rFonts w:ascii="Garamond" w:hAnsi="Garamond"/>
          <w:sz w:val="24"/>
          <w:szCs w:val="24"/>
        </w:rPr>
        <w:t xml:space="preserve"> (nižší průměrný vyměřovací základ)</w:t>
      </w:r>
    </w:p>
    <w:p w:rsidR="00ED3616" w:rsidRPr="00124F2C" w:rsidRDefault="00ED3616" w:rsidP="00326A0B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 w:rsidRPr="00124F2C">
        <w:rPr>
          <w:rFonts w:ascii="Garamond" w:hAnsi="Garamond"/>
          <w:sz w:val="24"/>
          <w:szCs w:val="24"/>
        </w:rPr>
        <w:t>pojistné se skládá ze tří částí:</w:t>
      </w:r>
    </w:p>
    <w:p w:rsidR="00ED3616" w:rsidRPr="00124F2C" w:rsidRDefault="00ED3616" w:rsidP="00326A0B">
      <w:pPr>
        <w:pStyle w:val="Odstavecseseznamem"/>
        <w:numPr>
          <w:ilvl w:val="3"/>
          <w:numId w:val="6"/>
        </w:numPr>
        <w:rPr>
          <w:rFonts w:ascii="Garamond" w:hAnsi="Garamond"/>
          <w:sz w:val="24"/>
          <w:szCs w:val="24"/>
        </w:rPr>
      </w:pPr>
      <w:r w:rsidRPr="00124F2C">
        <w:rPr>
          <w:rFonts w:ascii="Garamond" w:hAnsi="Garamond"/>
          <w:sz w:val="24"/>
          <w:szCs w:val="24"/>
        </w:rPr>
        <w:t>pojistné na důchodové pojištění</w:t>
      </w:r>
    </w:p>
    <w:p w:rsidR="00ED3616" w:rsidRPr="00124F2C" w:rsidRDefault="00ED3616" w:rsidP="00326A0B">
      <w:pPr>
        <w:pStyle w:val="Odstavecseseznamem"/>
        <w:numPr>
          <w:ilvl w:val="3"/>
          <w:numId w:val="6"/>
        </w:numPr>
        <w:rPr>
          <w:rFonts w:ascii="Garamond" w:hAnsi="Garamond"/>
          <w:sz w:val="24"/>
          <w:szCs w:val="24"/>
        </w:rPr>
      </w:pPr>
      <w:r w:rsidRPr="00124F2C">
        <w:rPr>
          <w:rFonts w:ascii="Garamond" w:hAnsi="Garamond"/>
          <w:sz w:val="24"/>
          <w:szCs w:val="24"/>
        </w:rPr>
        <w:t>pojistné na nemocenské pojištění</w:t>
      </w:r>
      <w:r>
        <w:rPr>
          <w:rFonts w:ascii="Garamond" w:hAnsi="Garamond"/>
          <w:sz w:val="24"/>
          <w:szCs w:val="24"/>
        </w:rPr>
        <w:t xml:space="preserve"> (rozdíl: nemocenské pojištění X zdravotní pojištění)</w:t>
      </w:r>
    </w:p>
    <w:p w:rsidR="00ED3616" w:rsidRPr="005A6D3F" w:rsidRDefault="00ED3616" w:rsidP="00326A0B">
      <w:pPr>
        <w:pStyle w:val="Odstavecseseznamem"/>
        <w:numPr>
          <w:ilvl w:val="3"/>
          <w:numId w:val="6"/>
        </w:numPr>
        <w:rPr>
          <w:rFonts w:ascii="Garamond" w:hAnsi="Garamond"/>
          <w:sz w:val="24"/>
          <w:szCs w:val="24"/>
        </w:rPr>
      </w:pPr>
      <w:r w:rsidRPr="00124F2C">
        <w:rPr>
          <w:rFonts w:ascii="Garamond" w:hAnsi="Garamond"/>
          <w:sz w:val="24"/>
          <w:szCs w:val="24"/>
        </w:rPr>
        <w:t>příspěvek na státní politiku zaměstnanosti</w:t>
      </w:r>
      <w:r>
        <w:rPr>
          <w:rFonts w:ascii="TimesNewRomanPSMT" w:hAnsi="TimesNewRomanPSMT" w:cs="TimesNewRomanPSMT"/>
          <w:sz w:val="24"/>
          <w:szCs w:val="24"/>
          <w:lang w:eastAsia="cs-CZ"/>
        </w:rPr>
        <w:t>.</w:t>
      </w:r>
    </w:p>
    <w:p w:rsidR="00ED3616" w:rsidRDefault="00ED3616" w:rsidP="00BC5832">
      <w:pPr>
        <w:pStyle w:val="Odstavecseseznamem"/>
        <w:spacing w:line="240" w:lineRule="auto"/>
        <w:ind w:left="0"/>
        <w:rPr>
          <w:rFonts w:ascii="Garamond" w:hAnsi="Garamond"/>
          <w:sz w:val="24"/>
          <w:szCs w:val="24"/>
        </w:rPr>
      </w:pP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8"/>
        <w:gridCol w:w="1619"/>
        <w:gridCol w:w="1731"/>
        <w:gridCol w:w="1084"/>
      </w:tblGrid>
      <w:tr w:rsidR="00ED3616" w:rsidRPr="0053162D" w:rsidTr="004A3AB1">
        <w:trPr>
          <w:jc w:val="center"/>
        </w:trPr>
        <w:tc>
          <w:tcPr>
            <w:tcW w:w="4398" w:type="dxa"/>
            <w:vAlign w:val="bottom"/>
          </w:tcPr>
          <w:p w:rsidR="00ED3616" w:rsidRPr="004A3AB1" w:rsidRDefault="00ED3616" w:rsidP="00BC5832">
            <w:pPr>
              <w:pStyle w:val="Odstavecseseznamem"/>
              <w:spacing w:line="240" w:lineRule="auto"/>
              <w:ind w:left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A3AB1">
              <w:rPr>
                <w:rFonts w:ascii="Garamond" w:hAnsi="Garamond"/>
                <w:b/>
                <w:bCs/>
                <w:sz w:val="24"/>
                <w:szCs w:val="24"/>
              </w:rPr>
              <w:t>Typ pojištění</w:t>
            </w:r>
          </w:p>
        </w:tc>
        <w:tc>
          <w:tcPr>
            <w:tcW w:w="1619" w:type="dxa"/>
            <w:vAlign w:val="bottom"/>
          </w:tcPr>
          <w:p w:rsidR="00ED3616" w:rsidRPr="004A3AB1" w:rsidRDefault="00ED3616" w:rsidP="00BC5832">
            <w:pPr>
              <w:pStyle w:val="Odstavecseseznamem"/>
              <w:spacing w:line="240" w:lineRule="auto"/>
              <w:ind w:left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A3AB1">
              <w:rPr>
                <w:rFonts w:ascii="Garamond" w:hAnsi="Garamond"/>
                <w:b/>
                <w:bCs/>
                <w:sz w:val="24"/>
                <w:szCs w:val="24"/>
              </w:rPr>
              <w:t>Zaměstnanec</w:t>
            </w:r>
          </w:p>
        </w:tc>
        <w:tc>
          <w:tcPr>
            <w:tcW w:w="1731" w:type="dxa"/>
            <w:vAlign w:val="bottom"/>
          </w:tcPr>
          <w:p w:rsidR="00ED3616" w:rsidRPr="004A3AB1" w:rsidRDefault="00ED3616" w:rsidP="00BC5832">
            <w:pPr>
              <w:pStyle w:val="Odstavecseseznamem"/>
              <w:spacing w:line="240" w:lineRule="auto"/>
              <w:ind w:left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A3AB1">
              <w:rPr>
                <w:rFonts w:ascii="Garamond" w:hAnsi="Garamond"/>
                <w:b/>
                <w:bCs/>
                <w:sz w:val="24"/>
                <w:szCs w:val="24"/>
              </w:rPr>
              <w:t>Zaměstnavatel</w:t>
            </w:r>
          </w:p>
        </w:tc>
        <w:tc>
          <w:tcPr>
            <w:tcW w:w="1084" w:type="dxa"/>
            <w:vAlign w:val="bottom"/>
          </w:tcPr>
          <w:p w:rsidR="00ED3616" w:rsidRPr="004A3AB1" w:rsidRDefault="00ED3616" w:rsidP="00431DF2">
            <w:pPr>
              <w:pStyle w:val="Odstavecseseznamem"/>
              <w:spacing w:after="0" w:line="240" w:lineRule="auto"/>
              <w:ind w:left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A3AB1">
              <w:rPr>
                <w:rFonts w:ascii="Garamond" w:hAnsi="Garamond"/>
                <w:b/>
                <w:bCs/>
                <w:sz w:val="24"/>
                <w:szCs w:val="24"/>
              </w:rPr>
              <w:t>Celkem</w:t>
            </w:r>
          </w:p>
        </w:tc>
      </w:tr>
      <w:tr w:rsidR="00ED3616" w:rsidTr="004A3AB1">
        <w:trPr>
          <w:jc w:val="center"/>
        </w:trPr>
        <w:tc>
          <w:tcPr>
            <w:tcW w:w="4398" w:type="dxa"/>
            <w:vAlign w:val="bottom"/>
          </w:tcPr>
          <w:p w:rsidR="00ED3616" w:rsidRPr="004A3AB1" w:rsidRDefault="00ED3616" w:rsidP="00BC5832">
            <w:pPr>
              <w:pStyle w:val="Odstavecseseznamem"/>
              <w:spacing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  <w:r w:rsidRPr="004A3AB1">
              <w:rPr>
                <w:rFonts w:ascii="Garamond" w:hAnsi="Garamond"/>
                <w:sz w:val="24"/>
                <w:szCs w:val="24"/>
              </w:rPr>
              <w:t>Zdravotní pojištění</w:t>
            </w:r>
          </w:p>
        </w:tc>
        <w:tc>
          <w:tcPr>
            <w:tcW w:w="1619" w:type="dxa"/>
            <w:vAlign w:val="bottom"/>
          </w:tcPr>
          <w:p w:rsidR="00ED3616" w:rsidRPr="004A3AB1" w:rsidRDefault="00ED3616" w:rsidP="00431DF2">
            <w:pPr>
              <w:pStyle w:val="Odstavecseseznamem"/>
              <w:spacing w:line="240" w:lineRule="auto"/>
              <w:ind w:left="0"/>
              <w:jc w:val="right"/>
              <w:rPr>
                <w:rFonts w:ascii="Garamond" w:hAnsi="Garamond"/>
                <w:sz w:val="24"/>
                <w:szCs w:val="24"/>
              </w:rPr>
            </w:pPr>
            <w:r w:rsidRPr="004A3AB1">
              <w:rPr>
                <w:rFonts w:ascii="Garamond" w:hAnsi="Garamond"/>
                <w:sz w:val="24"/>
                <w:szCs w:val="24"/>
              </w:rPr>
              <w:t>4,5 %</w:t>
            </w:r>
          </w:p>
        </w:tc>
        <w:tc>
          <w:tcPr>
            <w:tcW w:w="1731" w:type="dxa"/>
            <w:vAlign w:val="bottom"/>
          </w:tcPr>
          <w:p w:rsidR="00ED3616" w:rsidRPr="004A3AB1" w:rsidRDefault="00ED3616" w:rsidP="00431DF2">
            <w:pPr>
              <w:pStyle w:val="Odstavecseseznamem"/>
              <w:spacing w:line="240" w:lineRule="auto"/>
              <w:ind w:left="0"/>
              <w:jc w:val="right"/>
              <w:rPr>
                <w:rFonts w:ascii="Garamond" w:hAnsi="Garamond"/>
                <w:sz w:val="24"/>
                <w:szCs w:val="24"/>
              </w:rPr>
            </w:pPr>
            <w:r w:rsidRPr="004A3AB1">
              <w:rPr>
                <w:rFonts w:ascii="Garamond" w:hAnsi="Garamond"/>
                <w:sz w:val="24"/>
                <w:szCs w:val="24"/>
              </w:rPr>
              <w:t>9</w:t>
            </w:r>
            <w:r w:rsidR="00431DF2">
              <w:rPr>
                <w:rFonts w:ascii="Garamond" w:hAnsi="Garamond"/>
                <w:sz w:val="24"/>
                <w:szCs w:val="24"/>
              </w:rPr>
              <w:t>,0</w:t>
            </w:r>
            <w:r w:rsidRPr="004A3AB1">
              <w:rPr>
                <w:rFonts w:ascii="Garamond" w:hAnsi="Garamond"/>
                <w:sz w:val="24"/>
                <w:szCs w:val="24"/>
              </w:rPr>
              <w:t xml:space="preserve"> %</w:t>
            </w:r>
          </w:p>
        </w:tc>
        <w:tc>
          <w:tcPr>
            <w:tcW w:w="1084" w:type="dxa"/>
            <w:vAlign w:val="bottom"/>
          </w:tcPr>
          <w:p w:rsidR="00ED3616" w:rsidRPr="004A3AB1" w:rsidRDefault="00ED3616" w:rsidP="00431DF2">
            <w:pPr>
              <w:pStyle w:val="Odstavecseseznamem"/>
              <w:spacing w:after="0" w:line="240" w:lineRule="auto"/>
              <w:ind w:left="0"/>
              <w:jc w:val="right"/>
              <w:rPr>
                <w:rFonts w:ascii="Garamond" w:hAnsi="Garamond"/>
                <w:sz w:val="24"/>
                <w:szCs w:val="24"/>
              </w:rPr>
            </w:pPr>
            <w:r w:rsidRPr="004A3AB1">
              <w:rPr>
                <w:rFonts w:ascii="Garamond" w:hAnsi="Garamond"/>
                <w:sz w:val="24"/>
                <w:szCs w:val="24"/>
              </w:rPr>
              <w:t>13,5 %</w:t>
            </w:r>
          </w:p>
        </w:tc>
      </w:tr>
      <w:tr w:rsidR="00ED3616" w:rsidTr="004A3AB1">
        <w:trPr>
          <w:jc w:val="center"/>
        </w:trPr>
        <w:tc>
          <w:tcPr>
            <w:tcW w:w="4398" w:type="dxa"/>
            <w:vAlign w:val="bottom"/>
          </w:tcPr>
          <w:p w:rsidR="00ED3616" w:rsidRPr="004A3AB1" w:rsidRDefault="00ED3616" w:rsidP="00BC5832">
            <w:pPr>
              <w:pStyle w:val="Odstavecseseznamem"/>
              <w:spacing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  <w:r w:rsidRPr="004A3AB1">
              <w:rPr>
                <w:rFonts w:ascii="Garamond" w:hAnsi="Garamond"/>
                <w:sz w:val="24"/>
                <w:szCs w:val="24"/>
              </w:rPr>
              <w:t>Sociální pojištění</w:t>
            </w:r>
          </w:p>
        </w:tc>
        <w:tc>
          <w:tcPr>
            <w:tcW w:w="1619" w:type="dxa"/>
            <w:vAlign w:val="bottom"/>
          </w:tcPr>
          <w:p w:rsidR="00ED3616" w:rsidRPr="004A3AB1" w:rsidRDefault="00ED3616" w:rsidP="00431DF2">
            <w:pPr>
              <w:pStyle w:val="Odstavecseseznamem"/>
              <w:spacing w:line="240" w:lineRule="auto"/>
              <w:ind w:left="0"/>
              <w:jc w:val="right"/>
              <w:rPr>
                <w:rFonts w:ascii="Garamond" w:hAnsi="Garamond"/>
                <w:sz w:val="24"/>
                <w:szCs w:val="24"/>
              </w:rPr>
            </w:pPr>
            <w:r w:rsidRPr="004A3AB1">
              <w:rPr>
                <w:rFonts w:ascii="Garamond" w:hAnsi="Garamond"/>
                <w:sz w:val="24"/>
                <w:szCs w:val="24"/>
              </w:rPr>
              <w:t>6,5%</w:t>
            </w:r>
          </w:p>
        </w:tc>
        <w:tc>
          <w:tcPr>
            <w:tcW w:w="1731" w:type="dxa"/>
            <w:vAlign w:val="bottom"/>
          </w:tcPr>
          <w:p w:rsidR="00ED3616" w:rsidRPr="004A3AB1" w:rsidRDefault="00ED3616" w:rsidP="00431DF2">
            <w:pPr>
              <w:pStyle w:val="Odstavecseseznamem"/>
              <w:spacing w:line="240" w:lineRule="auto"/>
              <w:ind w:left="0"/>
              <w:jc w:val="right"/>
              <w:rPr>
                <w:rFonts w:ascii="Garamond" w:hAnsi="Garamond"/>
                <w:sz w:val="24"/>
                <w:szCs w:val="24"/>
              </w:rPr>
            </w:pPr>
            <w:r w:rsidRPr="004A3AB1">
              <w:rPr>
                <w:rFonts w:ascii="Garamond" w:hAnsi="Garamond"/>
                <w:sz w:val="24"/>
                <w:szCs w:val="24"/>
              </w:rPr>
              <w:t>25</w:t>
            </w:r>
            <w:r w:rsidR="00431DF2">
              <w:rPr>
                <w:rFonts w:ascii="Garamond" w:hAnsi="Garamond"/>
                <w:sz w:val="24"/>
                <w:szCs w:val="24"/>
              </w:rPr>
              <w:t>,0</w:t>
            </w:r>
            <w:r w:rsidRPr="004A3AB1">
              <w:rPr>
                <w:rFonts w:ascii="Garamond" w:hAnsi="Garamond"/>
                <w:sz w:val="24"/>
                <w:szCs w:val="24"/>
              </w:rPr>
              <w:t xml:space="preserve"> %</w:t>
            </w:r>
          </w:p>
        </w:tc>
        <w:tc>
          <w:tcPr>
            <w:tcW w:w="1084" w:type="dxa"/>
            <w:vAlign w:val="bottom"/>
          </w:tcPr>
          <w:p w:rsidR="00ED3616" w:rsidRPr="004A3AB1" w:rsidRDefault="00ED3616" w:rsidP="00431DF2">
            <w:pPr>
              <w:pStyle w:val="Odstavecseseznamem"/>
              <w:spacing w:after="0" w:line="240" w:lineRule="auto"/>
              <w:ind w:left="0"/>
              <w:jc w:val="right"/>
              <w:rPr>
                <w:rFonts w:ascii="Garamond" w:hAnsi="Garamond"/>
                <w:sz w:val="24"/>
                <w:szCs w:val="24"/>
              </w:rPr>
            </w:pPr>
            <w:r w:rsidRPr="004A3AB1">
              <w:rPr>
                <w:rFonts w:ascii="Garamond" w:hAnsi="Garamond"/>
                <w:sz w:val="24"/>
                <w:szCs w:val="24"/>
              </w:rPr>
              <w:t>31,5 %</w:t>
            </w:r>
          </w:p>
        </w:tc>
      </w:tr>
      <w:tr w:rsidR="00ED3616" w:rsidTr="004A3AB1">
        <w:trPr>
          <w:jc w:val="center"/>
        </w:trPr>
        <w:tc>
          <w:tcPr>
            <w:tcW w:w="4398" w:type="dxa"/>
            <w:vAlign w:val="bottom"/>
          </w:tcPr>
          <w:p w:rsidR="00ED3616" w:rsidRPr="004A3AB1" w:rsidRDefault="00ED3616" w:rsidP="00BC5832">
            <w:pPr>
              <w:pStyle w:val="Odstavecseseznamem"/>
              <w:spacing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  <w:r w:rsidRPr="004A3AB1">
              <w:rPr>
                <w:rFonts w:ascii="Garamond" w:hAnsi="Garamond"/>
                <w:sz w:val="24"/>
                <w:szCs w:val="24"/>
              </w:rPr>
              <w:t>- nemocenské pojištění</w:t>
            </w:r>
          </w:p>
        </w:tc>
        <w:tc>
          <w:tcPr>
            <w:tcW w:w="1619" w:type="dxa"/>
            <w:vAlign w:val="bottom"/>
          </w:tcPr>
          <w:p w:rsidR="00ED3616" w:rsidRPr="004A3AB1" w:rsidRDefault="00ED3616" w:rsidP="00431DF2">
            <w:pPr>
              <w:pStyle w:val="Odstavecseseznamem"/>
              <w:spacing w:line="240" w:lineRule="auto"/>
              <w:ind w:left="0"/>
              <w:jc w:val="right"/>
              <w:rPr>
                <w:rFonts w:ascii="Garamond" w:hAnsi="Garamond"/>
                <w:sz w:val="24"/>
                <w:szCs w:val="24"/>
              </w:rPr>
            </w:pPr>
            <w:r w:rsidRPr="004A3AB1">
              <w:rPr>
                <w:rFonts w:ascii="Garamond" w:hAnsi="Garamond"/>
                <w:sz w:val="24"/>
                <w:szCs w:val="24"/>
              </w:rPr>
              <w:t>0</w:t>
            </w:r>
            <w:r w:rsidR="00431DF2">
              <w:rPr>
                <w:rFonts w:ascii="Garamond" w:hAnsi="Garamond"/>
                <w:sz w:val="24"/>
                <w:szCs w:val="24"/>
              </w:rPr>
              <w:t>,0</w:t>
            </w:r>
            <w:r w:rsidRPr="004A3AB1">
              <w:rPr>
                <w:rFonts w:ascii="Garamond" w:hAnsi="Garamond"/>
                <w:sz w:val="24"/>
                <w:szCs w:val="24"/>
              </w:rPr>
              <w:t xml:space="preserve"> %</w:t>
            </w:r>
          </w:p>
        </w:tc>
        <w:tc>
          <w:tcPr>
            <w:tcW w:w="1731" w:type="dxa"/>
            <w:vAlign w:val="bottom"/>
          </w:tcPr>
          <w:p w:rsidR="00ED3616" w:rsidRPr="004A3AB1" w:rsidRDefault="00ED3616" w:rsidP="00431DF2">
            <w:pPr>
              <w:pStyle w:val="Odstavecseseznamem"/>
              <w:spacing w:line="240" w:lineRule="auto"/>
              <w:ind w:left="0"/>
              <w:jc w:val="right"/>
              <w:rPr>
                <w:rFonts w:ascii="Garamond" w:hAnsi="Garamond"/>
                <w:sz w:val="24"/>
                <w:szCs w:val="24"/>
              </w:rPr>
            </w:pPr>
            <w:r w:rsidRPr="004A3AB1">
              <w:rPr>
                <w:rFonts w:ascii="Garamond" w:hAnsi="Garamond"/>
                <w:sz w:val="24"/>
                <w:szCs w:val="24"/>
              </w:rPr>
              <w:t>2,3 %</w:t>
            </w:r>
          </w:p>
        </w:tc>
        <w:tc>
          <w:tcPr>
            <w:tcW w:w="1084" w:type="dxa"/>
            <w:vAlign w:val="bottom"/>
          </w:tcPr>
          <w:p w:rsidR="00ED3616" w:rsidRPr="004A3AB1" w:rsidRDefault="00ED3616" w:rsidP="00431DF2">
            <w:pPr>
              <w:pStyle w:val="Odstavecseseznamem"/>
              <w:spacing w:after="0" w:line="240" w:lineRule="auto"/>
              <w:ind w:left="0"/>
              <w:jc w:val="right"/>
              <w:rPr>
                <w:rFonts w:ascii="Garamond" w:hAnsi="Garamond"/>
                <w:sz w:val="24"/>
                <w:szCs w:val="24"/>
              </w:rPr>
            </w:pPr>
            <w:r w:rsidRPr="004A3AB1">
              <w:rPr>
                <w:rFonts w:ascii="Garamond" w:hAnsi="Garamond"/>
                <w:sz w:val="24"/>
                <w:szCs w:val="24"/>
              </w:rPr>
              <w:t>2,3 %</w:t>
            </w:r>
          </w:p>
        </w:tc>
      </w:tr>
      <w:tr w:rsidR="00ED3616" w:rsidTr="004A3AB1">
        <w:trPr>
          <w:jc w:val="center"/>
        </w:trPr>
        <w:tc>
          <w:tcPr>
            <w:tcW w:w="4398" w:type="dxa"/>
            <w:vAlign w:val="bottom"/>
          </w:tcPr>
          <w:p w:rsidR="00ED3616" w:rsidRPr="004A3AB1" w:rsidRDefault="00ED3616" w:rsidP="00BC5832">
            <w:pPr>
              <w:pStyle w:val="Odstavecseseznamem"/>
              <w:spacing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  <w:r w:rsidRPr="004A3AB1">
              <w:rPr>
                <w:rFonts w:ascii="Garamond" w:hAnsi="Garamond"/>
                <w:sz w:val="24"/>
                <w:szCs w:val="24"/>
              </w:rPr>
              <w:t>- důchodové pojištění</w:t>
            </w:r>
          </w:p>
        </w:tc>
        <w:tc>
          <w:tcPr>
            <w:tcW w:w="1619" w:type="dxa"/>
            <w:vAlign w:val="bottom"/>
          </w:tcPr>
          <w:p w:rsidR="00ED3616" w:rsidRPr="004A3AB1" w:rsidRDefault="00ED3616" w:rsidP="00431DF2">
            <w:pPr>
              <w:pStyle w:val="Odstavecseseznamem"/>
              <w:spacing w:line="240" w:lineRule="auto"/>
              <w:ind w:left="0"/>
              <w:jc w:val="right"/>
              <w:rPr>
                <w:rFonts w:ascii="Garamond" w:hAnsi="Garamond"/>
                <w:sz w:val="24"/>
                <w:szCs w:val="24"/>
              </w:rPr>
            </w:pPr>
            <w:r w:rsidRPr="004A3AB1">
              <w:rPr>
                <w:rFonts w:ascii="Garamond" w:hAnsi="Garamond"/>
                <w:sz w:val="24"/>
                <w:szCs w:val="24"/>
              </w:rPr>
              <w:t>6,5 %</w:t>
            </w:r>
            <w:r w:rsidR="008430B4">
              <w:rPr>
                <w:rFonts w:ascii="Garamond" w:hAnsi="Garamond"/>
                <w:sz w:val="24"/>
                <w:szCs w:val="24"/>
              </w:rPr>
              <w:t xml:space="preserve"> *</w:t>
            </w:r>
          </w:p>
        </w:tc>
        <w:tc>
          <w:tcPr>
            <w:tcW w:w="1731" w:type="dxa"/>
            <w:vAlign w:val="bottom"/>
          </w:tcPr>
          <w:p w:rsidR="00ED3616" w:rsidRPr="004A3AB1" w:rsidRDefault="00ED3616" w:rsidP="00431DF2">
            <w:pPr>
              <w:pStyle w:val="Odstavecseseznamem"/>
              <w:spacing w:line="240" w:lineRule="auto"/>
              <w:ind w:left="0"/>
              <w:jc w:val="right"/>
              <w:rPr>
                <w:rFonts w:ascii="Garamond" w:hAnsi="Garamond"/>
                <w:sz w:val="24"/>
                <w:szCs w:val="24"/>
              </w:rPr>
            </w:pPr>
            <w:r w:rsidRPr="004A3AB1">
              <w:rPr>
                <w:rFonts w:ascii="Garamond" w:hAnsi="Garamond"/>
                <w:sz w:val="24"/>
                <w:szCs w:val="24"/>
              </w:rPr>
              <w:t>21,5%</w:t>
            </w:r>
          </w:p>
        </w:tc>
        <w:tc>
          <w:tcPr>
            <w:tcW w:w="1084" w:type="dxa"/>
            <w:vAlign w:val="bottom"/>
          </w:tcPr>
          <w:p w:rsidR="00ED3616" w:rsidRPr="004A3AB1" w:rsidRDefault="00ED3616" w:rsidP="00431DF2">
            <w:pPr>
              <w:pStyle w:val="Odstavecseseznamem"/>
              <w:spacing w:after="0" w:line="240" w:lineRule="auto"/>
              <w:ind w:left="0"/>
              <w:jc w:val="right"/>
              <w:rPr>
                <w:rFonts w:ascii="Garamond" w:hAnsi="Garamond"/>
                <w:sz w:val="24"/>
                <w:szCs w:val="24"/>
              </w:rPr>
            </w:pPr>
            <w:r w:rsidRPr="004A3AB1">
              <w:rPr>
                <w:rFonts w:ascii="Garamond" w:hAnsi="Garamond"/>
                <w:sz w:val="24"/>
                <w:szCs w:val="24"/>
              </w:rPr>
              <w:t>28</w:t>
            </w:r>
            <w:r w:rsidR="00431DF2">
              <w:rPr>
                <w:rFonts w:ascii="Garamond" w:hAnsi="Garamond"/>
                <w:sz w:val="24"/>
                <w:szCs w:val="24"/>
              </w:rPr>
              <w:t>,0</w:t>
            </w:r>
            <w:r w:rsidRPr="004A3AB1">
              <w:rPr>
                <w:rFonts w:ascii="Garamond" w:hAnsi="Garamond"/>
                <w:sz w:val="24"/>
                <w:szCs w:val="24"/>
              </w:rPr>
              <w:t xml:space="preserve"> %</w:t>
            </w:r>
          </w:p>
        </w:tc>
      </w:tr>
      <w:tr w:rsidR="00ED3616" w:rsidTr="004A3AB1">
        <w:trPr>
          <w:jc w:val="center"/>
        </w:trPr>
        <w:tc>
          <w:tcPr>
            <w:tcW w:w="4398" w:type="dxa"/>
            <w:vAlign w:val="bottom"/>
          </w:tcPr>
          <w:p w:rsidR="00ED3616" w:rsidRPr="004A3AB1" w:rsidRDefault="00ED3616" w:rsidP="00BC5832">
            <w:pPr>
              <w:pStyle w:val="Odstavecseseznamem"/>
              <w:spacing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  <w:r w:rsidRPr="004A3AB1">
              <w:rPr>
                <w:rFonts w:ascii="Garamond" w:hAnsi="Garamond"/>
                <w:sz w:val="24"/>
                <w:szCs w:val="24"/>
              </w:rPr>
              <w:t>- příspěvek na státní politiku zaměstnanosti</w:t>
            </w:r>
          </w:p>
        </w:tc>
        <w:tc>
          <w:tcPr>
            <w:tcW w:w="1619" w:type="dxa"/>
            <w:vAlign w:val="bottom"/>
          </w:tcPr>
          <w:p w:rsidR="00ED3616" w:rsidRPr="004A3AB1" w:rsidRDefault="00ED3616" w:rsidP="00431DF2">
            <w:pPr>
              <w:pStyle w:val="Odstavecseseznamem"/>
              <w:spacing w:line="240" w:lineRule="auto"/>
              <w:ind w:left="0"/>
              <w:jc w:val="right"/>
              <w:rPr>
                <w:rFonts w:ascii="Garamond" w:hAnsi="Garamond"/>
                <w:sz w:val="24"/>
                <w:szCs w:val="24"/>
              </w:rPr>
            </w:pPr>
            <w:r w:rsidRPr="004A3AB1">
              <w:rPr>
                <w:rFonts w:ascii="Garamond" w:hAnsi="Garamond"/>
                <w:sz w:val="24"/>
                <w:szCs w:val="24"/>
              </w:rPr>
              <w:t>0</w:t>
            </w:r>
            <w:r w:rsidR="00431DF2">
              <w:rPr>
                <w:rFonts w:ascii="Garamond" w:hAnsi="Garamond"/>
                <w:sz w:val="24"/>
                <w:szCs w:val="24"/>
              </w:rPr>
              <w:t>,0</w:t>
            </w:r>
            <w:r w:rsidRPr="004A3AB1">
              <w:rPr>
                <w:rFonts w:ascii="Garamond" w:hAnsi="Garamond"/>
                <w:sz w:val="24"/>
                <w:szCs w:val="24"/>
              </w:rPr>
              <w:t xml:space="preserve"> %</w:t>
            </w:r>
          </w:p>
        </w:tc>
        <w:tc>
          <w:tcPr>
            <w:tcW w:w="1731" w:type="dxa"/>
            <w:vAlign w:val="bottom"/>
          </w:tcPr>
          <w:p w:rsidR="00ED3616" w:rsidRPr="004A3AB1" w:rsidRDefault="00ED3616" w:rsidP="00431DF2">
            <w:pPr>
              <w:pStyle w:val="Odstavecseseznamem"/>
              <w:spacing w:line="240" w:lineRule="auto"/>
              <w:ind w:left="0"/>
              <w:jc w:val="right"/>
              <w:rPr>
                <w:rFonts w:ascii="Garamond" w:hAnsi="Garamond"/>
                <w:sz w:val="24"/>
                <w:szCs w:val="24"/>
              </w:rPr>
            </w:pPr>
            <w:r w:rsidRPr="004A3AB1">
              <w:rPr>
                <w:rFonts w:ascii="Garamond" w:hAnsi="Garamond"/>
                <w:sz w:val="24"/>
                <w:szCs w:val="24"/>
              </w:rPr>
              <w:t>1,2 %</w:t>
            </w:r>
          </w:p>
        </w:tc>
        <w:tc>
          <w:tcPr>
            <w:tcW w:w="1084" w:type="dxa"/>
            <w:vAlign w:val="bottom"/>
          </w:tcPr>
          <w:p w:rsidR="00ED3616" w:rsidRPr="004A3AB1" w:rsidRDefault="00ED3616" w:rsidP="00431DF2">
            <w:pPr>
              <w:pStyle w:val="Odstavecseseznamem"/>
              <w:spacing w:after="0" w:line="240" w:lineRule="auto"/>
              <w:ind w:left="0"/>
              <w:jc w:val="right"/>
              <w:rPr>
                <w:rFonts w:ascii="Garamond" w:hAnsi="Garamond"/>
                <w:sz w:val="24"/>
                <w:szCs w:val="24"/>
              </w:rPr>
            </w:pPr>
            <w:r w:rsidRPr="004A3AB1">
              <w:rPr>
                <w:rFonts w:ascii="Garamond" w:hAnsi="Garamond"/>
                <w:sz w:val="24"/>
                <w:szCs w:val="24"/>
              </w:rPr>
              <w:t>1,2 %</w:t>
            </w:r>
          </w:p>
        </w:tc>
      </w:tr>
      <w:tr w:rsidR="00ED3616" w:rsidTr="004A3AB1">
        <w:trPr>
          <w:jc w:val="center"/>
        </w:trPr>
        <w:tc>
          <w:tcPr>
            <w:tcW w:w="4398" w:type="dxa"/>
            <w:vAlign w:val="bottom"/>
          </w:tcPr>
          <w:p w:rsidR="00ED3616" w:rsidRPr="004A3AB1" w:rsidRDefault="00ED3616" w:rsidP="00BC5832">
            <w:pPr>
              <w:pStyle w:val="Odstavecseseznamem"/>
              <w:spacing w:line="240" w:lineRule="auto"/>
              <w:ind w:left="0"/>
              <w:rPr>
                <w:rFonts w:ascii="Garamond" w:hAnsi="Garamond"/>
                <w:sz w:val="24"/>
                <w:szCs w:val="24"/>
              </w:rPr>
            </w:pPr>
            <w:r w:rsidRPr="004A3AB1">
              <w:rPr>
                <w:rFonts w:ascii="Garamond" w:hAnsi="Garamond"/>
                <w:sz w:val="24"/>
                <w:szCs w:val="24"/>
              </w:rPr>
              <w:t>Celkem</w:t>
            </w:r>
          </w:p>
        </w:tc>
        <w:tc>
          <w:tcPr>
            <w:tcW w:w="1619" w:type="dxa"/>
            <w:vAlign w:val="bottom"/>
          </w:tcPr>
          <w:p w:rsidR="00ED3616" w:rsidRPr="004A3AB1" w:rsidRDefault="00ED3616" w:rsidP="00431DF2">
            <w:pPr>
              <w:pStyle w:val="Odstavecseseznamem"/>
              <w:spacing w:line="240" w:lineRule="auto"/>
              <w:ind w:left="0"/>
              <w:jc w:val="right"/>
              <w:rPr>
                <w:rFonts w:ascii="Garamond" w:hAnsi="Garamond"/>
                <w:sz w:val="24"/>
                <w:szCs w:val="24"/>
              </w:rPr>
            </w:pPr>
            <w:r w:rsidRPr="004A3AB1">
              <w:rPr>
                <w:rFonts w:ascii="Garamond" w:hAnsi="Garamond"/>
                <w:sz w:val="24"/>
                <w:szCs w:val="24"/>
              </w:rPr>
              <w:t>11</w:t>
            </w:r>
            <w:r w:rsidR="00431DF2">
              <w:rPr>
                <w:rFonts w:ascii="Garamond" w:hAnsi="Garamond"/>
                <w:sz w:val="24"/>
                <w:szCs w:val="24"/>
              </w:rPr>
              <w:t>,0</w:t>
            </w:r>
            <w:r w:rsidRPr="004A3AB1">
              <w:rPr>
                <w:rFonts w:ascii="Garamond" w:hAnsi="Garamond"/>
                <w:sz w:val="24"/>
                <w:szCs w:val="24"/>
              </w:rPr>
              <w:t xml:space="preserve"> %</w:t>
            </w:r>
          </w:p>
        </w:tc>
        <w:tc>
          <w:tcPr>
            <w:tcW w:w="1731" w:type="dxa"/>
            <w:vAlign w:val="bottom"/>
          </w:tcPr>
          <w:p w:rsidR="00ED3616" w:rsidRPr="004A3AB1" w:rsidRDefault="00ED3616" w:rsidP="00431DF2">
            <w:pPr>
              <w:pStyle w:val="Odstavecseseznamem"/>
              <w:spacing w:line="240" w:lineRule="auto"/>
              <w:ind w:left="0"/>
              <w:jc w:val="right"/>
              <w:rPr>
                <w:rFonts w:ascii="Garamond" w:hAnsi="Garamond"/>
                <w:sz w:val="24"/>
                <w:szCs w:val="24"/>
              </w:rPr>
            </w:pPr>
            <w:r w:rsidRPr="004A3AB1">
              <w:rPr>
                <w:rFonts w:ascii="Garamond" w:hAnsi="Garamond"/>
                <w:sz w:val="24"/>
                <w:szCs w:val="24"/>
              </w:rPr>
              <w:t>34</w:t>
            </w:r>
            <w:r w:rsidR="00431DF2">
              <w:rPr>
                <w:rFonts w:ascii="Garamond" w:hAnsi="Garamond"/>
                <w:sz w:val="24"/>
                <w:szCs w:val="24"/>
              </w:rPr>
              <w:t>,0</w:t>
            </w:r>
            <w:r w:rsidRPr="004A3AB1">
              <w:rPr>
                <w:rFonts w:ascii="Garamond" w:hAnsi="Garamond"/>
                <w:sz w:val="24"/>
                <w:szCs w:val="24"/>
              </w:rPr>
              <w:t xml:space="preserve"> %</w:t>
            </w:r>
          </w:p>
        </w:tc>
        <w:tc>
          <w:tcPr>
            <w:tcW w:w="1084" w:type="dxa"/>
            <w:vAlign w:val="bottom"/>
          </w:tcPr>
          <w:p w:rsidR="00ED3616" w:rsidRPr="004A3AB1" w:rsidRDefault="00ED3616" w:rsidP="00431DF2">
            <w:pPr>
              <w:pStyle w:val="Odstavecseseznamem"/>
              <w:spacing w:after="0" w:line="240" w:lineRule="auto"/>
              <w:ind w:left="0"/>
              <w:jc w:val="right"/>
              <w:rPr>
                <w:rFonts w:ascii="Garamond" w:hAnsi="Garamond"/>
                <w:sz w:val="24"/>
                <w:szCs w:val="24"/>
              </w:rPr>
            </w:pPr>
            <w:r w:rsidRPr="004A3AB1">
              <w:rPr>
                <w:rFonts w:ascii="Garamond" w:hAnsi="Garamond"/>
                <w:sz w:val="24"/>
                <w:szCs w:val="24"/>
              </w:rPr>
              <w:t>45</w:t>
            </w:r>
            <w:r w:rsidR="00431DF2">
              <w:rPr>
                <w:rFonts w:ascii="Garamond" w:hAnsi="Garamond"/>
                <w:sz w:val="24"/>
                <w:szCs w:val="24"/>
              </w:rPr>
              <w:t>,0</w:t>
            </w:r>
            <w:r w:rsidRPr="004A3AB1">
              <w:rPr>
                <w:rFonts w:ascii="Garamond" w:hAnsi="Garamond"/>
                <w:sz w:val="24"/>
                <w:szCs w:val="24"/>
              </w:rPr>
              <w:t xml:space="preserve"> %</w:t>
            </w:r>
          </w:p>
        </w:tc>
      </w:tr>
    </w:tbl>
    <w:p w:rsidR="00ED3616" w:rsidRDefault="008430B4" w:rsidP="00BC5832">
      <w:pPr>
        <w:pStyle w:val="Odstavecseseznamem"/>
        <w:spacing w:line="240" w:lineRule="auto"/>
        <w:ind w:left="0"/>
        <w:rPr>
          <w:rFonts w:ascii="Garamond" w:hAnsi="Garamond"/>
          <w:i/>
          <w:sz w:val="20"/>
          <w:szCs w:val="20"/>
        </w:rPr>
      </w:pPr>
      <w:r w:rsidRPr="008430B4">
        <w:rPr>
          <w:rFonts w:ascii="Garamond" w:hAnsi="Garamond"/>
          <w:i/>
          <w:sz w:val="20"/>
          <w:szCs w:val="20"/>
        </w:rPr>
        <w:t>* 6,5 % - zaměstnanec, který se neúčastní důchodového spoření nebo 3,5 % v případě zaměstnance, který se účastní důchodového spoření</w:t>
      </w:r>
    </w:p>
    <w:p w:rsidR="009E5C2B" w:rsidRPr="00E77256" w:rsidRDefault="009E5C2B" w:rsidP="009E5C2B">
      <w:pPr>
        <w:pStyle w:val="Odstavecseseznamem"/>
        <w:ind w:left="0"/>
        <w:rPr>
          <w:rFonts w:ascii="Garamond" w:hAnsi="Garamond"/>
          <w:sz w:val="24"/>
          <w:szCs w:val="24"/>
        </w:rPr>
      </w:pPr>
      <w:r w:rsidRPr="00E77256">
        <w:rPr>
          <w:rFonts w:ascii="Garamond" w:hAnsi="Garamond"/>
          <w:sz w:val="24"/>
          <w:szCs w:val="24"/>
        </w:rPr>
        <w:lastRenderedPageBreak/>
        <w:t xml:space="preserve">Zdroj: </w:t>
      </w:r>
      <w:r>
        <w:rPr>
          <w:rFonts w:ascii="Garamond" w:hAnsi="Garamond"/>
          <w:sz w:val="24"/>
          <w:szCs w:val="24"/>
        </w:rPr>
        <w:t>ČSSZ (2015</w:t>
      </w:r>
      <w:r w:rsidRPr="00E77256">
        <w:rPr>
          <w:rFonts w:ascii="Garamond" w:hAnsi="Garamond"/>
          <w:sz w:val="24"/>
          <w:szCs w:val="24"/>
        </w:rPr>
        <w:t>)</w:t>
      </w:r>
    </w:p>
    <w:p w:rsidR="008430B4" w:rsidRDefault="008430B4" w:rsidP="00BC5832">
      <w:pPr>
        <w:pStyle w:val="Odstavecseseznamem"/>
        <w:spacing w:line="240" w:lineRule="auto"/>
        <w:ind w:left="0"/>
        <w:rPr>
          <w:rFonts w:ascii="Garamond" w:hAnsi="Garamond"/>
          <w:sz w:val="24"/>
          <w:szCs w:val="24"/>
        </w:rPr>
      </w:pPr>
    </w:p>
    <w:p w:rsidR="00ED3616" w:rsidRDefault="00ED3616" w:rsidP="00E27BCB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 OSVČ je výsledná sazba buď 45% (s nemocenským pojištěním) nebo 42,7% (bez nemocenského pojištění)</w:t>
      </w:r>
      <w:r w:rsidR="003D4E62">
        <w:rPr>
          <w:rFonts w:ascii="Garamond" w:hAnsi="Garamond"/>
          <w:sz w:val="24"/>
          <w:szCs w:val="24"/>
        </w:rPr>
        <w:t xml:space="preserve"> – OSVČ se mohou rozhodnout (ne)účastnit se nemocenského pojištění</w:t>
      </w:r>
    </w:p>
    <w:p w:rsidR="00ED3616" w:rsidRPr="00124F2C" w:rsidRDefault="00ED3616" w:rsidP="00326A0B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 w:rsidRPr="00124F2C">
        <w:rPr>
          <w:rFonts w:ascii="Garamond" w:hAnsi="Garamond"/>
          <w:sz w:val="24"/>
          <w:szCs w:val="24"/>
        </w:rPr>
        <w:t>do jaké daňové kvóty jsou příjmy ze SZP zahrnovány?</w:t>
      </w:r>
    </w:p>
    <w:p w:rsidR="00ED3616" w:rsidRDefault="00ED3616" w:rsidP="00326A0B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jak fungují stropy na sociální pojištění?</w:t>
      </w:r>
    </w:p>
    <w:p w:rsidR="00ED3616" w:rsidRDefault="00ED3616" w:rsidP="008F75A3">
      <w:pPr>
        <w:pStyle w:val="Odstavecseseznamem"/>
        <w:ind w:left="0"/>
        <w:rPr>
          <w:rFonts w:ascii="Garamond" w:hAnsi="Garamond"/>
          <w:sz w:val="24"/>
          <w:szCs w:val="24"/>
        </w:rPr>
      </w:pPr>
    </w:p>
    <w:p w:rsidR="00ED3616" w:rsidRPr="00AD7CA1" w:rsidRDefault="00ED3616" w:rsidP="005563B8">
      <w:pPr>
        <w:pStyle w:val="Odstavecseseznamem"/>
        <w:numPr>
          <w:ilvl w:val="0"/>
          <w:numId w:val="6"/>
        </w:numPr>
        <w:rPr>
          <w:rFonts w:ascii="Garamond" w:hAnsi="Garamond"/>
          <w:b/>
          <w:bCs/>
          <w:sz w:val="24"/>
          <w:szCs w:val="24"/>
        </w:rPr>
      </w:pPr>
      <w:r w:rsidRPr="00AD7CA1">
        <w:rPr>
          <w:rFonts w:ascii="Garamond" w:hAnsi="Garamond"/>
          <w:b/>
          <w:bCs/>
          <w:sz w:val="24"/>
          <w:szCs w:val="24"/>
        </w:rPr>
        <w:t>Pojistné na zdravotní pojištění</w:t>
      </w:r>
    </w:p>
    <w:p w:rsidR="00ED3616" w:rsidRDefault="00ED3616" w:rsidP="008F75A3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jedná se o </w:t>
      </w:r>
      <w:r w:rsidRPr="00C3498A">
        <w:rPr>
          <w:rFonts w:ascii="Garamond" w:hAnsi="Garamond"/>
          <w:sz w:val="24"/>
          <w:szCs w:val="24"/>
        </w:rPr>
        <w:t>příj</w:t>
      </w:r>
      <w:r>
        <w:rPr>
          <w:rFonts w:ascii="Garamond" w:hAnsi="Garamond"/>
          <w:sz w:val="24"/>
          <w:szCs w:val="24"/>
        </w:rPr>
        <w:t>e</w:t>
      </w:r>
      <w:r w:rsidRPr="00C3498A">
        <w:rPr>
          <w:rFonts w:ascii="Garamond" w:hAnsi="Garamond"/>
          <w:sz w:val="24"/>
          <w:szCs w:val="24"/>
        </w:rPr>
        <w:t xml:space="preserve">m zdravotních pojišťoven </w:t>
      </w:r>
    </w:p>
    <w:p w:rsidR="00ED3616" w:rsidRDefault="00ED3616" w:rsidP="008F75A3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 w:rsidRPr="00C3498A">
        <w:rPr>
          <w:rFonts w:ascii="Garamond" w:hAnsi="Garamond"/>
          <w:sz w:val="24"/>
          <w:szCs w:val="24"/>
        </w:rPr>
        <w:t>je z něho financováno zdravotní pojištění všech občanů</w:t>
      </w:r>
    </w:p>
    <w:p w:rsidR="00ED3616" w:rsidRDefault="00ED3616" w:rsidP="008F75A3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opakování z cvičení Financování zdravotnictví</w:t>
      </w:r>
    </w:p>
    <w:p w:rsidR="00ED3616" w:rsidRDefault="00ED3616" w:rsidP="00744D07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 w:rsidRPr="00744D07">
        <w:rPr>
          <w:rFonts w:ascii="Garamond" w:hAnsi="Garamond"/>
          <w:sz w:val="24"/>
          <w:szCs w:val="24"/>
        </w:rPr>
        <w:t>celou výši pojistného odvede zaměstnavatel příslušné zdravotní pojišťovně zaměstnance</w:t>
      </w:r>
    </w:p>
    <w:p w:rsidR="00BA4906" w:rsidRDefault="00BA4906" w:rsidP="00744D07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pojistné podléhá přerozdělení (opakování)</w:t>
      </w:r>
    </w:p>
    <w:p w:rsidR="00ED3616" w:rsidRPr="00112C51" w:rsidRDefault="00ED3616" w:rsidP="00112C51">
      <w:pPr>
        <w:pStyle w:val="Odstavecseseznamem"/>
        <w:ind w:left="0"/>
        <w:rPr>
          <w:rFonts w:ascii="Garamond" w:hAnsi="Garamond"/>
          <w:sz w:val="24"/>
          <w:szCs w:val="24"/>
        </w:rPr>
      </w:pPr>
    </w:p>
    <w:p w:rsidR="00ED3616" w:rsidRPr="0072676E" w:rsidRDefault="00ED3616" w:rsidP="002E4D62">
      <w:pPr>
        <w:pStyle w:val="Odstavecseseznamem"/>
        <w:numPr>
          <w:ilvl w:val="0"/>
          <w:numId w:val="6"/>
        </w:numPr>
        <w:rPr>
          <w:rFonts w:ascii="Garamond" w:hAnsi="Garamond"/>
          <w:b/>
          <w:bCs/>
          <w:sz w:val="24"/>
          <w:szCs w:val="24"/>
        </w:rPr>
      </w:pPr>
      <w:r w:rsidRPr="0072676E">
        <w:rPr>
          <w:rFonts w:ascii="Garamond" w:hAnsi="Garamond"/>
          <w:b/>
          <w:bCs/>
          <w:sz w:val="24"/>
          <w:szCs w:val="24"/>
        </w:rPr>
        <w:t>Daň z příjmu právnických osob (DPPO)</w:t>
      </w:r>
    </w:p>
    <w:p w:rsidR="00ED3616" w:rsidRPr="0087560E" w:rsidRDefault="00ED3616" w:rsidP="00483D60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 w:rsidRPr="0087560E">
        <w:rPr>
          <w:rFonts w:ascii="Garamond" w:hAnsi="Garamond"/>
          <w:sz w:val="24"/>
          <w:szCs w:val="24"/>
        </w:rPr>
        <w:t>poplatníky jsou osoby, které nejsou fyzickými osobami</w:t>
      </w:r>
    </w:p>
    <w:p w:rsidR="00ED3616" w:rsidRDefault="00ED3616" w:rsidP="002E4D62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 w:rsidRPr="00112C51">
        <w:rPr>
          <w:rFonts w:ascii="Garamond" w:hAnsi="Garamond"/>
          <w:sz w:val="24"/>
          <w:szCs w:val="24"/>
        </w:rPr>
        <w:t>výnosově</w:t>
      </w:r>
      <w:r>
        <w:rPr>
          <w:rFonts w:ascii="Garamond" w:hAnsi="Garamond"/>
          <w:sz w:val="24"/>
          <w:szCs w:val="24"/>
        </w:rPr>
        <w:t xml:space="preserve"> silná</w:t>
      </w:r>
    </w:p>
    <w:p w:rsidR="00ED3616" w:rsidRDefault="00ED3616" w:rsidP="002E4D62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 w:rsidRPr="00112C51">
        <w:rPr>
          <w:rFonts w:ascii="Garamond" w:hAnsi="Garamond"/>
          <w:sz w:val="24"/>
          <w:szCs w:val="24"/>
        </w:rPr>
        <w:t>zdaňujeme „daň</w:t>
      </w:r>
      <w:r>
        <w:rPr>
          <w:rFonts w:ascii="Garamond" w:hAnsi="Garamond"/>
          <w:sz w:val="24"/>
          <w:szCs w:val="24"/>
        </w:rPr>
        <w:t>ový zisk“ firem</w:t>
      </w:r>
      <w:r w:rsidRPr="00112C51">
        <w:rPr>
          <w:rFonts w:ascii="Garamond" w:hAnsi="Garamond"/>
          <w:sz w:val="24"/>
          <w:szCs w:val="24"/>
        </w:rPr>
        <w:t xml:space="preserve"> </w:t>
      </w:r>
    </w:p>
    <w:p w:rsidR="00ED3616" w:rsidRDefault="00ED3616" w:rsidP="00322F9E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otázka přesunu daně na spotřebitele</w:t>
      </w:r>
    </w:p>
    <w:p w:rsidR="00ED3616" w:rsidRDefault="00ED3616" w:rsidP="007812D4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výnos daně je citlivý na ekonomický cyklus</w:t>
      </w:r>
    </w:p>
    <w:p w:rsidR="00ED3616" w:rsidDel="008F75A3" w:rsidRDefault="00ED3616" w:rsidP="008F75A3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vývoj sazby DPFO (výběr z posledních 20 let):</w:t>
      </w:r>
    </w:p>
    <w:tbl>
      <w:tblPr>
        <w:tblW w:w="493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2978"/>
      </w:tblGrid>
      <w:tr w:rsidR="00ED3616" w:rsidRPr="00037238" w:rsidTr="00F90ED2">
        <w:trPr>
          <w:trHeight w:val="270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6"/>
            <w:vAlign w:val="center"/>
          </w:tcPr>
          <w:p w:rsidR="00ED3616" w:rsidRPr="00037238" w:rsidRDefault="00ED3616" w:rsidP="00BC5832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37238">
              <w:rPr>
                <w:rFonts w:ascii="Garamond" w:hAnsi="Garamond"/>
                <w:b/>
                <w:bCs/>
                <w:sz w:val="24"/>
                <w:szCs w:val="24"/>
              </w:rPr>
              <w:t>Období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6"/>
            <w:vAlign w:val="center"/>
          </w:tcPr>
          <w:p w:rsidR="00ED3616" w:rsidRPr="00037238" w:rsidRDefault="00ED3616" w:rsidP="00BC5832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37238">
              <w:rPr>
                <w:rFonts w:ascii="Garamond" w:hAnsi="Garamond"/>
                <w:b/>
                <w:bCs/>
                <w:sz w:val="24"/>
                <w:szCs w:val="24"/>
              </w:rPr>
              <w:t>Výše sazby</w:t>
            </w:r>
          </w:p>
        </w:tc>
      </w:tr>
      <w:tr w:rsidR="00ED3616" w:rsidRPr="00322F9E" w:rsidTr="00F90ED2">
        <w:trPr>
          <w:trHeight w:val="270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6"/>
            <w:vAlign w:val="center"/>
          </w:tcPr>
          <w:p w:rsidR="00ED3616" w:rsidRPr="00322F9E" w:rsidRDefault="00ED3616" w:rsidP="00BC583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2010-</w:t>
            </w:r>
            <w:r w:rsidR="00F33663">
              <w:rPr>
                <w:rFonts w:ascii="Garamond" w:hAnsi="Garamond"/>
                <w:sz w:val="24"/>
                <w:szCs w:val="24"/>
              </w:rPr>
              <w:t>2015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6"/>
            <w:vAlign w:val="center"/>
          </w:tcPr>
          <w:p w:rsidR="00ED3616" w:rsidRPr="00322F9E" w:rsidRDefault="00ED3616" w:rsidP="00BC583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322F9E">
              <w:rPr>
                <w:rFonts w:ascii="Garamond" w:hAnsi="Garamond"/>
                <w:sz w:val="24"/>
                <w:szCs w:val="24"/>
              </w:rPr>
              <w:t>19%</w:t>
            </w:r>
          </w:p>
        </w:tc>
      </w:tr>
      <w:tr w:rsidR="00ED3616" w:rsidRPr="00322F9E" w:rsidTr="00F90ED2">
        <w:trPr>
          <w:trHeight w:val="25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6"/>
            <w:vAlign w:val="center"/>
          </w:tcPr>
          <w:p w:rsidR="00ED3616" w:rsidRPr="00322F9E" w:rsidRDefault="00ED3616" w:rsidP="00BC583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2007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6"/>
            <w:vAlign w:val="center"/>
          </w:tcPr>
          <w:p w:rsidR="00ED3616" w:rsidRPr="00322F9E" w:rsidRDefault="00ED3616" w:rsidP="00BC583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24%</w:t>
            </w:r>
          </w:p>
        </w:tc>
      </w:tr>
      <w:tr w:rsidR="00ED3616" w:rsidRPr="00322F9E" w:rsidTr="00F90ED2">
        <w:trPr>
          <w:trHeight w:val="25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6"/>
            <w:vAlign w:val="center"/>
          </w:tcPr>
          <w:p w:rsidR="00ED3616" w:rsidRPr="00322F9E" w:rsidRDefault="00ED3616" w:rsidP="00BC583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322F9E">
              <w:rPr>
                <w:rFonts w:ascii="Garamond" w:hAnsi="Garamond"/>
                <w:sz w:val="24"/>
                <w:szCs w:val="24"/>
              </w:rPr>
              <w:t>200</w:t>
            </w: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6"/>
            <w:vAlign w:val="center"/>
          </w:tcPr>
          <w:p w:rsidR="00ED3616" w:rsidRPr="00322F9E" w:rsidRDefault="00ED3616" w:rsidP="00BC583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322F9E">
              <w:rPr>
                <w:rFonts w:ascii="Garamond" w:hAnsi="Garamond"/>
                <w:sz w:val="24"/>
                <w:szCs w:val="24"/>
              </w:rPr>
              <w:t>2</w:t>
            </w:r>
            <w:r>
              <w:rPr>
                <w:rFonts w:ascii="Garamond" w:hAnsi="Garamond"/>
                <w:sz w:val="24"/>
                <w:szCs w:val="24"/>
              </w:rPr>
              <w:t>8</w:t>
            </w:r>
            <w:r w:rsidRPr="00322F9E">
              <w:rPr>
                <w:rFonts w:ascii="Garamond" w:hAnsi="Garamond"/>
                <w:sz w:val="24"/>
                <w:szCs w:val="24"/>
              </w:rPr>
              <w:t>%</w:t>
            </w:r>
          </w:p>
        </w:tc>
      </w:tr>
      <w:tr w:rsidR="00ED3616" w:rsidRPr="00322F9E" w:rsidTr="00F90ED2">
        <w:trPr>
          <w:trHeight w:val="343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6"/>
            <w:vAlign w:val="center"/>
          </w:tcPr>
          <w:p w:rsidR="00ED3616" w:rsidRPr="00322F9E" w:rsidRDefault="00ED3616" w:rsidP="00BC583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6"/>
            <w:vAlign w:val="center"/>
          </w:tcPr>
          <w:p w:rsidR="00ED3616" w:rsidRPr="00322F9E" w:rsidRDefault="00ED3616" w:rsidP="00BC583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  <w:r w:rsidRPr="00322F9E">
              <w:rPr>
                <w:rFonts w:ascii="Garamond" w:hAnsi="Garamond"/>
                <w:sz w:val="24"/>
                <w:szCs w:val="24"/>
              </w:rPr>
              <w:t>%</w:t>
            </w:r>
          </w:p>
        </w:tc>
      </w:tr>
      <w:tr w:rsidR="00ED3616" w:rsidRPr="00322F9E" w:rsidTr="00F90ED2">
        <w:trPr>
          <w:trHeight w:val="25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6"/>
            <w:vAlign w:val="center"/>
          </w:tcPr>
          <w:p w:rsidR="00ED3616" w:rsidRPr="00322F9E" w:rsidRDefault="00ED3616" w:rsidP="00BC583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1993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6"/>
            <w:vAlign w:val="center"/>
          </w:tcPr>
          <w:p w:rsidR="00ED3616" w:rsidRPr="00322F9E" w:rsidRDefault="00ED3616" w:rsidP="00BC583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45</w:t>
            </w:r>
            <w:r w:rsidRPr="00322F9E">
              <w:rPr>
                <w:rFonts w:ascii="Garamond" w:hAnsi="Garamond"/>
                <w:sz w:val="24"/>
                <w:szCs w:val="24"/>
              </w:rPr>
              <w:t>%</w:t>
            </w:r>
          </w:p>
        </w:tc>
      </w:tr>
      <w:tr w:rsidR="00ED3616" w:rsidRPr="00322F9E" w:rsidTr="00F90ED2">
        <w:trPr>
          <w:trHeight w:val="25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6"/>
            <w:vAlign w:val="center"/>
          </w:tcPr>
          <w:p w:rsidR="00ED3616" w:rsidRPr="00322F9E" w:rsidRDefault="00ED3616" w:rsidP="00BC583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1990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6"/>
            <w:vAlign w:val="center"/>
          </w:tcPr>
          <w:p w:rsidR="00ED3616" w:rsidRPr="00322F9E" w:rsidRDefault="00ED3616" w:rsidP="00BC583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55</w:t>
            </w:r>
            <w:r w:rsidRPr="00322F9E">
              <w:rPr>
                <w:rFonts w:ascii="Garamond" w:hAnsi="Garamond"/>
                <w:sz w:val="24"/>
                <w:szCs w:val="24"/>
              </w:rPr>
              <w:t>%</w:t>
            </w:r>
          </w:p>
        </w:tc>
      </w:tr>
    </w:tbl>
    <w:p w:rsidR="00ED3616" w:rsidRPr="00322F9E" w:rsidRDefault="00ED3616" w:rsidP="00BC5832">
      <w:pPr>
        <w:pStyle w:val="Odstavecseseznamem"/>
        <w:spacing w:line="240" w:lineRule="auto"/>
        <w:jc w:val="center"/>
        <w:rPr>
          <w:rFonts w:ascii="Garamond" w:hAnsi="Garamond"/>
          <w:sz w:val="20"/>
          <w:szCs w:val="20"/>
        </w:rPr>
      </w:pPr>
      <w:r w:rsidRPr="00322F9E">
        <w:rPr>
          <w:rFonts w:ascii="Garamond" w:hAnsi="Garamond"/>
          <w:sz w:val="20"/>
          <w:szCs w:val="20"/>
        </w:rPr>
        <w:t>Zdroj: § 21 zákona č. 586/1992 Sb., o daních z příjmů, ve znění pozdějších předpisů.</w:t>
      </w:r>
    </w:p>
    <w:p w:rsidR="00ED3616" w:rsidRPr="00112C51" w:rsidRDefault="00ED3616" w:rsidP="00112C51">
      <w:pPr>
        <w:pStyle w:val="Odstavecseseznamem"/>
        <w:ind w:left="0"/>
        <w:rPr>
          <w:rFonts w:ascii="Garamond" w:hAnsi="Garamond"/>
          <w:sz w:val="24"/>
          <w:szCs w:val="24"/>
        </w:rPr>
      </w:pPr>
    </w:p>
    <w:p w:rsidR="00ED3616" w:rsidRPr="00D361CC" w:rsidRDefault="00ED3616" w:rsidP="00112C51">
      <w:pPr>
        <w:pStyle w:val="Odstavecseseznamem"/>
        <w:numPr>
          <w:ilvl w:val="0"/>
          <w:numId w:val="6"/>
        </w:numPr>
        <w:rPr>
          <w:rFonts w:ascii="Garamond" w:hAnsi="Garamond"/>
          <w:b/>
          <w:bCs/>
          <w:sz w:val="24"/>
          <w:szCs w:val="24"/>
        </w:rPr>
      </w:pPr>
      <w:r w:rsidRPr="00D361CC">
        <w:rPr>
          <w:rFonts w:ascii="Garamond" w:hAnsi="Garamond"/>
          <w:b/>
          <w:bCs/>
          <w:sz w:val="24"/>
          <w:szCs w:val="24"/>
        </w:rPr>
        <w:t xml:space="preserve">Majetkové daně </w:t>
      </w:r>
    </w:p>
    <w:p w:rsidR="00ED3616" w:rsidRDefault="00ED3616" w:rsidP="002E4D62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nízký výnos</w:t>
      </w:r>
      <w:r w:rsidRPr="00112C51">
        <w:rPr>
          <w:rFonts w:ascii="Garamond" w:hAnsi="Garamond"/>
          <w:sz w:val="24"/>
          <w:szCs w:val="24"/>
        </w:rPr>
        <w:t xml:space="preserve"> </w:t>
      </w:r>
    </w:p>
    <w:p w:rsidR="00ED3616" w:rsidRDefault="00ED3616" w:rsidP="002E4D62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 w:rsidRPr="00112C51">
        <w:rPr>
          <w:rFonts w:ascii="Garamond" w:hAnsi="Garamond"/>
          <w:sz w:val="24"/>
          <w:szCs w:val="24"/>
        </w:rPr>
        <w:t>základem daně buď hodnota</w:t>
      </w:r>
      <w:r w:rsidR="00D01691">
        <w:rPr>
          <w:rFonts w:ascii="Garamond" w:hAnsi="Garamond"/>
          <w:sz w:val="24"/>
          <w:szCs w:val="24"/>
        </w:rPr>
        <w:t>,</w:t>
      </w:r>
      <w:r w:rsidRPr="00112C51">
        <w:rPr>
          <w:rFonts w:ascii="Garamond" w:hAnsi="Garamond"/>
          <w:sz w:val="24"/>
          <w:szCs w:val="24"/>
        </w:rPr>
        <w:t xml:space="preserve"> nebo jiný ukazatel (výmě</w:t>
      </w:r>
      <w:r>
        <w:rPr>
          <w:rFonts w:ascii="Garamond" w:hAnsi="Garamond"/>
          <w:sz w:val="24"/>
          <w:szCs w:val="24"/>
        </w:rPr>
        <w:t>ra)</w:t>
      </w:r>
      <w:r w:rsidRPr="00112C51">
        <w:rPr>
          <w:rFonts w:ascii="Garamond" w:hAnsi="Garamond"/>
          <w:sz w:val="24"/>
          <w:szCs w:val="24"/>
        </w:rPr>
        <w:t xml:space="preserve"> </w:t>
      </w:r>
    </w:p>
    <w:p w:rsidR="00ED3616" w:rsidRPr="00DD4DFF" w:rsidRDefault="00ED3616" w:rsidP="00DD4DFF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 w:rsidRPr="00DD4DFF">
        <w:rPr>
          <w:rFonts w:ascii="Garamond" w:hAnsi="Garamond"/>
          <w:sz w:val="24"/>
          <w:szCs w:val="24"/>
        </w:rPr>
        <w:t>majetkové daně jsou například:</w:t>
      </w:r>
    </w:p>
    <w:p w:rsidR="00ED3616" w:rsidRDefault="00ED3616" w:rsidP="00747E2B">
      <w:pPr>
        <w:pStyle w:val="Odstavecseseznamem"/>
        <w:ind w:left="0"/>
        <w:rPr>
          <w:rFonts w:ascii="Garamond" w:hAnsi="Garamond"/>
          <w:sz w:val="24"/>
          <w:szCs w:val="24"/>
        </w:rPr>
      </w:pPr>
    </w:p>
    <w:p w:rsidR="00ED3616" w:rsidRDefault="00ED3616" w:rsidP="00747E2B">
      <w:pPr>
        <w:pStyle w:val="Odstavecseseznamem"/>
        <w:ind w:left="0"/>
        <w:rPr>
          <w:rFonts w:ascii="Garamond" w:hAnsi="Garamond"/>
          <w:sz w:val="24"/>
          <w:szCs w:val="24"/>
        </w:rPr>
      </w:pPr>
      <w:r w:rsidRPr="00DD4DFF">
        <w:rPr>
          <w:rFonts w:ascii="Garamond" w:hAnsi="Garamond"/>
          <w:sz w:val="24"/>
          <w:szCs w:val="24"/>
        </w:rPr>
        <w:t>Daň z</w:t>
      </w:r>
      <w:r>
        <w:rPr>
          <w:rFonts w:ascii="Garamond" w:hAnsi="Garamond"/>
          <w:sz w:val="24"/>
          <w:szCs w:val="24"/>
        </w:rPr>
        <w:t> </w:t>
      </w:r>
      <w:r w:rsidRPr="00DD4DFF">
        <w:rPr>
          <w:rFonts w:ascii="Garamond" w:hAnsi="Garamond"/>
          <w:sz w:val="24"/>
          <w:szCs w:val="24"/>
        </w:rPr>
        <w:t>nemovitostí</w:t>
      </w:r>
    </w:p>
    <w:p w:rsidR="00ED3616" w:rsidRPr="009406DE" w:rsidRDefault="00ED3616" w:rsidP="009406DE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 w:rsidRPr="009406DE">
        <w:rPr>
          <w:rFonts w:ascii="Garamond" w:hAnsi="Garamond"/>
          <w:sz w:val="24"/>
          <w:szCs w:val="24"/>
        </w:rPr>
        <w:t>je tvořena ze dvou dílčích daní</w:t>
      </w:r>
      <w:r w:rsidR="002C7C2D">
        <w:rPr>
          <w:rFonts w:ascii="Garamond" w:hAnsi="Garamond"/>
          <w:sz w:val="24"/>
          <w:szCs w:val="24"/>
        </w:rPr>
        <w:t> – daň ze staveb a daň z pozemků</w:t>
      </w:r>
      <w:r w:rsidRPr="009406DE">
        <w:rPr>
          <w:rFonts w:ascii="Garamond" w:hAnsi="Garamond"/>
          <w:sz w:val="24"/>
          <w:szCs w:val="24"/>
        </w:rPr>
        <w:t xml:space="preserve"> (obě mají jiný způsob zdanění)</w:t>
      </w:r>
    </w:p>
    <w:p w:rsidR="00ED3616" w:rsidRDefault="00ED3616" w:rsidP="00747E2B">
      <w:pPr>
        <w:pStyle w:val="Odstavecseseznamem"/>
        <w:ind w:left="0"/>
        <w:rPr>
          <w:rFonts w:ascii="Garamond" w:hAnsi="Garamond"/>
          <w:sz w:val="24"/>
          <w:szCs w:val="24"/>
        </w:rPr>
      </w:pPr>
    </w:p>
    <w:p w:rsidR="00ED3616" w:rsidRDefault="00ED3616" w:rsidP="00747E2B">
      <w:pPr>
        <w:pStyle w:val="Odstavecseseznamem"/>
        <w:ind w:left="0"/>
        <w:rPr>
          <w:rFonts w:ascii="Garamond" w:hAnsi="Garamond"/>
          <w:sz w:val="24"/>
          <w:szCs w:val="24"/>
        </w:rPr>
      </w:pPr>
      <w:r w:rsidRPr="00DD4DFF">
        <w:rPr>
          <w:rFonts w:ascii="Garamond" w:hAnsi="Garamond"/>
          <w:sz w:val="24"/>
          <w:szCs w:val="24"/>
        </w:rPr>
        <w:t>Daň silniční</w:t>
      </w:r>
      <w:r>
        <w:rPr>
          <w:rFonts w:ascii="Garamond" w:hAnsi="Garamond"/>
          <w:sz w:val="24"/>
          <w:szCs w:val="24"/>
        </w:rPr>
        <w:t xml:space="preserve"> </w:t>
      </w:r>
    </w:p>
    <w:p w:rsidR="00ED3616" w:rsidRDefault="00ED3616" w:rsidP="005F6FD8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týká se všech</w:t>
      </w:r>
      <w:r w:rsidRPr="00747E2B">
        <w:rPr>
          <w:rFonts w:ascii="Garamond" w:hAnsi="Garamond"/>
          <w:sz w:val="24"/>
          <w:szCs w:val="24"/>
        </w:rPr>
        <w:t xml:space="preserve"> motorových vozidel používaných pro účely podnikání</w:t>
      </w:r>
    </w:p>
    <w:p w:rsidR="00ED3616" w:rsidRDefault="00ED3616" w:rsidP="005F6FD8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rozdíl oproti </w:t>
      </w:r>
      <w:r w:rsidRPr="00747E2B">
        <w:rPr>
          <w:rFonts w:ascii="Garamond" w:hAnsi="Garamond"/>
          <w:sz w:val="24"/>
          <w:szCs w:val="24"/>
        </w:rPr>
        <w:t>dálniční</w:t>
      </w:r>
      <w:r>
        <w:rPr>
          <w:rFonts w:ascii="Garamond" w:hAnsi="Garamond"/>
          <w:sz w:val="24"/>
          <w:szCs w:val="24"/>
        </w:rPr>
        <w:t>mu poplat</w:t>
      </w:r>
      <w:r w:rsidRPr="00747E2B">
        <w:rPr>
          <w:rFonts w:ascii="Garamond" w:hAnsi="Garamond"/>
          <w:sz w:val="24"/>
          <w:szCs w:val="24"/>
        </w:rPr>
        <w:t>k</w:t>
      </w:r>
      <w:r>
        <w:rPr>
          <w:rFonts w:ascii="Garamond" w:hAnsi="Garamond"/>
          <w:sz w:val="24"/>
          <w:szCs w:val="24"/>
        </w:rPr>
        <w:t>u</w:t>
      </w:r>
    </w:p>
    <w:p w:rsidR="00ED3616" w:rsidRPr="00DD4DFF" w:rsidRDefault="00ED3616" w:rsidP="005F6FD8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sazba se počítá z obsahu motoru a objemu válců, ale i hmotnosti vozidla a počtu náprav u nákladních aut</w:t>
      </w:r>
    </w:p>
    <w:p w:rsidR="00ED3616" w:rsidRDefault="00ED3616" w:rsidP="00747E2B">
      <w:pPr>
        <w:pStyle w:val="Odstavecseseznamem"/>
        <w:ind w:left="0"/>
        <w:rPr>
          <w:rFonts w:ascii="Garamond" w:hAnsi="Garamond"/>
          <w:sz w:val="24"/>
          <w:szCs w:val="24"/>
        </w:rPr>
      </w:pPr>
    </w:p>
    <w:p w:rsidR="00ED3616" w:rsidRPr="00DD4DFF" w:rsidRDefault="00ED3616" w:rsidP="00747E2B">
      <w:pPr>
        <w:pStyle w:val="Odstavecseseznamem"/>
        <w:ind w:left="0"/>
        <w:rPr>
          <w:rFonts w:ascii="Garamond" w:hAnsi="Garamond"/>
          <w:sz w:val="24"/>
          <w:szCs w:val="24"/>
        </w:rPr>
      </w:pPr>
      <w:r w:rsidRPr="00DD4DFF">
        <w:rPr>
          <w:rFonts w:ascii="Garamond" w:hAnsi="Garamond"/>
          <w:sz w:val="24"/>
          <w:szCs w:val="24"/>
        </w:rPr>
        <w:t xml:space="preserve">Daň </w:t>
      </w:r>
      <w:r w:rsidR="002C6630">
        <w:rPr>
          <w:rFonts w:ascii="Garamond" w:hAnsi="Garamond"/>
          <w:sz w:val="24"/>
          <w:szCs w:val="24"/>
        </w:rPr>
        <w:t>z nabytí nemovitých věcí (do roku 2014 daň z převodu nemovitosti)</w:t>
      </w:r>
    </w:p>
    <w:p w:rsidR="00ED3616" w:rsidRDefault="002C6630" w:rsidP="002C6630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týká se převodu nemovitého majetku z jedné osoby na druhou</w:t>
      </w:r>
    </w:p>
    <w:p w:rsidR="002C6630" w:rsidRDefault="002C6630" w:rsidP="002C6630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základem daně „nabývací hodnota“ (nejčastěji sjednaná nebo znalcem zjištěná cena nemovitosti)</w:t>
      </w:r>
    </w:p>
    <w:p w:rsidR="002C6630" w:rsidRPr="002C6630" w:rsidRDefault="002C6630" w:rsidP="002C6630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sazba 4%</w:t>
      </w:r>
    </w:p>
    <w:p w:rsidR="00ED3616" w:rsidRDefault="00ED3616" w:rsidP="00112C51">
      <w:pPr>
        <w:pStyle w:val="Odstavecseseznamem"/>
        <w:ind w:left="0"/>
        <w:rPr>
          <w:rFonts w:ascii="Garamond" w:hAnsi="Garamond"/>
          <w:sz w:val="24"/>
          <w:szCs w:val="24"/>
        </w:rPr>
      </w:pPr>
    </w:p>
    <w:p w:rsidR="00ED3616" w:rsidRDefault="00ED3616" w:rsidP="002F6495">
      <w:pPr>
        <w:pStyle w:val="Odstavecseseznamem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Přehled jednotlivých příjmů</w:t>
      </w:r>
      <w:r w:rsidRPr="009623A0">
        <w:rPr>
          <w:rFonts w:ascii="Garamond" w:hAnsi="Garamond"/>
          <w:sz w:val="24"/>
          <w:szCs w:val="24"/>
        </w:rPr>
        <w:t xml:space="preserve"> sektoru vládních instituc</w:t>
      </w:r>
      <w:r>
        <w:rPr>
          <w:rFonts w:ascii="Garamond" w:hAnsi="Garamond"/>
          <w:sz w:val="24"/>
          <w:szCs w:val="24"/>
        </w:rPr>
        <w:t>í ČR pro rok 201</w:t>
      </w:r>
      <w:r w:rsidR="006840C4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:</w:t>
      </w:r>
    </w:p>
    <w:tbl>
      <w:tblPr>
        <w:tblW w:w="5886" w:type="dxa"/>
        <w:jc w:val="center"/>
        <w:tblInd w:w="-84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8"/>
        <w:gridCol w:w="1053"/>
        <w:gridCol w:w="1235"/>
      </w:tblGrid>
      <w:tr w:rsidR="00ED3616" w:rsidRPr="001B60EE" w:rsidTr="00EB6723">
        <w:trPr>
          <w:trHeight w:val="337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D3616" w:rsidRPr="001B60EE" w:rsidRDefault="00ED3616" w:rsidP="00BC5832">
            <w:pPr>
              <w:spacing w:after="0" w:line="240" w:lineRule="auto"/>
              <w:rPr>
                <w:sz w:val="16"/>
                <w:szCs w:val="16"/>
                <w:lang w:eastAsia="cs-CZ"/>
              </w:rPr>
            </w:pPr>
            <w:r w:rsidRPr="001B60EE">
              <w:rPr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D3616" w:rsidRPr="001B60EE" w:rsidRDefault="006840C4" w:rsidP="00BC583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2014</w:t>
            </w:r>
            <w:r w:rsidR="00ED3616" w:rsidRPr="001B60EE">
              <w:rPr>
                <w:b/>
                <w:bCs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ED3616" w:rsidRPr="001B60EE" w:rsidTr="00EB6723">
        <w:trPr>
          <w:trHeight w:val="337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616" w:rsidRPr="001B60EE" w:rsidRDefault="00ED3616" w:rsidP="00BC5832">
            <w:pPr>
              <w:spacing w:after="0" w:line="240" w:lineRule="auto"/>
              <w:rPr>
                <w:i/>
                <w:iCs/>
                <w:sz w:val="16"/>
                <w:szCs w:val="16"/>
                <w:lang w:eastAsia="cs-CZ"/>
              </w:rPr>
            </w:pPr>
            <w:r w:rsidRPr="001B60EE">
              <w:rPr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616" w:rsidRPr="001B60EE" w:rsidRDefault="00ED3616" w:rsidP="00BC5832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1B60EE">
              <w:rPr>
                <w:rFonts w:ascii="Garamond" w:hAnsi="Garamond"/>
                <w:i/>
                <w:iCs/>
                <w:sz w:val="24"/>
                <w:szCs w:val="24"/>
              </w:rPr>
              <w:t>mld. Kč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616" w:rsidRPr="001B60EE" w:rsidRDefault="00ED3616" w:rsidP="00BC5832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1B60EE">
              <w:rPr>
                <w:rFonts w:ascii="Garamond" w:hAnsi="Garamond"/>
                <w:i/>
                <w:iCs/>
                <w:sz w:val="24"/>
                <w:szCs w:val="24"/>
              </w:rPr>
              <w:t>v % HDP</w:t>
            </w:r>
          </w:p>
        </w:tc>
      </w:tr>
      <w:tr w:rsidR="00C54E5D" w:rsidRPr="001B60EE" w:rsidTr="00EB6723">
        <w:trPr>
          <w:trHeight w:val="286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E5D" w:rsidRPr="001B60EE" w:rsidRDefault="00C54E5D" w:rsidP="00BC5832">
            <w:pPr>
              <w:spacing w:after="0"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B60EE">
              <w:rPr>
                <w:rFonts w:ascii="Garamond" w:hAnsi="Garamond"/>
                <w:b/>
                <w:bCs/>
                <w:sz w:val="24"/>
                <w:szCs w:val="24"/>
              </w:rPr>
              <w:t>Celkové příjmy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E5D" w:rsidRPr="001B60EE" w:rsidRDefault="006840C4" w:rsidP="006840C4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E5D" w:rsidRPr="001B60EE" w:rsidRDefault="006840C4" w:rsidP="00BC5832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40,1</w:t>
            </w:r>
          </w:p>
        </w:tc>
      </w:tr>
      <w:tr w:rsidR="00C54E5D" w:rsidRPr="001B60EE" w:rsidTr="00EB6723">
        <w:trPr>
          <w:trHeight w:val="286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D" w:rsidRPr="001B60EE" w:rsidRDefault="00C54E5D" w:rsidP="00BC583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1B60EE">
              <w:rPr>
                <w:rFonts w:ascii="Garamond" w:hAnsi="Garamond"/>
                <w:sz w:val="24"/>
                <w:szCs w:val="24"/>
              </w:rPr>
              <w:t>Běžné daně z důchodů, jmění a jiné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E5D" w:rsidRPr="001B60EE" w:rsidRDefault="006840C4" w:rsidP="0007506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E5D" w:rsidRPr="001B60EE" w:rsidRDefault="00C54E5D" w:rsidP="00BC583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7,2</w:t>
            </w:r>
          </w:p>
        </w:tc>
      </w:tr>
      <w:tr w:rsidR="00C54E5D" w:rsidRPr="001B60EE" w:rsidTr="00EB6723">
        <w:trPr>
          <w:trHeight w:val="286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D" w:rsidRPr="001B60EE" w:rsidRDefault="00C54E5D" w:rsidP="00BC583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1B60EE">
              <w:rPr>
                <w:rFonts w:ascii="Garamond" w:hAnsi="Garamond"/>
                <w:sz w:val="24"/>
                <w:szCs w:val="24"/>
              </w:rPr>
              <w:t>Sociální příspěvky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1B60EE">
              <w:rPr>
                <w:rFonts w:ascii="Garamond" w:hAnsi="Garamond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E5D" w:rsidRPr="001B60EE" w:rsidRDefault="006840C4" w:rsidP="0007506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E5D" w:rsidRPr="001B60EE" w:rsidRDefault="00057072" w:rsidP="00BC583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14,7</w:t>
            </w:r>
          </w:p>
        </w:tc>
      </w:tr>
      <w:tr w:rsidR="00C54E5D" w:rsidRPr="001B60EE" w:rsidTr="00EB6723">
        <w:trPr>
          <w:trHeight w:val="286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D" w:rsidRPr="001B60EE" w:rsidRDefault="00C54E5D" w:rsidP="00BC583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1B60EE">
              <w:rPr>
                <w:rFonts w:ascii="Garamond" w:hAnsi="Garamond"/>
                <w:sz w:val="24"/>
                <w:szCs w:val="24"/>
              </w:rPr>
              <w:t>Daně z výroby a dovozu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1B60EE">
              <w:rPr>
                <w:rFonts w:ascii="Garamond" w:hAnsi="Garamond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E5D" w:rsidRPr="001B60EE" w:rsidRDefault="006840C4" w:rsidP="0007506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E5D" w:rsidRPr="001B60EE" w:rsidRDefault="00057072" w:rsidP="00BC583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12,1</w:t>
            </w:r>
          </w:p>
        </w:tc>
      </w:tr>
      <w:tr w:rsidR="00C54E5D" w:rsidRPr="001B60EE" w:rsidTr="00EB6723">
        <w:trPr>
          <w:trHeight w:val="286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D" w:rsidRPr="001B60EE" w:rsidRDefault="00C54E5D" w:rsidP="00BC583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1B60EE">
              <w:rPr>
                <w:rFonts w:ascii="Garamond" w:hAnsi="Garamond"/>
                <w:sz w:val="24"/>
                <w:szCs w:val="24"/>
              </w:rPr>
              <w:t>Kapitálové daně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1B60EE">
              <w:rPr>
                <w:rFonts w:ascii="Garamond" w:hAnsi="Garamond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E5D" w:rsidRPr="001B60EE" w:rsidRDefault="00C54E5D" w:rsidP="0007506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E5D" w:rsidRPr="001B60EE" w:rsidRDefault="00C54E5D" w:rsidP="00BC583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0,0</w:t>
            </w:r>
          </w:p>
        </w:tc>
      </w:tr>
      <w:tr w:rsidR="00C54E5D" w:rsidRPr="001B60EE" w:rsidTr="00EB6723">
        <w:trPr>
          <w:trHeight w:val="286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D" w:rsidRPr="001B60EE" w:rsidRDefault="00C54E5D" w:rsidP="00BC583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1B60EE">
              <w:rPr>
                <w:rFonts w:ascii="Garamond" w:hAnsi="Garamond"/>
                <w:sz w:val="24"/>
                <w:szCs w:val="24"/>
              </w:rPr>
              <w:t xml:space="preserve">Důchody z vlastnictví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E5D" w:rsidRPr="001B60EE" w:rsidRDefault="006840C4" w:rsidP="0007506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E5D" w:rsidRPr="001B60EE" w:rsidRDefault="00057072" w:rsidP="00BC583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0,9</w:t>
            </w:r>
          </w:p>
        </w:tc>
      </w:tr>
      <w:tr w:rsidR="00C54E5D" w:rsidRPr="001B60EE" w:rsidTr="00EB6723">
        <w:trPr>
          <w:trHeight w:val="286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E5D" w:rsidRPr="001B60EE" w:rsidRDefault="00C54E5D" w:rsidP="00BC5832">
            <w:pPr>
              <w:spacing w:after="0" w:line="240" w:lineRule="auto"/>
              <w:ind w:firstLineChars="100" w:firstLine="240"/>
              <w:rPr>
                <w:rFonts w:ascii="Garamond" w:hAnsi="Garamond"/>
                <w:sz w:val="24"/>
                <w:szCs w:val="24"/>
              </w:rPr>
            </w:pPr>
            <w:r w:rsidRPr="001B60EE">
              <w:rPr>
                <w:rFonts w:ascii="Garamond" w:hAnsi="Garamond"/>
                <w:sz w:val="24"/>
                <w:szCs w:val="24"/>
              </w:rPr>
              <w:t>Úroky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E5D" w:rsidRPr="001B60EE" w:rsidRDefault="006840C4" w:rsidP="0007506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E5D" w:rsidRPr="001B60EE" w:rsidRDefault="00C54E5D" w:rsidP="00BC583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0,2</w:t>
            </w:r>
          </w:p>
        </w:tc>
      </w:tr>
      <w:tr w:rsidR="00C54E5D" w:rsidRPr="001B60EE" w:rsidTr="00EB6723">
        <w:trPr>
          <w:trHeight w:val="286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E5D" w:rsidRPr="001B60EE" w:rsidRDefault="00C54E5D" w:rsidP="00BC5832">
            <w:pPr>
              <w:spacing w:after="0" w:line="240" w:lineRule="auto"/>
              <w:ind w:firstLineChars="100" w:firstLine="240"/>
              <w:rPr>
                <w:rFonts w:ascii="Garamond" w:hAnsi="Garamond"/>
                <w:sz w:val="24"/>
                <w:szCs w:val="24"/>
              </w:rPr>
            </w:pPr>
            <w:r w:rsidRPr="001B60EE">
              <w:rPr>
                <w:rFonts w:ascii="Garamond" w:hAnsi="Garamond"/>
                <w:sz w:val="24"/>
                <w:szCs w:val="24"/>
              </w:rPr>
              <w:t>Ostatní důchody z vlastnictví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E5D" w:rsidRPr="001B60EE" w:rsidRDefault="006840C4" w:rsidP="0007506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E5D" w:rsidRPr="001B60EE" w:rsidRDefault="00057072" w:rsidP="00BC583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0,6</w:t>
            </w:r>
          </w:p>
        </w:tc>
      </w:tr>
      <w:tr w:rsidR="00C54E5D" w:rsidRPr="001B60EE" w:rsidTr="00EB6723">
        <w:trPr>
          <w:trHeight w:val="286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D" w:rsidRPr="001B60EE" w:rsidRDefault="00C54E5D" w:rsidP="00BC583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1B60EE">
              <w:rPr>
                <w:rFonts w:ascii="Garamond" w:hAnsi="Garamond"/>
                <w:sz w:val="24"/>
                <w:szCs w:val="24"/>
              </w:rPr>
              <w:t>Tržby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1B60EE">
              <w:rPr>
                <w:rFonts w:ascii="Garamond" w:hAnsi="Garamond"/>
                <w:sz w:val="24"/>
                <w:szCs w:val="24"/>
                <w:vertAlign w:val="superscript"/>
              </w:rPr>
              <w:t>4)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E5D" w:rsidRPr="001B60EE" w:rsidRDefault="006840C4" w:rsidP="0007506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E5D" w:rsidRPr="001B60EE" w:rsidRDefault="00057072" w:rsidP="00BC583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3,0</w:t>
            </w:r>
          </w:p>
        </w:tc>
      </w:tr>
      <w:tr w:rsidR="00C54E5D" w:rsidRPr="001B60EE" w:rsidTr="00EB6723">
        <w:trPr>
          <w:trHeight w:val="286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D" w:rsidRPr="001B60EE" w:rsidRDefault="00C54E5D" w:rsidP="00BC583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1B60EE">
              <w:rPr>
                <w:rFonts w:ascii="Garamond" w:hAnsi="Garamond"/>
                <w:sz w:val="24"/>
                <w:szCs w:val="24"/>
              </w:rPr>
              <w:t xml:space="preserve">Ostatní běžné transfery a dotace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E5D" w:rsidRPr="001B60EE" w:rsidRDefault="006840C4" w:rsidP="0007506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E5D" w:rsidRPr="001B60EE" w:rsidRDefault="00C54E5D" w:rsidP="00BC583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0,9</w:t>
            </w:r>
          </w:p>
        </w:tc>
      </w:tr>
      <w:tr w:rsidR="00C54E5D" w:rsidRPr="001B60EE" w:rsidTr="00EB6723">
        <w:trPr>
          <w:trHeight w:val="286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D" w:rsidRPr="001B60EE" w:rsidRDefault="00C54E5D" w:rsidP="00BC583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1B60EE">
              <w:rPr>
                <w:rFonts w:ascii="Garamond" w:hAnsi="Garamond"/>
                <w:sz w:val="24"/>
                <w:szCs w:val="24"/>
              </w:rPr>
              <w:t xml:space="preserve">Investiční dotace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E5D" w:rsidRPr="001B60EE" w:rsidRDefault="006840C4" w:rsidP="0007506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E5D" w:rsidRPr="001B60EE" w:rsidRDefault="00C54E5D" w:rsidP="00BC583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1,1</w:t>
            </w:r>
          </w:p>
        </w:tc>
      </w:tr>
      <w:tr w:rsidR="00C54E5D" w:rsidRPr="001B60EE" w:rsidTr="00EB6723">
        <w:trPr>
          <w:trHeight w:val="286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E5D" w:rsidRPr="001B60EE" w:rsidRDefault="00C54E5D" w:rsidP="00BC583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1B60EE">
              <w:rPr>
                <w:rFonts w:ascii="Garamond" w:hAnsi="Garamond"/>
                <w:sz w:val="24"/>
                <w:szCs w:val="24"/>
              </w:rPr>
              <w:t xml:space="preserve">Ostatní kapitálové transfery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E5D" w:rsidRPr="001B60EE" w:rsidRDefault="006840C4" w:rsidP="0007506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E5D" w:rsidRPr="001B60EE" w:rsidRDefault="00057072" w:rsidP="00BC583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0,1</w:t>
            </w:r>
          </w:p>
        </w:tc>
      </w:tr>
    </w:tbl>
    <w:p w:rsidR="00ED3616" w:rsidRPr="00F173A6" w:rsidRDefault="00057072" w:rsidP="00BC5832">
      <w:pPr>
        <w:pStyle w:val="Odstavecseseznamem"/>
        <w:spacing w:line="240" w:lineRule="auto"/>
        <w:ind w:left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Zdroj: MF ČR (2015</w:t>
      </w:r>
      <w:r w:rsidR="00E77F33">
        <w:rPr>
          <w:rFonts w:ascii="Garamond" w:hAnsi="Garamond"/>
          <w:sz w:val="20"/>
          <w:szCs w:val="20"/>
        </w:rPr>
        <w:t>)</w:t>
      </w:r>
    </w:p>
    <w:p w:rsidR="00ED3616" w:rsidRDefault="00ED3616" w:rsidP="002F6495">
      <w:pPr>
        <w:pStyle w:val="Odstavecseseznamem"/>
        <w:ind w:left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Poznámky:</w:t>
      </w:r>
    </w:p>
    <w:p w:rsidR="00ED3616" w:rsidRPr="005563B8" w:rsidRDefault="00ED3616" w:rsidP="002F6495">
      <w:pPr>
        <w:pStyle w:val="Odstavecseseznamem"/>
        <w:ind w:left="0"/>
        <w:rPr>
          <w:rFonts w:ascii="Garamond" w:hAnsi="Garamond"/>
          <w:sz w:val="20"/>
          <w:szCs w:val="20"/>
        </w:rPr>
      </w:pPr>
      <w:r w:rsidRPr="005563B8">
        <w:rPr>
          <w:rFonts w:ascii="Garamond" w:hAnsi="Garamond"/>
          <w:sz w:val="20"/>
          <w:szCs w:val="20"/>
        </w:rPr>
        <w:t>1) Povinné i dobrovolné platby zaměstnavatelů (ve prospěch svých zaměstnanců), zaměstnanců, osob samostatně výdělečně činných a samoplátců orgánům sociálního zabezpečení a zdravotním pojišťovnám.</w:t>
      </w:r>
    </w:p>
    <w:p w:rsidR="00ED3616" w:rsidRPr="005563B8" w:rsidRDefault="00ED3616" w:rsidP="002F6495">
      <w:pPr>
        <w:pStyle w:val="Odstavecseseznamem"/>
        <w:ind w:left="0"/>
        <w:rPr>
          <w:rFonts w:ascii="Garamond" w:hAnsi="Garamond"/>
          <w:sz w:val="20"/>
          <w:szCs w:val="20"/>
        </w:rPr>
      </w:pPr>
      <w:r w:rsidRPr="005563B8">
        <w:rPr>
          <w:rFonts w:ascii="Garamond" w:hAnsi="Garamond"/>
          <w:sz w:val="20"/>
          <w:szCs w:val="20"/>
        </w:rPr>
        <w:t>2) Povinné platby, které výrobní jednotky musí platit státu a které se týkají výrobní činnosti či dovozu a/nebo použití výrobních faktorů (např. DPH, spotřební daně aj.)</w:t>
      </w:r>
    </w:p>
    <w:p w:rsidR="00ED3616" w:rsidRPr="005563B8" w:rsidRDefault="00ED3616" w:rsidP="002F6495">
      <w:pPr>
        <w:pStyle w:val="Odstavecseseznamem"/>
        <w:ind w:left="0"/>
        <w:rPr>
          <w:rFonts w:ascii="Garamond" w:hAnsi="Garamond"/>
          <w:sz w:val="20"/>
          <w:szCs w:val="20"/>
        </w:rPr>
      </w:pPr>
      <w:r w:rsidRPr="005563B8">
        <w:rPr>
          <w:rFonts w:ascii="Garamond" w:hAnsi="Garamond"/>
          <w:sz w:val="20"/>
          <w:szCs w:val="20"/>
        </w:rPr>
        <w:t>3) Nepravidelné platby ve prospěch vládních institucí z hodnoty majetku, aktiv nebo čistého jmění jednotky (např. daň darovací, dědická)</w:t>
      </w:r>
    </w:p>
    <w:p w:rsidR="00ED3616" w:rsidRPr="005563B8" w:rsidRDefault="00ED3616" w:rsidP="002F6495">
      <w:pPr>
        <w:pStyle w:val="Odstavecseseznamem"/>
        <w:ind w:left="0"/>
        <w:rPr>
          <w:rFonts w:ascii="Garamond" w:hAnsi="Garamond"/>
          <w:sz w:val="20"/>
          <w:szCs w:val="20"/>
        </w:rPr>
      </w:pPr>
      <w:r w:rsidRPr="005563B8">
        <w:rPr>
          <w:rFonts w:ascii="Garamond" w:hAnsi="Garamond"/>
          <w:sz w:val="20"/>
          <w:szCs w:val="20"/>
        </w:rPr>
        <w:t>4) Jedná se o součet tržní produkce, produkce pro vlastní konečné užití a plateb za ostatní netržní služby sektoru vládních institucí</w:t>
      </w:r>
    </w:p>
    <w:p w:rsidR="00ED3616" w:rsidRDefault="00ED3616" w:rsidP="00112C51">
      <w:pPr>
        <w:pStyle w:val="Odstavecseseznamem"/>
        <w:ind w:left="0"/>
        <w:rPr>
          <w:rFonts w:ascii="Garamond" w:hAnsi="Garamond"/>
          <w:sz w:val="24"/>
          <w:szCs w:val="24"/>
        </w:rPr>
      </w:pPr>
    </w:p>
    <w:p w:rsidR="00ED3616" w:rsidRDefault="00ED3616" w:rsidP="00B23876">
      <w:pPr>
        <w:pStyle w:val="Odstavecseseznamem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Diskuze:</w:t>
      </w:r>
    </w:p>
    <w:p w:rsidR="00ED3616" w:rsidRDefault="00ED3616" w:rsidP="00AE5D49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máte určené daně i sazby a státní rozpočet je v deficitu (např.: recese, strukturální </w:t>
      </w:r>
      <w:proofErr w:type="gramStart"/>
      <w:r>
        <w:rPr>
          <w:rFonts w:ascii="Garamond" w:hAnsi="Garamond"/>
          <w:sz w:val="24"/>
          <w:szCs w:val="24"/>
        </w:rPr>
        <w:t>chyby...), které</w:t>
      </w:r>
      <w:proofErr w:type="gramEnd"/>
      <w:r>
        <w:rPr>
          <w:rFonts w:ascii="Garamond" w:hAnsi="Garamond"/>
          <w:sz w:val="24"/>
          <w:szCs w:val="24"/>
        </w:rPr>
        <w:t xml:space="preserve"> daně byste upravovali, jakým způsobem a proč?</w:t>
      </w:r>
    </w:p>
    <w:p w:rsidR="00ED3616" w:rsidRDefault="00ED3616" w:rsidP="00AE5D49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 si myslíte o daňových rájích a globální daňové konkurenci?</w:t>
      </w:r>
    </w:p>
    <w:p w:rsidR="00144845" w:rsidRPr="00144845" w:rsidRDefault="00144845" w:rsidP="00144845">
      <w:pPr>
        <w:rPr>
          <w:rFonts w:ascii="Garamond" w:hAnsi="Garamond"/>
          <w:sz w:val="24"/>
          <w:szCs w:val="24"/>
        </w:rPr>
      </w:pPr>
    </w:p>
    <w:p w:rsidR="00144845" w:rsidRPr="004B13E3" w:rsidRDefault="00144845" w:rsidP="00144845">
      <w:pPr>
        <w:pStyle w:val="Odstavecseseznamem"/>
        <w:numPr>
          <w:ilvl w:val="0"/>
          <w:numId w:val="1"/>
        </w:numPr>
        <w:spacing w:before="240"/>
        <w:ind w:left="426" w:hanging="426"/>
        <w:jc w:val="both"/>
        <w:rPr>
          <w:rFonts w:ascii="Garamond" w:hAnsi="Garamond" w:cs="Arial"/>
          <w:b/>
          <w:color w:val="FF6600"/>
          <w:sz w:val="28"/>
          <w:szCs w:val="24"/>
        </w:rPr>
      </w:pPr>
      <w:r>
        <w:rPr>
          <w:rFonts w:ascii="Garamond" w:hAnsi="Garamond" w:cs="Arial"/>
          <w:b/>
          <w:sz w:val="28"/>
          <w:szCs w:val="24"/>
        </w:rPr>
        <w:t>Referát -</w:t>
      </w:r>
      <w:r w:rsidRPr="004B13E3">
        <w:rPr>
          <w:rFonts w:ascii="Garamond" w:hAnsi="Garamond" w:cs="Arial"/>
          <w:b/>
          <w:sz w:val="28"/>
          <w:szCs w:val="24"/>
        </w:rPr>
        <w:t xml:space="preserve"> </w:t>
      </w:r>
      <w:r w:rsidRPr="004B13E3">
        <w:rPr>
          <w:rFonts w:ascii="Garamond" w:hAnsi="Garamond" w:cs="Arial"/>
          <w:b/>
          <w:color w:val="FF6600"/>
          <w:sz w:val="28"/>
          <w:szCs w:val="24"/>
        </w:rPr>
        <w:t>Místní poplatky v ČR (případová studie vybraných obcí – 3 až 4 obcí)</w:t>
      </w:r>
      <w:r>
        <w:rPr>
          <w:rFonts w:ascii="Garamond" w:hAnsi="Garamond" w:cs="Arial"/>
          <w:b/>
          <w:sz w:val="28"/>
          <w:szCs w:val="24"/>
        </w:rPr>
        <w:t xml:space="preserve"> -</w:t>
      </w:r>
      <w:r>
        <w:rPr>
          <w:rFonts w:ascii="Garamond" w:hAnsi="Garamond" w:cs="Arial"/>
          <w:b/>
          <w:color w:val="FF6600"/>
          <w:sz w:val="28"/>
          <w:szCs w:val="24"/>
        </w:rPr>
        <w:t xml:space="preserve"> </w:t>
      </w:r>
      <w:r>
        <w:rPr>
          <w:rFonts w:ascii="Garamond" w:hAnsi="Garamond" w:cs="Arial"/>
          <w:b/>
          <w:color w:val="FF0000"/>
          <w:sz w:val="28"/>
          <w:szCs w:val="24"/>
        </w:rPr>
        <w:t>2x</w:t>
      </w:r>
    </w:p>
    <w:p w:rsidR="00144845" w:rsidRPr="004B13E3" w:rsidRDefault="00144845" w:rsidP="00144845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4B13E3">
        <w:rPr>
          <w:rFonts w:ascii="Garamond" w:hAnsi="Garamond"/>
          <w:sz w:val="24"/>
          <w:szCs w:val="24"/>
        </w:rPr>
        <w:t>Popište systém místních poplatků v ČR</w:t>
      </w:r>
    </w:p>
    <w:p w:rsidR="00144845" w:rsidRPr="004B13E3" w:rsidRDefault="00144845" w:rsidP="00144845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4B13E3">
        <w:rPr>
          <w:rFonts w:ascii="Garamond" w:hAnsi="Garamond"/>
          <w:sz w:val="24"/>
          <w:szCs w:val="24"/>
        </w:rPr>
        <w:t>Identifikujte jejich sazby a vliv z hlediska celkového rozpočtu konkrétních obcí</w:t>
      </w:r>
    </w:p>
    <w:p w:rsidR="00144845" w:rsidRPr="004B13E3" w:rsidRDefault="00144845" w:rsidP="00144845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4B13E3">
        <w:rPr>
          <w:rFonts w:ascii="Garamond" w:hAnsi="Garamond"/>
          <w:sz w:val="24"/>
          <w:szCs w:val="24"/>
        </w:rPr>
        <w:t>Na základě studia rozpočtu, případně provedených rozhovorů se pokuste identifikovat, zda v rozpočtu existuje provázanost mezi výnosem z těchto poplatků a výdaji obecního rozpočtu (neboli je možné určit, zda konkrétní daň či poplatek jde na konkrétní službu?)</w:t>
      </w:r>
    </w:p>
    <w:p w:rsidR="00144845" w:rsidRPr="00144845" w:rsidRDefault="00144845" w:rsidP="00144845">
      <w:pPr>
        <w:rPr>
          <w:rFonts w:ascii="Garamond" w:hAnsi="Garamond"/>
          <w:sz w:val="24"/>
          <w:szCs w:val="24"/>
        </w:rPr>
      </w:pPr>
    </w:p>
    <w:p w:rsidR="00ED3616" w:rsidRPr="00BC4988" w:rsidRDefault="00ED3616" w:rsidP="00DA79DA">
      <w:pPr>
        <w:pStyle w:val="Odstavecseseznamem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:rsidR="00ED3616" w:rsidRPr="009B0BC5" w:rsidRDefault="00ED3616" w:rsidP="00C44683">
      <w:pPr>
        <w:pStyle w:val="Odstavecseseznamem"/>
        <w:numPr>
          <w:ilvl w:val="0"/>
          <w:numId w:val="1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</w:rPr>
      </w:pPr>
      <w:r>
        <w:rPr>
          <w:rFonts w:ascii="Garamond" w:hAnsi="Garamond" w:cs="Arial"/>
          <w:b/>
          <w:sz w:val="28"/>
          <w:szCs w:val="24"/>
        </w:rPr>
        <w:t xml:space="preserve">Daňová spravedlnost </w:t>
      </w:r>
    </w:p>
    <w:p w:rsidR="00ED3616" w:rsidRDefault="00ED3616" w:rsidP="00544F8A">
      <w:pPr>
        <w:pStyle w:val="Odstavecseseznamem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souvislost s daňovým přesunem a dopadem – viz minulé cvičení</w:t>
      </w:r>
    </w:p>
    <w:p w:rsidR="00ED3616" w:rsidRDefault="007373B3" w:rsidP="00544F8A">
      <w:pPr>
        <w:pStyle w:val="Odstavecseseznamem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jed</w:t>
      </w:r>
      <w:r w:rsidR="00ED3616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>a</w:t>
      </w:r>
      <w:r w:rsidR="00ED3616">
        <w:rPr>
          <w:rFonts w:ascii="Garamond" w:hAnsi="Garamond"/>
          <w:sz w:val="24"/>
          <w:szCs w:val="24"/>
        </w:rPr>
        <w:t xml:space="preserve"> z nejvýznamnějších otázek řešících optimální podobu daní</w:t>
      </w:r>
    </w:p>
    <w:p w:rsidR="00ED3616" w:rsidRDefault="00ED3616" w:rsidP="00544F8A">
      <w:pPr>
        <w:pStyle w:val="Odstavecseseznamem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 je podle vás daňová spravedlnost, jak by měly vypadat spravedlivé daně, jsou dnešní daně spravedlivě rozděleny mezi poplatníky a proč?</w:t>
      </w:r>
    </w:p>
    <w:p w:rsidR="00ED3616" w:rsidRDefault="00ED3616" w:rsidP="00544F8A">
      <w:pPr>
        <w:pStyle w:val="Odstavecseseznamem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existence dvou přístupů</w:t>
      </w:r>
    </w:p>
    <w:p w:rsidR="00ED3616" w:rsidRPr="00850538" w:rsidRDefault="00ED3616" w:rsidP="00FF347B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 w:rsidRPr="00FF347B">
        <w:rPr>
          <w:rFonts w:ascii="Garamond" w:hAnsi="Garamond"/>
          <w:sz w:val="24"/>
          <w:szCs w:val="24"/>
        </w:rPr>
        <w:t>Princip prospěchu / užitku</w:t>
      </w:r>
    </w:p>
    <w:p w:rsidR="00ED3616" w:rsidRPr="00FF347B" w:rsidRDefault="00ED3616" w:rsidP="00FF347B">
      <w:pPr>
        <w:pStyle w:val="Odstavecseseznamem"/>
        <w:numPr>
          <w:ilvl w:val="2"/>
          <w:numId w:val="6"/>
        </w:numPr>
        <w:rPr>
          <w:rFonts w:ascii="Garamond" w:hAnsi="Garamond"/>
          <w:sz w:val="24"/>
          <w:szCs w:val="24"/>
        </w:rPr>
      </w:pPr>
      <w:r w:rsidRPr="00FF347B">
        <w:rPr>
          <w:rFonts w:ascii="Garamond" w:hAnsi="Garamond"/>
          <w:sz w:val="24"/>
          <w:szCs w:val="24"/>
        </w:rPr>
        <w:t>vychází z hlavního účelu vybírání daní, kterým je zabezpečení financování veřejných výdajů</w:t>
      </w:r>
    </w:p>
    <w:p w:rsidR="00ED3616" w:rsidRDefault="00ED3616" w:rsidP="00FF347B">
      <w:pPr>
        <w:pStyle w:val="Odstavecseseznamem"/>
        <w:numPr>
          <w:ilvl w:val="2"/>
          <w:numId w:val="6"/>
        </w:numPr>
        <w:rPr>
          <w:rFonts w:ascii="Garamond" w:hAnsi="Garamond"/>
          <w:sz w:val="24"/>
          <w:szCs w:val="24"/>
        </w:rPr>
      </w:pPr>
      <w:r w:rsidRPr="00FF347B">
        <w:rPr>
          <w:rFonts w:ascii="Garamond" w:hAnsi="Garamond"/>
          <w:sz w:val="24"/>
          <w:szCs w:val="24"/>
        </w:rPr>
        <w:t xml:space="preserve">jedinci (plátci daně) by měli být zdaněni úměrně prospěchu / užitku, který mají </w:t>
      </w:r>
      <w:proofErr w:type="gramStart"/>
      <w:r w:rsidRPr="00FF347B">
        <w:rPr>
          <w:rFonts w:ascii="Garamond" w:hAnsi="Garamond"/>
          <w:sz w:val="24"/>
          <w:szCs w:val="24"/>
        </w:rPr>
        <w:t>ze</w:t>
      </w:r>
      <w:proofErr w:type="gramEnd"/>
      <w:r w:rsidRPr="00FF347B">
        <w:rPr>
          <w:rFonts w:ascii="Garamond" w:hAnsi="Garamond"/>
          <w:sz w:val="24"/>
          <w:szCs w:val="24"/>
        </w:rPr>
        <w:t xml:space="preserve"> veřejných výdajů, potažmo veřejně poskytovaných statků</w:t>
      </w:r>
    </w:p>
    <w:p w:rsidR="00ED3616" w:rsidRPr="00FF347B" w:rsidRDefault="00ED3616" w:rsidP="00FF347B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Princip</w:t>
      </w:r>
      <w:r w:rsidRPr="00FF347B">
        <w:rPr>
          <w:rFonts w:ascii="Garamond" w:hAnsi="Garamond"/>
          <w:sz w:val="24"/>
          <w:szCs w:val="24"/>
        </w:rPr>
        <w:t xml:space="preserve"> schopnosti daňové úhrady</w:t>
      </w:r>
    </w:p>
    <w:p w:rsidR="00ED3616" w:rsidRPr="00FF347B" w:rsidRDefault="00ED3616" w:rsidP="00FF347B">
      <w:pPr>
        <w:pStyle w:val="Odstavecseseznamem"/>
        <w:numPr>
          <w:ilvl w:val="2"/>
          <w:numId w:val="6"/>
        </w:numPr>
        <w:rPr>
          <w:rFonts w:ascii="Garamond" w:hAnsi="Garamond"/>
          <w:sz w:val="24"/>
          <w:szCs w:val="24"/>
        </w:rPr>
      </w:pPr>
      <w:r w:rsidRPr="00FF347B">
        <w:rPr>
          <w:rFonts w:ascii="Garamond" w:hAnsi="Garamond"/>
          <w:sz w:val="24"/>
          <w:szCs w:val="24"/>
        </w:rPr>
        <w:t>Zjišťujeme</w:t>
      </w:r>
      <w:r>
        <w:rPr>
          <w:rFonts w:ascii="Garamond" w:hAnsi="Garamond"/>
          <w:sz w:val="24"/>
          <w:szCs w:val="24"/>
        </w:rPr>
        <w:t>,</w:t>
      </w:r>
      <w:r w:rsidRPr="00FF347B">
        <w:rPr>
          <w:rFonts w:ascii="Garamond" w:hAnsi="Garamond"/>
          <w:sz w:val="24"/>
          <w:szCs w:val="24"/>
        </w:rPr>
        <w:t xml:space="preserve"> kolik zaplatí každý daňový poplatník</w:t>
      </w:r>
      <w:r>
        <w:rPr>
          <w:rFonts w:ascii="Garamond" w:hAnsi="Garamond"/>
          <w:sz w:val="24"/>
          <w:szCs w:val="24"/>
        </w:rPr>
        <w:t xml:space="preserve"> </w:t>
      </w:r>
      <w:r w:rsidRPr="00FF347B">
        <w:rPr>
          <w:rFonts w:ascii="Garamond" w:hAnsi="Garamond"/>
          <w:sz w:val="24"/>
          <w:szCs w:val="24"/>
        </w:rPr>
        <w:t xml:space="preserve">podle jeho </w:t>
      </w:r>
      <w:r>
        <w:rPr>
          <w:rFonts w:ascii="Garamond" w:hAnsi="Garamond"/>
          <w:sz w:val="24"/>
          <w:szCs w:val="24"/>
        </w:rPr>
        <w:t>„</w:t>
      </w:r>
      <w:r w:rsidRPr="00FF347B">
        <w:rPr>
          <w:rFonts w:ascii="Garamond" w:hAnsi="Garamond"/>
          <w:sz w:val="24"/>
          <w:szCs w:val="24"/>
        </w:rPr>
        <w:t>schopnosti daňové úhrady</w:t>
      </w:r>
      <w:r>
        <w:rPr>
          <w:rFonts w:ascii="Garamond" w:hAnsi="Garamond"/>
          <w:sz w:val="24"/>
          <w:szCs w:val="24"/>
        </w:rPr>
        <w:t>“ (příjem, spotřeba, majetek)</w:t>
      </w:r>
    </w:p>
    <w:p w:rsidR="00ED3616" w:rsidRPr="00FF347B" w:rsidRDefault="00ED3616" w:rsidP="00FF347B">
      <w:pPr>
        <w:pStyle w:val="Odstavecseseznamem"/>
        <w:numPr>
          <w:ilvl w:val="2"/>
          <w:numId w:val="6"/>
        </w:numPr>
        <w:rPr>
          <w:rFonts w:ascii="Garamond" w:hAnsi="Garamond"/>
          <w:sz w:val="24"/>
          <w:szCs w:val="24"/>
        </w:rPr>
      </w:pPr>
      <w:r w:rsidRPr="00FF347B">
        <w:rPr>
          <w:rFonts w:ascii="Garamond" w:hAnsi="Garamond"/>
          <w:sz w:val="24"/>
          <w:szCs w:val="24"/>
        </w:rPr>
        <w:t>existují zde dvě dimenze spravedlnosti:</w:t>
      </w:r>
    </w:p>
    <w:p w:rsidR="00ED3616" w:rsidRPr="00FF347B" w:rsidRDefault="00ED3616" w:rsidP="00FF347B">
      <w:pPr>
        <w:pStyle w:val="Odstavecseseznamem"/>
        <w:numPr>
          <w:ilvl w:val="3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horizontální - </w:t>
      </w:r>
      <w:r w:rsidRPr="003B326B">
        <w:rPr>
          <w:rFonts w:ascii="Garamond" w:hAnsi="Garamond"/>
          <w:sz w:val="24"/>
          <w:szCs w:val="24"/>
        </w:rPr>
        <w:t>lidé se stejnou platební kapacitou platí stejně</w:t>
      </w:r>
    </w:p>
    <w:p w:rsidR="00ED3616" w:rsidRPr="00FF347B" w:rsidRDefault="00ED3616" w:rsidP="00FF347B">
      <w:pPr>
        <w:pStyle w:val="Odstavecseseznamem"/>
        <w:numPr>
          <w:ilvl w:val="3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vertikální - </w:t>
      </w:r>
      <w:r w:rsidRPr="003B326B">
        <w:rPr>
          <w:rFonts w:ascii="Garamond" w:hAnsi="Garamond"/>
          <w:sz w:val="24"/>
          <w:szCs w:val="24"/>
        </w:rPr>
        <w:t>lidé s větší kapacitou</w:t>
      </w:r>
      <w:r>
        <w:rPr>
          <w:rFonts w:ascii="Garamond" w:hAnsi="Garamond"/>
          <w:sz w:val="24"/>
          <w:szCs w:val="24"/>
        </w:rPr>
        <w:t xml:space="preserve"> </w:t>
      </w:r>
      <w:r w:rsidRPr="003B326B">
        <w:rPr>
          <w:rFonts w:ascii="Garamond" w:hAnsi="Garamond"/>
          <w:sz w:val="24"/>
          <w:szCs w:val="24"/>
        </w:rPr>
        <w:t xml:space="preserve">platí </w:t>
      </w:r>
      <w:r>
        <w:rPr>
          <w:rFonts w:ascii="Garamond" w:hAnsi="Garamond"/>
          <w:sz w:val="24"/>
          <w:szCs w:val="24"/>
        </w:rPr>
        <w:t xml:space="preserve">na daních </w:t>
      </w:r>
      <w:r w:rsidRPr="003B326B">
        <w:rPr>
          <w:rFonts w:ascii="Garamond" w:hAnsi="Garamond"/>
          <w:sz w:val="24"/>
          <w:szCs w:val="24"/>
        </w:rPr>
        <w:t>více</w:t>
      </w:r>
    </w:p>
    <w:p w:rsidR="00ED3616" w:rsidRDefault="00ED3616" w:rsidP="000B2D92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je možné výše uvedené principy zavést do daňové praxe? </w:t>
      </w:r>
    </w:p>
    <w:p w:rsidR="00144845" w:rsidRPr="00144845" w:rsidDel="000B2D92" w:rsidRDefault="00ED3616" w:rsidP="00144845">
      <w:pPr>
        <w:pStyle w:val="Odstavecseseznamem"/>
        <w:numPr>
          <w:ilvl w:val="1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odpovídá některému z principů český daňový systém (nebo jeho část)?</w:t>
      </w:r>
    </w:p>
    <w:p w:rsidR="00ED3616" w:rsidRPr="00151798" w:rsidRDefault="00ED3616" w:rsidP="00D623A0">
      <w:pPr>
        <w:pStyle w:val="Odstavecseseznamem"/>
        <w:ind w:left="0"/>
        <w:rPr>
          <w:rFonts w:ascii="Garamond" w:hAnsi="Garamond"/>
          <w:sz w:val="24"/>
          <w:szCs w:val="24"/>
        </w:rPr>
      </w:pPr>
      <w:r w:rsidRPr="003B326B">
        <w:rPr>
          <w:rFonts w:ascii="Garamond" w:hAnsi="Garamond"/>
          <w:sz w:val="24"/>
          <w:szCs w:val="24"/>
        </w:rPr>
        <w:t xml:space="preserve"> </w:t>
      </w:r>
    </w:p>
    <w:p w:rsidR="00ED3616" w:rsidRPr="009B0BC5" w:rsidRDefault="00ED3616" w:rsidP="00020440">
      <w:pPr>
        <w:pStyle w:val="Odstavecseseznamem"/>
        <w:numPr>
          <w:ilvl w:val="0"/>
          <w:numId w:val="1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</w:rPr>
      </w:pPr>
      <w:r>
        <w:rPr>
          <w:rFonts w:ascii="Garamond" w:hAnsi="Garamond" w:cs="Arial"/>
          <w:b/>
          <w:sz w:val="28"/>
          <w:szCs w:val="24"/>
        </w:rPr>
        <w:t>D</w:t>
      </w:r>
      <w:r w:rsidRPr="00020440">
        <w:rPr>
          <w:rFonts w:ascii="Garamond" w:hAnsi="Garamond" w:cs="Arial"/>
          <w:b/>
          <w:sz w:val="28"/>
          <w:szCs w:val="24"/>
        </w:rPr>
        <w:t>aňová sazba</w:t>
      </w:r>
      <w:r>
        <w:rPr>
          <w:rFonts w:ascii="Garamond" w:hAnsi="Garamond" w:cs="Arial"/>
          <w:b/>
          <w:sz w:val="28"/>
          <w:szCs w:val="24"/>
        </w:rPr>
        <w:t>:</w:t>
      </w:r>
      <w:r>
        <w:rPr>
          <w:b/>
          <w:bCs/>
          <w:sz w:val="32"/>
          <w:szCs w:val="32"/>
        </w:rPr>
        <w:t xml:space="preserve"> </w:t>
      </w:r>
      <w:r w:rsidRPr="00020440">
        <w:rPr>
          <w:rFonts w:ascii="Garamond" w:hAnsi="Garamond" w:cs="Arial"/>
          <w:b/>
          <w:sz w:val="28"/>
          <w:szCs w:val="24"/>
        </w:rPr>
        <w:t>n</w:t>
      </w:r>
      <w:r>
        <w:rPr>
          <w:rFonts w:ascii="Garamond" w:hAnsi="Garamond" w:cs="Arial"/>
          <w:b/>
          <w:sz w:val="28"/>
          <w:szCs w:val="24"/>
        </w:rPr>
        <w:t>ominální x efektivní (příklad)</w:t>
      </w:r>
    </w:p>
    <w:p w:rsidR="00ED3616" w:rsidRDefault="00ED3616" w:rsidP="007F4EE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Je rozdíl mezi tím, jaká je nominální sazba daně a jaká nakonec je ta efektivní. Rozdíl je uveden na elementárním příkladu níže pro imaginární občany A </w:t>
      </w:r>
      <w:proofErr w:type="spellStart"/>
      <w:r>
        <w:rPr>
          <w:rFonts w:ascii="Garamond" w:hAnsi="Garamond"/>
          <w:sz w:val="24"/>
          <w:szCs w:val="24"/>
        </w:rPr>
        <w:t>a</w:t>
      </w:r>
      <w:proofErr w:type="spellEnd"/>
      <w:r>
        <w:rPr>
          <w:rFonts w:ascii="Garamond" w:hAnsi="Garamond"/>
          <w:sz w:val="24"/>
          <w:szCs w:val="24"/>
        </w:rPr>
        <w:t xml:space="preserve"> B, kteří plní svou daňovou povinnost.</w:t>
      </w:r>
    </w:p>
    <w:p w:rsidR="00ED3616" w:rsidRDefault="00ED3616" w:rsidP="000F33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D3616" w:rsidRDefault="00ED3616" w:rsidP="005A2A4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Příklad:</w:t>
      </w:r>
    </w:p>
    <w:p w:rsidR="00ED3616" w:rsidRDefault="00ED3616" w:rsidP="000F33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D3616" w:rsidRPr="000F3361" w:rsidRDefault="00ED3616" w:rsidP="000F33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Hrubý příjem občana A = 10</w:t>
      </w:r>
      <w:r w:rsidRPr="000F3361">
        <w:rPr>
          <w:rFonts w:ascii="Garamond" w:hAnsi="Garamond"/>
          <w:sz w:val="24"/>
          <w:szCs w:val="24"/>
        </w:rPr>
        <w:t xml:space="preserve"> 000 Kč,</w:t>
      </w:r>
      <w:r>
        <w:rPr>
          <w:rFonts w:ascii="Garamond" w:hAnsi="Garamond"/>
          <w:sz w:val="24"/>
          <w:szCs w:val="24"/>
        </w:rPr>
        <w:t xml:space="preserve"> B hrubý příjem občana B = 100</w:t>
      </w:r>
      <w:r w:rsidRPr="000F3361">
        <w:rPr>
          <w:rFonts w:ascii="Garamond" w:hAnsi="Garamond"/>
          <w:sz w:val="24"/>
          <w:szCs w:val="24"/>
        </w:rPr>
        <w:t xml:space="preserve"> 000 Kč </w:t>
      </w:r>
    </w:p>
    <w:p w:rsidR="00ED3616" w:rsidRPr="000F3361" w:rsidRDefault="00ED3616" w:rsidP="000F33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F3361">
        <w:rPr>
          <w:rFonts w:ascii="Garamond" w:hAnsi="Garamond"/>
          <w:sz w:val="24"/>
          <w:szCs w:val="24"/>
        </w:rPr>
        <w:t xml:space="preserve">Sazba daně = </w:t>
      </w:r>
      <w:r w:rsidRPr="000F3361">
        <w:rPr>
          <w:rFonts w:ascii="Garamond" w:hAnsi="Garamond"/>
          <w:b/>
          <w:bCs/>
          <w:color w:val="FF6600"/>
          <w:sz w:val="24"/>
          <w:szCs w:val="24"/>
        </w:rPr>
        <w:t>10 %</w:t>
      </w:r>
      <w:r>
        <w:rPr>
          <w:rFonts w:ascii="Garamond" w:hAnsi="Garamond"/>
          <w:sz w:val="24"/>
          <w:szCs w:val="24"/>
        </w:rPr>
        <w:t>, nezdanitelné minimum = 5</w:t>
      </w:r>
      <w:r w:rsidRPr="000F3361">
        <w:rPr>
          <w:rFonts w:ascii="Garamond" w:hAnsi="Garamond"/>
          <w:sz w:val="24"/>
          <w:szCs w:val="24"/>
        </w:rPr>
        <w:t xml:space="preserve"> 000 Kč; </w:t>
      </w:r>
    </w:p>
    <w:p w:rsidR="00ED3616" w:rsidRDefault="00ED3616" w:rsidP="000F336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ED3616" w:rsidRDefault="00ED3616" w:rsidP="000F336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Občan </w:t>
      </w:r>
      <w:r w:rsidRPr="000F3361">
        <w:rPr>
          <w:rFonts w:ascii="Garamond" w:hAnsi="Garamond"/>
          <w:sz w:val="24"/>
          <w:szCs w:val="24"/>
        </w:rPr>
        <w:t xml:space="preserve">A: </w:t>
      </w:r>
    </w:p>
    <w:p w:rsidR="00ED3616" w:rsidRDefault="00ED3616" w:rsidP="000F336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0F3361">
        <w:rPr>
          <w:rFonts w:ascii="Garamond" w:hAnsi="Garamond"/>
          <w:sz w:val="24"/>
          <w:szCs w:val="24"/>
        </w:rPr>
        <w:t>upravený základ daně =</w:t>
      </w:r>
      <w:r>
        <w:rPr>
          <w:rFonts w:ascii="Garamond" w:hAnsi="Garamond"/>
          <w:sz w:val="24"/>
          <w:szCs w:val="24"/>
        </w:rPr>
        <w:t xml:space="preserve"> 5 000 x 10 % = 500 Kč (daň)</w:t>
      </w:r>
      <w:r w:rsidRPr="000F3361">
        <w:rPr>
          <w:rFonts w:ascii="Garamond" w:hAnsi="Garamond"/>
          <w:sz w:val="24"/>
          <w:szCs w:val="24"/>
        </w:rPr>
        <w:t xml:space="preserve"> </w:t>
      </w:r>
    </w:p>
    <w:p w:rsidR="00ED3616" w:rsidRPr="000F3361" w:rsidRDefault="00ED3616" w:rsidP="000F336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efektivní sazba (500/10</w:t>
      </w:r>
      <w:r w:rsidRPr="000F3361">
        <w:rPr>
          <w:rFonts w:ascii="Garamond" w:hAnsi="Garamond"/>
          <w:sz w:val="24"/>
          <w:szCs w:val="24"/>
        </w:rPr>
        <w:t xml:space="preserve"> 000) = </w:t>
      </w:r>
      <w:r w:rsidRPr="000F3361">
        <w:rPr>
          <w:rFonts w:ascii="Garamond" w:hAnsi="Garamond"/>
          <w:b/>
          <w:bCs/>
          <w:color w:val="FF6600"/>
          <w:sz w:val="24"/>
          <w:szCs w:val="24"/>
        </w:rPr>
        <w:t>5 %</w:t>
      </w:r>
      <w:r w:rsidRPr="000F3361">
        <w:rPr>
          <w:rFonts w:ascii="Garamond" w:hAnsi="Garamond"/>
          <w:sz w:val="24"/>
          <w:szCs w:val="24"/>
        </w:rPr>
        <w:t xml:space="preserve"> </w:t>
      </w:r>
    </w:p>
    <w:p w:rsidR="00ED3616" w:rsidRDefault="00ED3616" w:rsidP="000F3361">
      <w:pPr>
        <w:pStyle w:val="Odstavecseseznamem"/>
        <w:ind w:left="0"/>
        <w:rPr>
          <w:rFonts w:ascii="Garamond" w:hAnsi="Garamond"/>
          <w:sz w:val="24"/>
          <w:szCs w:val="24"/>
        </w:rPr>
      </w:pPr>
    </w:p>
    <w:p w:rsidR="00ED3616" w:rsidRDefault="00ED3616" w:rsidP="000F3361">
      <w:pPr>
        <w:pStyle w:val="Odstavecseseznamem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Občan </w:t>
      </w:r>
      <w:r w:rsidRPr="000F3361">
        <w:rPr>
          <w:rFonts w:ascii="Garamond" w:hAnsi="Garamond"/>
          <w:sz w:val="24"/>
          <w:szCs w:val="24"/>
        </w:rPr>
        <w:t xml:space="preserve">B: </w:t>
      </w:r>
    </w:p>
    <w:p w:rsidR="00ED3616" w:rsidRDefault="00ED3616" w:rsidP="000F3361">
      <w:pPr>
        <w:pStyle w:val="Odstavecseseznamem"/>
        <w:ind w:left="0"/>
        <w:rPr>
          <w:rFonts w:ascii="Garamond" w:hAnsi="Garamond"/>
          <w:sz w:val="24"/>
          <w:szCs w:val="24"/>
        </w:rPr>
      </w:pPr>
      <w:r w:rsidRPr="000F3361">
        <w:rPr>
          <w:rFonts w:ascii="Garamond" w:hAnsi="Garamond"/>
          <w:sz w:val="24"/>
          <w:szCs w:val="24"/>
        </w:rPr>
        <w:t>upravený základ daně = 95</w:t>
      </w:r>
      <w:r>
        <w:rPr>
          <w:rFonts w:ascii="Garamond" w:hAnsi="Garamond"/>
          <w:sz w:val="24"/>
          <w:szCs w:val="24"/>
        </w:rPr>
        <w:t xml:space="preserve"> 000 x 10 % = 9 500 Kč (daň)</w:t>
      </w:r>
    </w:p>
    <w:p w:rsidR="00ED3616" w:rsidRDefault="00ED3616" w:rsidP="000F3361">
      <w:pPr>
        <w:pStyle w:val="Odstavecseseznamem"/>
        <w:ind w:left="0"/>
        <w:rPr>
          <w:rFonts w:ascii="Garamond" w:hAnsi="Garamond"/>
          <w:b/>
          <w:bCs/>
          <w:color w:val="FF6600"/>
          <w:sz w:val="24"/>
          <w:szCs w:val="24"/>
        </w:rPr>
      </w:pPr>
      <w:r>
        <w:rPr>
          <w:rFonts w:ascii="Garamond" w:hAnsi="Garamond"/>
          <w:sz w:val="24"/>
          <w:szCs w:val="24"/>
        </w:rPr>
        <w:t>efektivní sazba (9 500/1</w:t>
      </w:r>
      <w:r w:rsidRPr="000F3361">
        <w:rPr>
          <w:rFonts w:ascii="Garamond" w:hAnsi="Garamond"/>
          <w:sz w:val="24"/>
          <w:szCs w:val="24"/>
        </w:rPr>
        <w:t xml:space="preserve">00 000) = </w:t>
      </w:r>
      <w:r>
        <w:rPr>
          <w:rFonts w:ascii="Garamond" w:hAnsi="Garamond"/>
          <w:b/>
          <w:bCs/>
          <w:color w:val="FF6600"/>
          <w:sz w:val="24"/>
          <w:szCs w:val="24"/>
        </w:rPr>
        <w:t>9,5</w:t>
      </w:r>
      <w:r w:rsidRPr="000F3361">
        <w:rPr>
          <w:rFonts w:ascii="Garamond" w:hAnsi="Garamond"/>
          <w:b/>
          <w:bCs/>
          <w:color w:val="FF6600"/>
          <w:sz w:val="24"/>
          <w:szCs w:val="24"/>
        </w:rPr>
        <w:t>%</w:t>
      </w:r>
    </w:p>
    <w:p w:rsidR="00ED3616" w:rsidRDefault="00ED3616" w:rsidP="000F3361">
      <w:pPr>
        <w:pStyle w:val="Odstavecseseznamem"/>
        <w:ind w:left="0"/>
        <w:rPr>
          <w:rFonts w:ascii="Garamond" w:hAnsi="Garamond"/>
          <w:sz w:val="24"/>
          <w:szCs w:val="24"/>
        </w:rPr>
      </w:pPr>
    </w:p>
    <w:p w:rsidR="00ED3616" w:rsidRDefault="00ED3616" w:rsidP="000F3361">
      <w:pPr>
        <w:pStyle w:val="Odstavecseseznamem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Jaký má význam rozlišení sazby daně na tyto dva aspekty?</w:t>
      </w:r>
    </w:p>
    <w:p w:rsidR="00ED3616" w:rsidRDefault="00ED3616" w:rsidP="00544F8A">
      <w:pPr>
        <w:rPr>
          <w:rFonts w:ascii="Garamond" w:hAnsi="Garamond"/>
          <w:sz w:val="24"/>
          <w:szCs w:val="24"/>
        </w:rPr>
      </w:pPr>
    </w:p>
    <w:p w:rsidR="00ED3616" w:rsidRDefault="00ED3616" w:rsidP="00995FE4">
      <w:pPr>
        <w:pStyle w:val="Odstavecseseznamem"/>
        <w:numPr>
          <w:ilvl w:val="0"/>
          <w:numId w:val="1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</w:rPr>
      </w:pPr>
      <w:r>
        <w:rPr>
          <w:rFonts w:ascii="Garamond" w:hAnsi="Garamond" w:cs="Arial"/>
          <w:b/>
          <w:sz w:val="28"/>
          <w:szCs w:val="24"/>
        </w:rPr>
        <w:t xml:space="preserve">Jak můžeme měřit daňovou spravedlnost </w:t>
      </w:r>
    </w:p>
    <w:p w:rsidR="00ED3616" w:rsidRDefault="00ED3616" w:rsidP="005A6D3F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Křivka průměrné sazby daně v závislosti na hrubém příjmu</w:t>
      </w:r>
    </w:p>
    <w:p w:rsidR="00ED3616" w:rsidRDefault="00ED3616" w:rsidP="005A6D3F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Podíly zaplacených daní (na hrubém příjmu) pro různé kvantily společnosti (např. první, druhý, třetí, … decilová skupina)</w:t>
      </w:r>
    </w:p>
    <w:p w:rsidR="00ED3616" w:rsidRDefault="00ED3616" w:rsidP="005A6D3F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Lorenzova křivka a </w:t>
      </w:r>
      <w:proofErr w:type="spellStart"/>
      <w:r>
        <w:rPr>
          <w:rFonts w:ascii="Garamond" w:hAnsi="Garamond"/>
          <w:sz w:val="24"/>
          <w:szCs w:val="24"/>
        </w:rPr>
        <w:t>Gini</w:t>
      </w:r>
      <w:proofErr w:type="spellEnd"/>
      <w:r>
        <w:rPr>
          <w:rFonts w:ascii="Garamond" w:hAnsi="Garamond"/>
          <w:sz w:val="24"/>
          <w:szCs w:val="24"/>
        </w:rPr>
        <w:t xml:space="preserve"> koeficient</w:t>
      </w:r>
    </w:p>
    <w:p w:rsidR="00144845" w:rsidRPr="00144845" w:rsidRDefault="00144845" w:rsidP="0014484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D3616" w:rsidRDefault="00ED3616" w:rsidP="00467332">
      <w:pPr>
        <w:pStyle w:val="Odstavecseseznamem"/>
        <w:numPr>
          <w:ilvl w:val="0"/>
          <w:numId w:val="1"/>
        </w:numPr>
        <w:spacing w:before="240"/>
        <w:ind w:left="426" w:hanging="426"/>
        <w:jc w:val="both"/>
        <w:rPr>
          <w:rFonts w:ascii="Garamond" w:hAnsi="Garamond" w:cs="Arial"/>
          <w:b/>
          <w:sz w:val="28"/>
          <w:szCs w:val="24"/>
        </w:rPr>
      </w:pPr>
      <w:r w:rsidRPr="009B0BC5">
        <w:rPr>
          <w:rFonts w:ascii="Garamond" w:hAnsi="Garamond" w:cs="Arial"/>
          <w:b/>
          <w:sz w:val="28"/>
          <w:szCs w:val="24"/>
        </w:rPr>
        <w:t>Doporučená literatura a odkazy</w:t>
      </w:r>
      <w:r w:rsidR="006533AB">
        <w:rPr>
          <w:rFonts w:ascii="Garamond" w:hAnsi="Garamond" w:cs="Arial"/>
          <w:b/>
          <w:sz w:val="28"/>
          <w:szCs w:val="24"/>
        </w:rPr>
        <w:t xml:space="preserve"> k prozkoumání</w:t>
      </w:r>
    </w:p>
    <w:p w:rsidR="00E77F33" w:rsidRDefault="00057072" w:rsidP="009E5C2B">
      <w:pPr>
        <w:pStyle w:val="Nadpis2"/>
        <w:spacing w:after="120"/>
        <w:rPr>
          <w:rFonts w:ascii="Garamond" w:hAnsi="Garamond"/>
          <w:b w:val="0"/>
          <w:bCs w:val="0"/>
          <w:i w:val="0"/>
          <w:iCs w:val="0"/>
          <w:sz w:val="22"/>
          <w:szCs w:val="22"/>
        </w:rPr>
      </w:pPr>
      <w:r>
        <w:rPr>
          <w:rFonts w:ascii="Garamond" w:hAnsi="Garamond"/>
          <w:b w:val="0"/>
          <w:bCs w:val="0"/>
          <w:i w:val="0"/>
          <w:iCs w:val="0"/>
          <w:sz w:val="22"/>
          <w:szCs w:val="22"/>
        </w:rPr>
        <w:t>MF ČR (2015</w:t>
      </w:r>
      <w:r w:rsidR="00E77F33">
        <w:rPr>
          <w:rFonts w:ascii="Garamond" w:hAnsi="Garamond"/>
          <w:b w:val="0"/>
          <w:bCs w:val="0"/>
          <w:i w:val="0"/>
          <w:iCs w:val="0"/>
          <w:sz w:val="22"/>
          <w:szCs w:val="22"/>
        </w:rPr>
        <w:t>)</w:t>
      </w:r>
      <w:r>
        <w:rPr>
          <w:rFonts w:ascii="Garamond" w:hAnsi="Garamond"/>
          <w:b w:val="0"/>
          <w:bCs w:val="0"/>
          <w:i w:val="0"/>
          <w:iCs w:val="0"/>
          <w:sz w:val="22"/>
          <w:szCs w:val="22"/>
        </w:rPr>
        <w:t xml:space="preserve"> Fiskální výhled ČR – květen 2015</w:t>
      </w:r>
      <w:r w:rsidR="00E77F33">
        <w:rPr>
          <w:rFonts w:ascii="Garamond" w:hAnsi="Garamond"/>
          <w:b w:val="0"/>
          <w:bCs w:val="0"/>
          <w:i w:val="0"/>
          <w:iCs w:val="0"/>
          <w:sz w:val="22"/>
          <w:szCs w:val="22"/>
        </w:rPr>
        <w:t>.</w:t>
      </w:r>
      <w:r>
        <w:rPr>
          <w:rFonts w:ascii="Garamond" w:hAnsi="Garamond"/>
          <w:b w:val="0"/>
          <w:bCs w:val="0"/>
          <w:i w:val="0"/>
          <w:iCs w:val="0"/>
          <w:sz w:val="22"/>
          <w:szCs w:val="22"/>
        </w:rPr>
        <w:t xml:space="preserve"> Online.</w:t>
      </w:r>
      <w:r w:rsidR="00E77F33">
        <w:rPr>
          <w:rFonts w:ascii="Garamond" w:hAnsi="Garamond"/>
          <w:b w:val="0"/>
          <w:bCs w:val="0"/>
          <w:i w:val="0"/>
          <w:iCs w:val="0"/>
          <w:sz w:val="22"/>
          <w:szCs w:val="22"/>
        </w:rPr>
        <w:t xml:space="preserve"> Dostupné z:</w:t>
      </w:r>
      <w:r>
        <w:rPr>
          <w:rFonts w:ascii="Garamond" w:hAnsi="Garamond"/>
          <w:b w:val="0"/>
          <w:bCs w:val="0"/>
          <w:i w:val="0"/>
          <w:iCs w:val="0"/>
          <w:sz w:val="22"/>
          <w:szCs w:val="22"/>
        </w:rPr>
        <w:t xml:space="preserve"> </w:t>
      </w:r>
      <w:r w:rsidR="00E77F33" w:rsidRPr="00F173A6">
        <w:rPr>
          <w:rFonts w:ascii="Garamond" w:hAnsi="Garamond"/>
          <w:b w:val="0"/>
          <w:bCs w:val="0"/>
          <w:i w:val="0"/>
          <w:iCs w:val="0"/>
          <w:sz w:val="22"/>
          <w:szCs w:val="22"/>
        </w:rPr>
        <w:t>&lt;</w:t>
      </w:r>
      <w:hyperlink r:id="rId9" w:history="1">
        <w:r w:rsidRPr="00613E3E">
          <w:rPr>
            <w:rStyle w:val="Hypertextovodkaz"/>
            <w:rFonts w:ascii="Garamond" w:hAnsi="Garamond"/>
            <w:b w:val="0"/>
            <w:bCs w:val="0"/>
            <w:i w:val="0"/>
            <w:iCs w:val="0"/>
            <w:sz w:val="22"/>
            <w:szCs w:val="22"/>
          </w:rPr>
          <w:t>http://www.mfcr.cz/cs/verejny-sektor/makroekonomika/fiskalni-vyhled/2015/fiskalni-vyhled-cr-kveten-2015-21517</w:t>
        </w:r>
      </w:hyperlink>
      <w:r w:rsidR="00E77F33">
        <w:rPr>
          <w:rFonts w:ascii="Garamond" w:hAnsi="Garamond"/>
          <w:b w:val="0"/>
          <w:bCs w:val="0"/>
          <w:i w:val="0"/>
          <w:iCs w:val="0"/>
          <w:sz w:val="22"/>
          <w:szCs w:val="22"/>
        </w:rPr>
        <w:t>&gt;</w:t>
      </w:r>
    </w:p>
    <w:p w:rsidR="009E5C2B" w:rsidRPr="009E5C2B" w:rsidRDefault="009E5C2B" w:rsidP="009E5C2B">
      <w:pPr>
        <w:rPr>
          <w:rFonts w:ascii="Garamond" w:hAnsi="Garamond"/>
        </w:rPr>
      </w:pPr>
      <w:r w:rsidRPr="009E5C2B">
        <w:rPr>
          <w:rFonts w:ascii="Garamond" w:hAnsi="Garamond"/>
        </w:rPr>
        <w:t>ČSSZ</w:t>
      </w:r>
      <w:r>
        <w:rPr>
          <w:rFonts w:ascii="Garamond" w:hAnsi="Garamond"/>
        </w:rPr>
        <w:t xml:space="preserve"> (2015) </w:t>
      </w:r>
      <w:r w:rsidRPr="009E5C2B">
        <w:rPr>
          <w:rFonts w:ascii="Garamond" w:hAnsi="Garamond"/>
        </w:rPr>
        <w:t>Sazba pojistného</w:t>
      </w:r>
      <w:r>
        <w:rPr>
          <w:rFonts w:ascii="Garamond" w:hAnsi="Garamond"/>
        </w:rPr>
        <w:t>. Online. Dostupné z: &lt;</w:t>
      </w:r>
      <w:hyperlink r:id="rId10" w:history="1">
        <w:r w:rsidRPr="00613E3E">
          <w:rPr>
            <w:rStyle w:val="Hypertextovodkaz"/>
            <w:rFonts w:ascii="Garamond" w:hAnsi="Garamond"/>
          </w:rPr>
          <w:t>http://www.cssz.cz/cz/pojistne-na-socialni-zabezpeceni/vyse-a-platba-pojistneho/sazba-pojistneho.htm</w:t>
        </w:r>
      </w:hyperlink>
      <w:r>
        <w:rPr>
          <w:rFonts w:ascii="Garamond" w:hAnsi="Garamond"/>
        </w:rPr>
        <w:t xml:space="preserve">&gt; </w:t>
      </w:r>
      <w:r w:rsidRPr="009E5C2B">
        <w:rPr>
          <w:rFonts w:ascii="Garamond" w:hAnsi="Garamond"/>
        </w:rPr>
        <w:t xml:space="preserve"> </w:t>
      </w:r>
    </w:p>
    <w:p w:rsidR="00E77F33" w:rsidRPr="00E77256" w:rsidRDefault="00E77F33" w:rsidP="009E5C2B">
      <w:pPr>
        <w:pStyle w:val="Nadpis2"/>
        <w:spacing w:after="120"/>
        <w:rPr>
          <w:rFonts w:ascii="Garamond" w:hAnsi="Garamond"/>
          <w:b w:val="0"/>
          <w:bCs w:val="0"/>
          <w:i w:val="0"/>
          <w:iCs w:val="0"/>
          <w:sz w:val="22"/>
          <w:szCs w:val="22"/>
        </w:rPr>
      </w:pPr>
      <w:r w:rsidRPr="00E77256">
        <w:rPr>
          <w:rFonts w:ascii="Garamond" w:hAnsi="Garamond"/>
          <w:b w:val="0"/>
          <w:bCs w:val="0"/>
          <w:i w:val="0"/>
          <w:iCs w:val="0"/>
          <w:sz w:val="22"/>
          <w:szCs w:val="22"/>
        </w:rPr>
        <w:t>OECD (201</w:t>
      </w:r>
      <w:r w:rsidR="009B310A">
        <w:rPr>
          <w:rFonts w:ascii="Garamond" w:hAnsi="Garamond"/>
          <w:b w:val="0"/>
          <w:bCs w:val="0"/>
          <w:i w:val="0"/>
          <w:iCs w:val="0"/>
          <w:sz w:val="22"/>
          <w:szCs w:val="22"/>
        </w:rPr>
        <w:t>4</w:t>
      </w:r>
      <w:r w:rsidRPr="00E77256">
        <w:rPr>
          <w:rFonts w:ascii="Garamond" w:hAnsi="Garamond"/>
          <w:b w:val="0"/>
          <w:bCs w:val="0"/>
          <w:i w:val="0"/>
          <w:iCs w:val="0"/>
          <w:sz w:val="22"/>
          <w:szCs w:val="22"/>
        </w:rPr>
        <w:t>), "</w:t>
      </w:r>
      <w:proofErr w:type="spellStart"/>
      <w:r w:rsidRPr="00E77256">
        <w:rPr>
          <w:rFonts w:ascii="Garamond" w:hAnsi="Garamond"/>
          <w:b w:val="0"/>
          <w:bCs w:val="0"/>
          <w:i w:val="0"/>
          <w:iCs w:val="0"/>
          <w:sz w:val="22"/>
          <w:szCs w:val="22"/>
        </w:rPr>
        <w:t>Taxes</w:t>
      </w:r>
      <w:proofErr w:type="spellEnd"/>
      <w:r w:rsidRPr="00E77256">
        <w:rPr>
          <w:rFonts w:ascii="Garamond" w:hAnsi="Garamond"/>
          <w:b w:val="0"/>
          <w:bCs w:val="0"/>
          <w:i w:val="0"/>
          <w:iCs w:val="0"/>
          <w:sz w:val="22"/>
          <w:szCs w:val="22"/>
        </w:rPr>
        <w:t xml:space="preserve"> on </w:t>
      </w:r>
      <w:proofErr w:type="spellStart"/>
      <w:r w:rsidRPr="00E77256">
        <w:rPr>
          <w:rFonts w:ascii="Garamond" w:hAnsi="Garamond"/>
          <w:b w:val="0"/>
          <w:bCs w:val="0"/>
          <w:i w:val="0"/>
          <w:iCs w:val="0"/>
          <w:sz w:val="22"/>
          <w:szCs w:val="22"/>
        </w:rPr>
        <w:t>income</w:t>
      </w:r>
      <w:proofErr w:type="spellEnd"/>
      <w:r w:rsidRPr="00E77256">
        <w:rPr>
          <w:rFonts w:ascii="Garamond" w:hAnsi="Garamond"/>
          <w:b w:val="0"/>
          <w:bCs w:val="0"/>
          <w:i w:val="0"/>
          <w:iCs w:val="0"/>
          <w:sz w:val="22"/>
          <w:szCs w:val="22"/>
        </w:rPr>
        <w:t xml:space="preserve"> and profit", </w:t>
      </w:r>
      <w:proofErr w:type="spellStart"/>
      <w:r w:rsidRPr="00E77256">
        <w:rPr>
          <w:rFonts w:ascii="Garamond" w:hAnsi="Garamond"/>
          <w:b w:val="0"/>
          <w:bCs w:val="0"/>
          <w:i w:val="0"/>
          <w:iCs w:val="0"/>
          <w:sz w:val="22"/>
          <w:szCs w:val="22"/>
        </w:rPr>
        <w:t>Taxation</w:t>
      </w:r>
      <w:proofErr w:type="spellEnd"/>
      <w:r w:rsidRPr="00E77256">
        <w:rPr>
          <w:rFonts w:ascii="Garamond" w:hAnsi="Garamond"/>
          <w:b w:val="0"/>
          <w:bCs w:val="0"/>
          <w:i w:val="0"/>
          <w:iCs w:val="0"/>
          <w:sz w:val="22"/>
          <w:szCs w:val="22"/>
        </w:rPr>
        <w:t xml:space="preserve">: </w:t>
      </w:r>
      <w:proofErr w:type="spellStart"/>
      <w:r w:rsidRPr="00E77256">
        <w:rPr>
          <w:rFonts w:ascii="Garamond" w:hAnsi="Garamond"/>
          <w:b w:val="0"/>
          <w:bCs w:val="0"/>
          <w:i w:val="0"/>
          <w:iCs w:val="0"/>
          <w:sz w:val="22"/>
          <w:szCs w:val="22"/>
        </w:rPr>
        <w:t>Key</w:t>
      </w:r>
      <w:proofErr w:type="spellEnd"/>
      <w:r w:rsidRPr="00E77256">
        <w:rPr>
          <w:rFonts w:ascii="Garamond" w:hAnsi="Garamond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E77256">
        <w:rPr>
          <w:rFonts w:ascii="Garamond" w:hAnsi="Garamond"/>
          <w:b w:val="0"/>
          <w:bCs w:val="0"/>
          <w:i w:val="0"/>
          <w:iCs w:val="0"/>
          <w:sz w:val="22"/>
          <w:szCs w:val="22"/>
        </w:rPr>
        <w:t>Tables</w:t>
      </w:r>
      <w:proofErr w:type="spellEnd"/>
      <w:r w:rsidRPr="00E77256">
        <w:rPr>
          <w:rFonts w:ascii="Garamond" w:hAnsi="Garamond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E77256">
        <w:rPr>
          <w:rFonts w:ascii="Garamond" w:hAnsi="Garamond"/>
          <w:b w:val="0"/>
          <w:bCs w:val="0"/>
          <w:i w:val="0"/>
          <w:iCs w:val="0"/>
          <w:sz w:val="22"/>
          <w:szCs w:val="22"/>
        </w:rPr>
        <w:t>from</w:t>
      </w:r>
      <w:proofErr w:type="spellEnd"/>
      <w:r w:rsidRPr="00E77256">
        <w:rPr>
          <w:rFonts w:ascii="Garamond" w:hAnsi="Garamond"/>
          <w:b w:val="0"/>
          <w:bCs w:val="0"/>
          <w:i w:val="0"/>
          <w:iCs w:val="0"/>
          <w:sz w:val="22"/>
          <w:szCs w:val="22"/>
        </w:rPr>
        <w:t xml:space="preserve"> OECD, No. 3. </w:t>
      </w:r>
      <w:r w:rsidR="009B310A">
        <w:rPr>
          <w:rFonts w:ascii="Garamond" w:hAnsi="Garamond"/>
          <w:b w:val="0"/>
          <w:bCs w:val="0"/>
          <w:i w:val="0"/>
          <w:iCs w:val="0"/>
          <w:sz w:val="22"/>
          <w:szCs w:val="22"/>
        </w:rPr>
        <w:t xml:space="preserve">Online. </w:t>
      </w:r>
      <w:proofErr w:type="gramStart"/>
      <w:r w:rsidR="009B310A">
        <w:rPr>
          <w:rFonts w:ascii="Garamond" w:hAnsi="Garamond"/>
          <w:b w:val="0"/>
          <w:bCs w:val="0"/>
          <w:i w:val="0"/>
          <w:iCs w:val="0"/>
          <w:sz w:val="22"/>
          <w:szCs w:val="22"/>
        </w:rPr>
        <w:t>Dostupné z : &lt;</w:t>
      </w:r>
      <w:hyperlink r:id="rId11" w:history="1">
        <w:r w:rsidR="009B310A" w:rsidRPr="00613E3E">
          <w:rPr>
            <w:rStyle w:val="Hypertextovodkaz"/>
            <w:rFonts w:ascii="Garamond" w:hAnsi="Garamond"/>
            <w:b w:val="0"/>
            <w:bCs w:val="0"/>
            <w:i w:val="0"/>
            <w:iCs w:val="0"/>
            <w:sz w:val="22"/>
            <w:szCs w:val="22"/>
          </w:rPr>
          <w:t>http</w:t>
        </w:r>
        <w:proofErr w:type="gramEnd"/>
        <w:r w:rsidR="009B310A" w:rsidRPr="00613E3E">
          <w:rPr>
            <w:rStyle w:val="Hypertextovodkaz"/>
            <w:rFonts w:ascii="Garamond" w:hAnsi="Garamond"/>
            <w:b w:val="0"/>
            <w:bCs w:val="0"/>
            <w:i w:val="0"/>
            <w:iCs w:val="0"/>
            <w:sz w:val="22"/>
            <w:szCs w:val="22"/>
          </w:rPr>
          <w:t>://www.oecd-ilibrary.org/taxation/taxes-on-income-and-profit_20758510-table3</w:t>
        </w:r>
      </w:hyperlink>
      <w:r w:rsidR="009B310A">
        <w:rPr>
          <w:rFonts w:ascii="Garamond" w:hAnsi="Garamond"/>
          <w:b w:val="0"/>
          <w:bCs w:val="0"/>
          <w:i w:val="0"/>
          <w:iCs w:val="0"/>
          <w:sz w:val="22"/>
          <w:szCs w:val="22"/>
        </w:rPr>
        <w:t xml:space="preserve">&gt; </w:t>
      </w:r>
    </w:p>
    <w:p w:rsidR="00ED3616" w:rsidRPr="005E0FB0" w:rsidRDefault="00ED3616" w:rsidP="009E5C2B">
      <w:pPr>
        <w:spacing w:after="120"/>
        <w:rPr>
          <w:rFonts w:ascii="Garamond" w:hAnsi="Garamond"/>
        </w:rPr>
      </w:pPr>
      <w:r w:rsidRPr="005E0FB0">
        <w:rPr>
          <w:rFonts w:ascii="Garamond" w:hAnsi="Garamond"/>
        </w:rPr>
        <w:t>PEKOVÁ, J. Veřejné finance – úvod do problematiky. 4. aktualizované a rozšířené vyd. Praha: ASPI, 2008. 508 s. ISBN 978-80-7357-358-4</w:t>
      </w:r>
    </w:p>
    <w:p w:rsidR="00ED3616" w:rsidRPr="006E2D71" w:rsidRDefault="00ED3616" w:rsidP="00E77F33">
      <w:pPr>
        <w:pStyle w:val="Odstavecseseznamem"/>
        <w:numPr>
          <w:ilvl w:val="1"/>
          <w:numId w:val="5"/>
        </w:numPr>
        <w:spacing w:after="120"/>
        <w:rPr>
          <w:rFonts w:ascii="Garamond" w:hAnsi="Garamond"/>
          <w:sz w:val="20"/>
        </w:rPr>
      </w:pPr>
      <w:r>
        <w:rPr>
          <w:rFonts w:ascii="Garamond" w:hAnsi="Garamond"/>
          <w:szCs w:val="24"/>
        </w:rPr>
        <w:t>kapitola 7: Úvod do daňové teorie, str. 377-403</w:t>
      </w:r>
    </w:p>
    <w:p w:rsidR="00ED3616" w:rsidRDefault="00ED3616" w:rsidP="009E5C2B">
      <w:pPr>
        <w:spacing w:after="120"/>
        <w:rPr>
          <w:rFonts w:ascii="Garamond" w:hAnsi="Garamond"/>
        </w:rPr>
      </w:pPr>
      <w:proofErr w:type="gramStart"/>
      <w:r w:rsidRPr="00F567F9">
        <w:rPr>
          <w:rFonts w:ascii="Garamond" w:hAnsi="Garamond"/>
        </w:rPr>
        <w:t>STRECKOVÁ, Y.,I. MALÝ</w:t>
      </w:r>
      <w:proofErr w:type="gramEnd"/>
      <w:r w:rsidRPr="00F567F9">
        <w:rPr>
          <w:rFonts w:ascii="Garamond" w:hAnsi="Garamond"/>
        </w:rPr>
        <w:t xml:space="preserve">. Veřejná ekonomie pro školu i praxi. Vyd. 1. Praha: </w:t>
      </w:r>
      <w:proofErr w:type="spellStart"/>
      <w:r w:rsidRPr="00F567F9">
        <w:rPr>
          <w:rFonts w:ascii="Garamond" w:hAnsi="Garamond"/>
        </w:rPr>
        <w:t>Computer</w:t>
      </w:r>
      <w:proofErr w:type="spellEnd"/>
      <w:r w:rsidRPr="00F567F9">
        <w:rPr>
          <w:rFonts w:ascii="Garamond" w:hAnsi="Garamond"/>
        </w:rPr>
        <w:t xml:space="preserve"> </w:t>
      </w:r>
      <w:proofErr w:type="spellStart"/>
      <w:r w:rsidRPr="00F567F9">
        <w:rPr>
          <w:rFonts w:ascii="Garamond" w:hAnsi="Garamond"/>
        </w:rPr>
        <w:t>Press</w:t>
      </w:r>
      <w:proofErr w:type="spellEnd"/>
      <w:r w:rsidRPr="00F567F9">
        <w:rPr>
          <w:rFonts w:ascii="Garamond" w:hAnsi="Garamond"/>
        </w:rPr>
        <w:t xml:space="preserve">, 1998. </w:t>
      </w:r>
      <w:proofErr w:type="spellStart"/>
      <w:r w:rsidRPr="00F567F9">
        <w:rPr>
          <w:rFonts w:ascii="Garamond" w:hAnsi="Garamond"/>
        </w:rPr>
        <w:t>xii</w:t>
      </w:r>
      <w:proofErr w:type="spellEnd"/>
      <w:r w:rsidRPr="00F567F9">
        <w:rPr>
          <w:rFonts w:ascii="Garamond" w:hAnsi="Garamond"/>
        </w:rPr>
        <w:t>, 214 s. ISBN 80-7226-112-6.</w:t>
      </w:r>
    </w:p>
    <w:p w:rsidR="00ED3616" w:rsidRPr="005E0FB0" w:rsidRDefault="00ED3616" w:rsidP="009E5C2B">
      <w:pPr>
        <w:spacing w:after="120"/>
        <w:rPr>
          <w:rFonts w:ascii="Garamond" w:hAnsi="Garamond"/>
        </w:rPr>
      </w:pPr>
      <w:r w:rsidRPr="005E0FB0">
        <w:rPr>
          <w:rFonts w:ascii="Garamond" w:hAnsi="Garamond"/>
        </w:rPr>
        <w:t>HAMERNÍKOVÁ, B.; MAAYTOVÁ, A. a kol. Veřejné finance. 1. vyd. Praha: ASPI, 2007. 364 s. ISBN 978-80-73577-301-0</w:t>
      </w:r>
    </w:p>
    <w:p w:rsidR="00ED3616" w:rsidRPr="00C217AA" w:rsidRDefault="00ED3616" w:rsidP="00E77F33">
      <w:pPr>
        <w:pStyle w:val="Odstavecseseznamem"/>
        <w:numPr>
          <w:ilvl w:val="1"/>
          <w:numId w:val="5"/>
        </w:numPr>
        <w:spacing w:after="120"/>
        <w:rPr>
          <w:rFonts w:ascii="Garamond" w:hAnsi="Garamond"/>
          <w:sz w:val="20"/>
        </w:rPr>
      </w:pPr>
      <w:r w:rsidRPr="00467332">
        <w:rPr>
          <w:rFonts w:ascii="Garamond" w:hAnsi="Garamond"/>
          <w:szCs w:val="24"/>
        </w:rPr>
        <w:t xml:space="preserve">Veřejné příjmy - charakteristika, druhy a </w:t>
      </w:r>
      <w:proofErr w:type="gramStart"/>
      <w:r w:rsidRPr="00467332">
        <w:rPr>
          <w:rFonts w:ascii="Garamond" w:hAnsi="Garamond"/>
          <w:szCs w:val="24"/>
        </w:rPr>
        <w:t>členění</w:t>
      </w:r>
      <w:r>
        <w:rPr>
          <w:rFonts w:ascii="Garamond" w:hAnsi="Garamond"/>
          <w:szCs w:val="24"/>
        </w:rPr>
        <w:t>,</w:t>
      </w:r>
      <w:r w:rsidRPr="00467332">
        <w:rPr>
          <w:rFonts w:ascii="Garamond" w:hAnsi="Garamond"/>
          <w:szCs w:val="24"/>
        </w:rPr>
        <w:t xml:space="preserve">  str.</w:t>
      </w:r>
      <w:proofErr w:type="gramEnd"/>
      <w:r w:rsidRPr="00467332">
        <w:rPr>
          <w:rFonts w:ascii="Garamond" w:hAnsi="Garamond"/>
          <w:szCs w:val="24"/>
        </w:rPr>
        <w:t xml:space="preserve"> 118 – 135</w:t>
      </w:r>
    </w:p>
    <w:p w:rsidR="00ED3616" w:rsidRDefault="00ED3616" w:rsidP="009E5C2B">
      <w:pPr>
        <w:pStyle w:val="Nadpis2"/>
        <w:spacing w:after="120"/>
        <w:rPr>
          <w:rFonts w:ascii="Garamond" w:hAnsi="Garamond"/>
          <w:b w:val="0"/>
          <w:bCs w:val="0"/>
          <w:i w:val="0"/>
          <w:iCs w:val="0"/>
          <w:sz w:val="22"/>
          <w:szCs w:val="22"/>
        </w:rPr>
      </w:pPr>
      <w:bookmarkStart w:id="1" w:name="par16"/>
      <w:r>
        <w:rPr>
          <w:rFonts w:ascii="Garamond" w:hAnsi="Garamond"/>
          <w:b w:val="0"/>
          <w:bCs w:val="0"/>
          <w:i w:val="0"/>
          <w:iCs w:val="0"/>
          <w:sz w:val="22"/>
          <w:szCs w:val="22"/>
        </w:rPr>
        <w:t>Zákon</w:t>
      </w:r>
      <w:r w:rsidRPr="00322F9E">
        <w:rPr>
          <w:rFonts w:ascii="Garamond" w:hAnsi="Garamond"/>
          <w:b w:val="0"/>
          <w:bCs w:val="0"/>
          <w:i w:val="0"/>
          <w:iCs w:val="0"/>
          <w:sz w:val="22"/>
          <w:szCs w:val="22"/>
        </w:rPr>
        <w:t xml:space="preserve"> č. 586/1992 Sb., o daních z příjmů, ve znění pozdějších předpisů</w:t>
      </w:r>
    </w:p>
    <w:p w:rsidR="00ED3616" w:rsidRPr="00801A9C" w:rsidRDefault="00ED3616" w:rsidP="009E5C2B">
      <w:pPr>
        <w:pStyle w:val="Nadpis2"/>
        <w:spacing w:after="120"/>
        <w:rPr>
          <w:rFonts w:ascii="Garamond" w:hAnsi="Garamond"/>
          <w:b w:val="0"/>
          <w:bCs w:val="0"/>
          <w:i w:val="0"/>
          <w:iCs w:val="0"/>
          <w:sz w:val="22"/>
          <w:szCs w:val="22"/>
        </w:rPr>
      </w:pPr>
      <w:r>
        <w:rPr>
          <w:rFonts w:ascii="Garamond" w:hAnsi="Garamond"/>
          <w:b w:val="0"/>
          <w:bCs w:val="0"/>
          <w:i w:val="0"/>
          <w:iCs w:val="0"/>
          <w:sz w:val="22"/>
          <w:szCs w:val="22"/>
        </w:rPr>
        <w:t>Zákon</w:t>
      </w:r>
      <w:r w:rsidRPr="00801A9C">
        <w:rPr>
          <w:rFonts w:ascii="Garamond" w:hAnsi="Garamond"/>
          <w:b w:val="0"/>
          <w:bCs w:val="0"/>
          <w:i w:val="0"/>
          <w:iCs w:val="0"/>
          <w:sz w:val="22"/>
          <w:szCs w:val="22"/>
        </w:rPr>
        <w:t xml:space="preserve"> č. 338/1992 Sb., o dani z nemovitostí</w:t>
      </w:r>
      <w:r w:rsidRPr="00322F9E">
        <w:rPr>
          <w:rFonts w:ascii="Garamond" w:hAnsi="Garamond"/>
          <w:b w:val="0"/>
          <w:bCs w:val="0"/>
          <w:i w:val="0"/>
          <w:iCs w:val="0"/>
          <w:sz w:val="22"/>
          <w:szCs w:val="22"/>
        </w:rPr>
        <w:t>, ve znění pozdějších předpisů</w:t>
      </w:r>
    </w:p>
    <w:bookmarkEnd w:id="1"/>
    <w:p w:rsidR="00ED3616" w:rsidRPr="00467332" w:rsidRDefault="00ED3616" w:rsidP="00C217AA">
      <w:pPr>
        <w:pStyle w:val="Odstavecseseznamem"/>
        <w:ind w:left="0"/>
        <w:rPr>
          <w:rFonts w:ascii="Garamond" w:hAnsi="Garamond"/>
          <w:sz w:val="20"/>
        </w:rPr>
      </w:pPr>
    </w:p>
    <w:sectPr w:rsidR="00ED3616" w:rsidRPr="00467332" w:rsidSect="007761E9">
      <w:headerReference w:type="default" r:id="rId12"/>
      <w:footerReference w:type="default" r:id="rId13"/>
      <w:pgSz w:w="11906" w:h="16838"/>
      <w:pgMar w:top="1304" w:right="1304" w:bottom="993" w:left="130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FB7" w:rsidRDefault="00BF5FB7" w:rsidP="00183EDD">
      <w:pPr>
        <w:spacing w:after="0" w:line="240" w:lineRule="auto"/>
      </w:pPr>
      <w:r>
        <w:separator/>
      </w:r>
    </w:p>
  </w:endnote>
  <w:endnote w:type="continuationSeparator" w:id="0">
    <w:p w:rsidR="00BF5FB7" w:rsidRDefault="00BF5FB7" w:rsidP="0018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16" w:rsidRDefault="002F0822">
    <w:pPr>
      <w:pStyle w:val="Zpat"/>
      <w:jc w:val="center"/>
    </w:pPr>
    <w:r>
      <w:fldChar w:fldCharType="begin"/>
    </w:r>
    <w:r w:rsidR="001536A8">
      <w:instrText>PAGE   \* MERGEFORMAT</w:instrText>
    </w:r>
    <w:r>
      <w:fldChar w:fldCharType="separate"/>
    </w:r>
    <w:r w:rsidR="003B6635">
      <w:rPr>
        <w:noProof/>
      </w:rPr>
      <w:t>3</w:t>
    </w:r>
    <w:r>
      <w:rPr>
        <w:noProof/>
      </w:rPr>
      <w:fldChar w:fldCharType="end"/>
    </w:r>
  </w:p>
  <w:p w:rsidR="00ED3616" w:rsidRDefault="00ED36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FB7" w:rsidRDefault="00BF5FB7" w:rsidP="00183EDD">
      <w:pPr>
        <w:spacing w:after="0" w:line="240" w:lineRule="auto"/>
      </w:pPr>
      <w:r>
        <w:separator/>
      </w:r>
    </w:p>
  </w:footnote>
  <w:footnote w:type="continuationSeparator" w:id="0">
    <w:p w:rsidR="00BF5FB7" w:rsidRDefault="00BF5FB7" w:rsidP="0018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16" w:rsidRPr="00183EDD" w:rsidRDefault="00ED3616" w:rsidP="00183EDD">
    <w:pPr>
      <w:pStyle w:val="Zhlav"/>
      <w:jc w:val="center"/>
      <w:rPr>
        <w:rFonts w:ascii="Arial" w:hAnsi="Arial" w:cs="Arial"/>
        <w:sz w:val="32"/>
        <w:szCs w:val="32"/>
      </w:rPr>
    </w:pPr>
    <w:r w:rsidRPr="00183EDD">
      <w:rPr>
        <w:rFonts w:ascii="Arial" w:hAnsi="Arial" w:cs="Arial"/>
        <w:sz w:val="32"/>
        <w:szCs w:val="32"/>
      </w:rPr>
      <w:t>Základy veřejných financí a veřejné správy – osnova cvičení</w:t>
    </w:r>
  </w:p>
  <w:p w:rsidR="00ED3616" w:rsidRDefault="00ED3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A226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A9087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E33638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84D4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EE803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00C8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5886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08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16D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59E9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64BD7"/>
    <w:multiLevelType w:val="multilevel"/>
    <w:tmpl w:val="93AE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C63952"/>
    <w:multiLevelType w:val="hybridMultilevel"/>
    <w:tmpl w:val="75C2039A"/>
    <w:lvl w:ilvl="0" w:tplc="3EA80F1C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C592B1B"/>
    <w:multiLevelType w:val="hybridMultilevel"/>
    <w:tmpl w:val="DD348EC2"/>
    <w:lvl w:ilvl="0" w:tplc="11E846EA">
      <w:numFmt w:val="bullet"/>
      <w:pStyle w:val="StylVlevo063cm"/>
      <w:lvlText w:val="-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5D171B"/>
    <w:multiLevelType w:val="hybridMultilevel"/>
    <w:tmpl w:val="4E4C52C0"/>
    <w:lvl w:ilvl="0" w:tplc="1B8636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29035D"/>
    <w:multiLevelType w:val="multilevel"/>
    <w:tmpl w:val="6C40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7E18B0"/>
    <w:multiLevelType w:val="hybridMultilevel"/>
    <w:tmpl w:val="1BE8D544"/>
    <w:lvl w:ilvl="0" w:tplc="FFFAD1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567"/>
      </w:pPr>
      <w:rPr>
        <w:rFonts w:ascii="Courier New" w:hAnsi="Courier New" w:hint="default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F6266E"/>
    <w:multiLevelType w:val="multilevel"/>
    <w:tmpl w:val="EBAE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366CFB"/>
    <w:multiLevelType w:val="multilevel"/>
    <w:tmpl w:val="5460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6B175F"/>
    <w:multiLevelType w:val="multilevel"/>
    <w:tmpl w:val="8724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13654E"/>
    <w:multiLevelType w:val="hybridMultilevel"/>
    <w:tmpl w:val="55D8AB88"/>
    <w:lvl w:ilvl="0" w:tplc="FFFAD1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54F41"/>
    <w:multiLevelType w:val="hybridMultilevel"/>
    <w:tmpl w:val="46C2F51A"/>
    <w:lvl w:ilvl="0" w:tplc="3EA80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16196A"/>
    <w:multiLevelType w:val="hybridMultilevel"/>
    <w:tmpl w:val="AA089966"/>
    <w:lvl w:ilvl="0" w:tplc="7E6421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12"/>
  </w:num>
  <w:num w:numId="5">
    <w:abstractNumId w:val="15"/>
  </w:num>
  <w:num w:numId="6">
    <w:abstractNumId w:val="20"/>
  </w:num>
  <w:num w:numId="7">
    <w:abstractNumId w:val="16"/>
  </w:num>
  <w:num w:numId="8">
    <w:abstractNumId w:val="11"/>
  </w:num>
  <w:num w:numId="9">
    <w:abstractNumId w:val="14"/>
  </w:num>
  <w:num w:numId="10">
    <w:abstractNumId w:val="10"/>
  </w:num>
  <w:num w:numId="11">
    <w:abstractNumId w:val="17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DD"/>
    <w:rsid w:val="00012A50"/>
    <w:rsid w:val="00020440"/>
    <w:rsid w:val="00037238"/>
    <w:rsid w:val="00047D73"/>
    <w:rsid w:val="0005134C"/>
    <w:rsid w:val="000530FD"/>
    <w:rsid w:val="000536D4"/>
    <w:rsid w:val="00057072"/>
    <w:rsid w:val="00064B24"/>
    <w:rsid w:val="00076A7C"/>
    <w:rsid w:val="000836BD"/>
    <w:rsid w:val="00084A0D"/>
    <w:rsid w:val="00086A67"/>
    <w:rsid w:val="00096FC4"/>
    <w:rsid w:val="000B2D92"/>
    <w:rsid w:val="000B68AA"/>
    <w:rsid w:val="000B6D1E"/>
    <w:rsid w:val="000C0A9C"/>
    <w:rsid w:val="000C1744"/>
    <w:rsid w:val="000C571B"/>
    <w:rsid w:val="000D1DE2"/>
    <w:rsid w:val="000D21BD"/>
    <w:rsid w:val="000F3361"/>
    <w:rsid w:val="000F4039"/>
    <w:rsid w:val="001041C5"/>
    <w:rsid w:val="00104A01"/>
    <w:rsid w:val="00112C51"/>
    <w:rsid w:val="00123BDF"/>
    <w:rsid w:val="00124F2C"/>
    <w:rsid w:val="001259C8"/>
    <w:rsid w:val="00137055"/>
    <w:rsid w:val="00137529"/>
    <w:rsid w:val="00140B91"/>
    <w:rsid w:val="001430EE"/>
    <w:rsid w:val="00144845"/>
    <w:rsid w:val="00151798"/>
    <w:rsid w:val="001536A8"/>
    <w:rsid w:val="00160119"/>
    <w:rsid w:val="001609F3"/>
    <w:rsid w:val="001645C8"/>
    <w:rsid w:val="0017030E"/>
    <w:rsid w:val="00173434"/>
    <w:rsid w:val="00183EDD"/>
    <w:rsid w:val="001867F9"/>
    <w:rsid w:val="00191D30"/>
    <w:rsid w:val="00193E5A"/>
    <w:rsid w:val="001948F2"/>
    <w:rsid w:val="00194A4C"/>
    <w:rsid w:val="001965AB"/>
    <w:rsid w:val="00196DE9"/>
    <w:rsid w:val="001973A9"/>
    <w:rsid w:val="001B2051"/>
    <w:rsid w:val="001B4B22"/>
    <w:rsid w:val="001B56BA"/>
    <w:rsid w:val="001B60EE"/>
    <w:rsid w:val="001C090C"/>
    <w:rsid w:val="001C47C7"/>
    <w:rsid w:val="001C77C3"/>
    <w:rsid w:val="001D08C6"/>
    <w:rsid w:val="001D161F"/>
    <w:rsid w:val="001D7ECC"/>
    <w:rsid w:val="001F02A4"/>
    <w:rsid w:val="00202DCA"/>
    <w:rsid w:val="0020503E"/>
    <w:rsid w:val="00244598"/>
    <w:rsid w:val="00253658"/>
    <w:rsid w:val="00260312"/>
    <w:rsid w:val="00260B7D"/>
    <w:rsid w:val="00261C54"/>
    <w:rsid w:val="00264DB0"/>
    <w:rsid w:val="00274B9E"/>
    <w:rsid w:val="00275BEB"/>
    <w:rsid w:val="00277529"/>
    <w:rsid w:val="00287194"/>
    <w:rsid w:val="002A7A84"/>
    <w:rsid w:val="002A7F97"/>
    <w:rsid w:val="002C52E1"/>
    <w:rsid w:val="002C6630"/>
    <w:rsid w:val="002C7C2D"/>
    <w:rsid w:val="002E4D62"/>
    <w:rsid w:val="002F0822"/>
    <w:rsid w:val="002F6495"/>
    <w:rsid w:val="00310AC3"/>
    <w:rsid w:val="00311B89"/>
    <w:rsid w:val="00316B7A"/>
    <w:rsid w:val="0032250F"/>
    <w:rsid w:val="00322F9E"/>
    <w:rsid w:val="003256DA"/>
    <w:rsid w:val="00326A0B"/>
    <w:rsid w:val="00333213"/>
    <w:rsid w:val="00341304"/>
    <w:rsid w:val="003566AF"/>
    <w:rsid w:val="0036554A"/>
    <w:rsid w:val="00370EFD"/>
    <w:rsid w:val="003834F7"/>
    <w:rsid w:val="00383CAD"/>
    <w:rsid w:val="003972B7"/>
    <w:rsid w:val="003B326B"/>
    <w:rsid w:val="003B3B29"/>
    <w:rsid w:val="003B6635"/>
    <w:rsid w:val="003C0A20"/>
    <w:rsid w:val="003C4ED4"/>
    <w:rsid w:val="003D37C5"/>
    <w:rsid w:val="003D4E62"/>
    <w:rsid w:val="003D7093"/>
    <w:rsid w:val="003D72AA"/>
    <w:rsid w:val="003E3825"/>
    <w:rsid w:val="003F307B"/>
    <w:rsid w:val="0041476F"/>
    <w:rsid w:val="00415231"/>
    <w:rsid w:val="00416E59"/>
    <w:rsid w:val="00431DF2"/>
    <w:rsid w:val="00433863"/>
    <w:rsid w:val="00446635"/>
    <w:rsid w:val="00447592"/>
    <w:rsid w:val="004549FF"/>
    <w:rsid w:val="004604F3"/>
    <w:rsid w:val="004664A6"/>
    <w:rsid w:val="00467332"/>
    <w:rsid w:val="00483D60"/>
    <w:rsid w:val="00495786"/>
    <w:rsid w:val="00495D8D"/>
    <w:rsid w:val="004A3AB1"/>
    <w:rsid w:val="004A4B55"/>
    <w:rsid w:val="004B13E3"/>
    <w:rsid w:val="004D7185"/>
    <w:rsid w:val="0050705A"/>
    <w:rsid w:val="00510622"/>
    <w:rsid w:val="00516F3C"/>
    <w:rsid w:val="005200B7"/>
    <w:rsid w:val="0053162D"/>
    <w:rsid w:val="00533256"/>
    <w:rsid w:val="00537188"/>
    <w:rsid w:val="00544B85"/>
    <w:rsid w:val="00544F8A"/>
    <w:rsid w:val="005546C6"/>
    <w:rsid w:val="00554C10"/>
    <w:rsid w:val="005563B8"/>
    <w:rsid w:val="00564A62"/>
    <w:rsid w:val="00564D6A"/>
    <w:rsid w:val="00566D93"/>
    <w:rsid w:val="00581EC8"/>
    <w:rsid w:val="00596464"/>
    <w:rsid w:val="005A2A49"/>
    <w:rsid w:val="005A6D3F"/>
    <w:rsid w:val="005B2554"/>
    <w:rsid w:val="005B7548"/>
    <w:rsid w:val="005C1A4D"/>
    <w:rsid w:val="005C4455"/>
    <w:rsid w:val="005D6902"/>
    <w:rsid w:val="005E0FB0"/>
    <w:rsid w:val="005E2612"/>
    <w:rsid w:val="005E511E"/>
    <w:rsid w:val="005F44D3"/>
    <w:rsid w:val="005F6FD8"/>
    <w:rsid w:val="00603C78"/>
    <w:rsid w:val="0060451C"/>
    <w:rsid w:val="00607425"/>
    <w:rsid w:val="00622D51"/>
    <w:rsid w:val="006247A9"/>
    <w:rsid w:val="006320DB"/>
    <w:rsid w:val="00634999"/>
    <w:rsid w:val="00650B94"/>
    <w:rsid w:val="00652582"/>
    <w:rsid w:val="006533AB"/>
    <w:rsid w:val="00675038"/>
    <w:rsid w:val="006840C4"/>
    <w:rsid w:val="00687899"/>
    <w:rsid w:val="006A0E07"/>
    <w:rsid w:val="006A1D48"/>
    <w:rsid w:val="006B24E0"/>
    <w:rsid w:val="006B2786"/>
    <w:rsid w:val="006C7356"/>
    <w:rsid w:val="006D5997"/>
    <w:rsid w:val="006E2D71"/>
    <w:rsid w:val="006E4E86"/>
    <w:rsid w:val="00711890"/>
    <w:rsid w:val="0072676E"/>
    <w:rsid w:val="00733B76"/>
    <w:rsid w:val="0073454A"/>
    <w:rsid w:val="007373B3"/>
    <w:rsid w:val="00744D07"/>
    <w:rsid w:val="00745854"/>
    <w:rsid w:val="00747771"/>
    <w:rsid w:val="00747E2B"/>
    <w:rsid w:val="0075795F"/>
    <w:rsid w:val="00761E10"/>
    <w:rsid w:val="00762E3C"/>
    <w:rsid w:val="007661A4"/>
    <w:rsid w:val="00774065"/>
    <w:rsid w:val="007761E9"/>
    <w:rsid w:val="007812D4"/>
    <w:rsid w:val="00791DBA"/>
    <w:rsid w:val="00797081"/>
    <w:rsid w:val="007D3775"/>
    <w:rsid w:val="007E07F8"/>
    <w:rsid w:val="007E1EDB"/>
    <w:rsid w:val="007E5408"/>
    <w:rsid w:val="007F2EE2"/>
    <w:rsid w:val="007F4EEC"/>
    <w:rsid w:val="007F5412"/>
    <w:rsid w:val="007F688A"/>
    <w:rsid w:val="00801A9C"/>
    <w:rsid w:val="008055B4"/>
    <w:rsid w:val="00825778"/>
    <w:rsid w:val="00841B37"/>
    <w:rsid w:val="008430B4"/>
    <w:rsid w:val="00844BF4"/>
    <w:rsid w:val="00850538"/>
    <w:rsid w:val="00857472"/>
    <w:rsid w:val="008619D8"/>
    <w:rsid w:val="00874624"/>
    <w:rsid w:val="0087560E"/>
    <w:rsid w:val="0087661E"/>
    <w:rsid w:val="008811A7"/>
    <w:rsid w:val="00887759"/>
    <w:rsid w:val="008A7590"/>
    <w:rsid w:val="008C2F53"/>
    <w:rsid w:val="008D5614"/>
    <w:rsid w:val="008F3432"/>
    <w:rsid w:val="008F6E1D"/>
    <w:rsid w:val="008F75A3"/>
    <w:rsid w:val="009048FA"/>
    <w:rsid w:val="00910D3E"/>
    <w:rsid w:val="0091795F"/>
    <w:rsid w:val="00931DF2"/>
    <w:rsid w:val="009406DE"/>
    <w:rsid w:val="0094108D"/>
    <w:rsid w:val="009523D0"/>
    <w:rsid w:val="00961BDF"/>
    <w:rsid w:val="009623A0"/>
    <w:rsid w:val="0096498C"/>
    <w:rsid w:val="00965A9E"/>
    <w:rsid w:val="009676BA"/>
    <w:rsid w:val="00972170"/>
    <w:rsid w:val="00992465"/>
    <w:rsid w:val="0099351D"/>
    <w:rsid w:val="00995FE4"/>
    <w:rsid w:val="009A68D1"/>
    <w:rsid w:val="009A797B"/>
    <w:rsid w:val="009B0BC5"/>
    <w:rsid w:val="009B310A"/>
    <w:rsid w:val="009C0564"/>
    <w:rsid w:val="009C06E3"/>
    <w:rsid w:val="009C2C78"/>
    <w:rsid w:val="009C689C"/>
    <w:rsid w:val="009C6B42"/>
    <w:rsid w:val="009E5C2B"/>
    <w:rsid w:val="00A0406F"/>
    <w:rsid w:val="00A1320E"/>
    <w:rsid w:val="00A24B9A"/>
    <w:rsid w:val="00A30765"/>
    <w:rsid w:val="00A35254"/>
    <w:rsid w:val="00A51EAC"/>
    <w:rsid w:val="00A71118"/>
    <w:rsid w:val="00A848A0"/>
    <w:rsid w:val="00A87EF3"/>
    <w:rsid w:val="00AA4D00"/>
    <w:rsid w:val="00AC6FE3"/>
    <w:rsid w:val="00AD7CA1"/>
    <w:rsid w:val="00AE3AC8"/>
    <w:rsid w:val="00AE5D49"/>
    <w:rsid w:val="00AE7935"/>
    <w:rsid w:val="00AF13DD"/>
    <w:rsid w:val="00AF5FB4"/>
    <w:rsid w:val="00B05E09"/>
    <w:rsid w:val="00B23876"/>
    <w:rsid w:val="00B360DC"/>
    <w:rsid w:val="00B36F01"/>
    <w:rsid w:val="00B45ECE"/>
    <w:rsid w:val="00B67FC8"/>
    <w:rsid w:val="00B71910"/>
    <w:rsid w:val="00B75157"/>
    <w:rsid w:val="00B76FA1"/>
    <w:rsid w:val="00B8560C"/>
    <w:rsid w:val="00B97E0C"/>
    <w:rsid w:val="00BA4906"/>
    <w:rsid w:val="00BA497C"/>
    <w:rsid w:val="00BA68D2"/>
    <w:rsid w:val="00BA7EEA"/>
    <w:rsid w:val="00BB024D"/>
    <w:rsid w:val="00BC4988"/>
    <w:rsid w:val="00BC5832"/>
    <w:rsid w:val="00BE34C1"/>
    <w:rsid w:val="00BF5FB7"/>
    <w:rsid w:val="00C11EF3"/>
    <w:rsid w:val="00C17EA9"/>
    <w:rsid w:val="00C217AA"/>
    <w:rsid w:val="00C25A9C"/>
    <w:rsid w:val="00C3498A"/>
    <w:rsid w:val="00C42FCC"/>
    <w:rsid w:val="00C43819"/>
    <w:rsid w:val="00C44683"/>
    <w:rsid w:val="00C46541"/>
    <w:rsid w:val="00C54E5D"/>
    <w:rsid w:val="00C63A38"/>
    <w:rsid w:val="00C66C17"/>
    <w:rsid w:val="00C7157D"/>
    <w:rsid w:val="00C71C44"/>
    <w:rsid w:val="00C7409B"/>
    <w:rsid w:val="00C7534B"/>
    <w:rsid w:val="00C9126F"/>
    <w:rsid w:val="00C94C38"/>
    <w:rsid w:val="00CA3577"/>
    <w:rsid w:val="00CA651F"/>
    <w:rsid w:val="00CA7D57"/>
    <w:rsid w:val="00CB57CD"/>
    <w:rsid w:val="00CC1847"/>
    <w:rsid w:val="00CC3600"/>
    <w:rsid w:val="00CC7E38"/>
    <w:rsid w:val="00CD4C30"/>
    <w:rsid w:val="00CD7AA4"/>
    <w:rsid w:val="00CE4B71"/>
    <w:rsid w:val="00CF4616"/>
    <w:rsid w:val="00CF6C32"/>
    <w:rsid w:val="00D01691"/>
    <w:rsid w:val="00D35028"/>
    <w:rsid w:val="00D361CC"/>
    <w:rsid w:val="00D36E23"/>
    <w:rsid w:val="00D4192F"/>
    <w:rsid w:val="00D607C2"/>
    <w:rsid w:val="00D607E6"/>
    <w:rsid w:val="00D623A0"/>
    <w:rsid w:val="00D815BC"/>
    <w:rsid w:val="00D84AB7"/>
    <w:rsid w:val="00DA76D6"/>
    <w:rsid w:val="00DA79DA"/>
    <w:rsid w:val="00DD3D6F"/>
    <w:rsid w:val="00DD4DFF"/>
    <w:rsid w:val="00DD56A7"/>
    <w:rsid w:val="00DE27BD"/>
    <w:rsid w:val="00DF2593"/>
    <w:rsid w:val="00DF2C9B"/>
    <w:rsid w:val="00E210C6"/>
    <w:rsid w:val="00E27BCB"/>
    <w:rsid w:val="00E379D5"/>
    <w:rsid w:val="00E415D0"/>
    <w:rsid w:val="00E52049"/>
    <w:rsid w:val="00E5288C"/>
    <w:rsid w:val="00E56FD5"/>
    <w:rsid w:val="00E6578D"/>
    <w:rsid w:val="00E6784F"/>
    <w:rsid w:val="00E71408"/>
    <w:rsid w:val="00E726B5"/>
    <w:rsid w:val="00E735F1"/>
    <w:rsid w:val="00E76FAE"/>
    <w:rsid w:val="00E77256"/>
    <w:rsid w:val="00E77F33"/>
    <w:rsid w:val="00E85A6F"/>
    <w:rsid w:val="00E91B5E"/>
    <w:rsid w:val="00E958DC"/>
    <w:rsid w:val="00EA004E"/>
    <w:rsid w:val="00EB20EF"/>
    <w:rsid w:val="00EB4715"/>
    <w:rsid w:val="00EB6723"/>
    <w:rsid w:val="00EB7601"/>
    <w:rsid w:val="00EC442C"/>
    <w:rsid w:val="00EC567C"/>
    <w:rsid w:val="00ED24CB"/>
    <w:rsid w:val="00ED2E50"/>
    <w:rsid w:val="00ED3616"/>
    <w:rsid w:val="00EE2F59"/>
    <w:rsid w:val="00EF3518"/>
    <w:rsid w:val="00EF5F58"/>
    <w:rsid w:val="00F173A6"/>
    <w:rsid w:val="00F26334"/>
    <w:rsid w:val="00F33663"/>
    <w:rsid w:val="00F35F4D"/>
    <w:rsid w:val="00F400E1"/>
    <w:rsid w:val="00F41020"/>
    <w:rsid w:val="00F41854"/>
    <w:rsid w:val="00F43A11"/>
    <w:rsid w:val="00F44BE7"/>
    <w:rsid w:val="00F458C5"/>
    <w:rsid w:val="00F476FD"/>
    <w:rsid w:val="00F55BCA"/>
    <w:rsid w:val="00F567F9"/>
    <w:rsid w:val="00F60BF3"/>
    <w:rsid w:val="00F63984"/>
    <w:rsid w:val="00F6572A"/>
    <w:rsid w:val="00F65E7C"/>
    <w:rsid w:val="00F70B4C"/>
    <w:rsid w:val="00F71474"/>
    <w:rsid w:val="00F75DE9"/>
    <w:rsid w:val="00F82DC3"/>
    <w:rsid w:val="00F90ED2"/>
    <w:rsid w:val="00F970AF"/>
    <w:rsid w:val="00F97167"/>
    <w:rsid w:val="00FA7154"/>
    <w:rsid w:val="00FB209B"/>
    <w:rsid w:val="00FB6566"/>
    <w:rsid w:val="00FB6AAF"/>
    <w:rsid w:val="00FC651F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B3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10D3E"/>
    <w:pPr>
      <w:keepNext/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21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B0BC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10D3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97217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9B0BC5"/>
    <w:rPr>
      <w:rFonts w:ascii="Cambria" w:hAnsi="Cambria" w:cs="Times New Roman"/>
      <w:b/>
      <w:bCs/>
      <w:color w:val="4F81BD"/>
    </w:rPr>
  </w:style>
  <w:style w:type="paragraph" w:styleId="Zhlav">
    <w:name w:val="header"/>
    <w:basedOn w:val="Normln"/>
    <w:link w:val="ZhlavChar"/>
    <w:uiPriority w:val="99"/>
    <w:rsid w:val="00183ED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183EDD"/>
    <w:rPr>
      <w:rFonts w:cs="Times New Roman"/>
    </w:rPr>
  </w:style>
  <w:style w:type="paragraph" w:styleId="Zpat">
    <w:name w:val="footer"/>
    <w:basedOn w:val="Normln"/>
    <w:link w:val="ZpatChar"/>
    <w:uiPriority w:val="99"/>
    <w:rsid w:val="00183ED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183E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83E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83E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83EDD"/>
    <w:pPr>
      <w:ind w:left="720"/>
      <w:contextualSpacing/>
    </w:pPr>
  </w:style>
  <w:style w:type="character" w:styleId="Hypertextovodkaz">
    <w:name w:val="Hyperlink"/>
    <w:uiPriority w:val="99"/>
    <w:rsid w:val="009676BA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94C38"/>
    <w:rPr>
      <w:rFonts w:cs="Times New Roman"/>
    </w:rPr>
  </w:style>
  <w:style w:type="table" w:styleId="Mkatabulky">
    <w:name w:val="Table Grid"/>
    <w:basedOn w:val="Normlntabulka"/>
    <w:uiPriority w:val="99"/>
    <w:rsid w:val="00E5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678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B0BC5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b/>
      <w:bCs/>
      <w:color w:val="000000"/>
      <w:sz w:val="48"/>
      <w:szCs w:val="48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9B0BC5"/>
    <w:rPr>
      <w:rFonts w:ascii="Times New Roman" w:hAnsi="Times New Roman" w:cs="Times New Roman"/>
      <w:b/>
      <w:bCs/>
      <w:color w:val="000000"/>
      <w:sz w:val="48"/>
      <w:szCs w:val="48"/>
      <w:lang w:eastAsia="cs-CZ"/>
    </w:rPr>
  </w:style>
  <w:style w:type="paragraph" w:customStyle="1" w:styleId="StylVlevo063cm">
    <w:name w:val="Styl Vlevo:  063 cm"/>
    <w:basedOn w:val="Normln"/>
    <w:uiPriority w:val="99"/>
    <w:rsid w:val="009B0BC5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Odkaznakoment">
    <w:name w:val="annotation reference"/>
    <w:uiPriority w:val="99"/>
    <w:semiHidden/>
    <w:rsid w:val="00194A4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94A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194A4C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94A4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94A4C"/>
    <w:rPr>
      <w:rFonts w:cs="Times New Roman"/>
      <w:b/>
      <w:bCs/>
      <w:sz w:val="20"/>
      <w:szCs w:val="20"/>
    </w:rPr>
  </w:style>
  <w:style w:type="character" w:styleId="Siln">
    <w:name w:val="Strong"/>
    <w:uiPriority w:val="99"/>
    <w:qFormat/>
    <w:locked/>
    <w:rsid w:val="00160119"/>
    <w:rPr>
      <w:rFonts w:cs="Times New Roman"/>
      <w:b/>
      <w:bCs/>
    </w:rPr>
  </w:style>
  <w:style w:type="paragraph" w:customStyle="1" w:styleId="Default">
    <w:name w:val="Default"/>
    <w:uiPriority w:val="99"/>
    <w:rsid w:val="00112C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Zvraznn">
    <w:name w:val="Emphasis"/>
    <w:uiPriority w:val="20"/>
    <w:qFormat/>
    <w:locked/>
    <w:rsid w:val="00322F9E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B3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10D3E"/>
    <w:pPr>
      <w:keepNext/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21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B0BC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10D3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97217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9B0BC5"/>
    <w:rPr>
      <w:rFonts w:ascii="Cambria" w:hAnsi="Cambria" w:cs="Times New Roman"/>
      <w:b/>
      <w:bCs/>
      <w:color w:val="4F81BD"/>
    </w:rPr>
  </w:style>
  <w:style w:type="paragraph" w:styleId="Zhlav">
    <w:name w:val="header"/>
    <w:basedOn w:val="Normln"/>
    <w:link w:val="ZhlavChar"/>
    <w:uiPriority w:val="99"/>
    <w:rsid w:val="00183ED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183EDD"/>
    <w:rPr>
      <w:rFonts w:cs="Times New Roman"/>
    </w:rPr>
  </w:style>
  <w:style w:type="paragraph" w:styleId="Zpat">
    <w:name w:val="footer"/>
    <w:basedOn w:val="Normln"/>
    <w:link w:val="ZpatChar"/>
    <w:uiPriority w:val="99"/>
    <w:rsid w:val="00183ED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183E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83E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83E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83EDD"/>
    <w:pPr>
      <w:ind w:left="720"/>
      <w:contextualSpacing/>
    </w:pPr>
  </w:style>
  <w:style w:type="character" w:styleId="Hypertextovodkaz">
    <w:name w:val="Hyperlink"/>
    <w:uiPriority w:val="99"/>
    <w:rsid w:val="009676BA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94C38"/>
    <w:rPr>
      <w:rFonts w:cs="Times New Roman"/>
    </w:rPr>
  </w:style>
  <w:style w:type="table" w:styleId="Mkatabulky">
    <w:name w:val="Table Grid"/>
    <w:basedOn w:val="Normlntabulka"/>
    <w:uiPriority w:val="99"/>
    <w:rsid w:val="00E5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678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B0BC5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b/>
      <w:bCs/>
      <w:color w:val="000000"/>
      <w:sz w:val="48"/>
      <w:szCs w:val="48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9B0BC5"/>
    <w:rPr>
      <w:rFonts w:ascii="Times New Roman" w:hAnsi="Times New Roman" w:cs="Times New Roman"/>
      <w:b/>
      <w:bCs/>
      <w:color w:val="000000"/>
      <w:sz w:val="48"/>
      <w:szCs w:val="48"/>
      <w:lang w:eastAsia="cs-CZ"/>
    </w:rPr>
  </w:style>
  <w:style w:type="paragraph" w:customStyle="1" w:styleId="StylVlevo063cm">
    <w:name w:val="Styl Vlevo:  063 cm"/>
    <w:basedOn w:val="Normln"/>
    <w:uiPriority w:val="99"/>
    <w:rsid w:val="009B0BC5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Odkaznakoment">
    <w:name w:val="annotation reference"/>
    <w:uiPriority w:val="99"/>
    <w:semiHidden/>
    <w:rsid w:val="00194A4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94A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194A4C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94A4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94A4C"/>
    <w:rPr>
      <w:rFonts w:cs="Times New Roman"/>
      <w:b/>
      <w:bCs/>
      <w:sz w:val="20"/>
      <w:szCs w:val="20"/>
    </w:rPr>
  </w:style>
  <w:style w:type="character" w:styleId="Siln">
    <w:name w:val="Strong"/>
    <w:uiPriority w:val="99"/>
    <w:qFormat/>
    <w:locked/>
    <w:rsid w:val="00160119"/>
    <w:rPr>
      <w:rFonts w:cs="Times New Roman"/>
      <w:b/>
      <w:bCs/>
    </w:rPr>
  </w:style>
  <w:style w:type="paragraph" w:customStyle="1" w:styleId="Default">
    <w:name w:val="Default"/>
    <w:uiPriority w:val="99"/>
    <w:rsid w:val="00112C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Zvraznn">
    <w:name w:val="Emphasis"/>
    <w:uiPriority w:val="20"/>
    <w:qFormat/>
    <w:locked/>
    <w:rsid w:val="00322F9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ecd-ilibrary.org/taxation/taxes-on-income-and-profit_20758510-table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ssz.cz/cz/pojistne-na-socialni-zabezpeceni/vyse-a-platba-pojistneho/sazba-pojistneh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r.cz/cs/verejny-sektor/makroekonomika/fiskalni-vyhled/2015/fiskalni-vyhled-cr-kveten-2015-215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1468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Cvičení č</vt:lpstr>
    </vt:vector>
  </TitlesOfParts>
  <Company>Ekonomicko-správní fakulta Masarykovy univerzity</Company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Cvičení č</dc:title>
  <dc:creator>Furova Lenka</dc:creator>
  <cp:lastModifiedBy>Hrůza Filip</cp:lastModifiedBy>
  <cp:revision>3</cp:revision>
  <dcterms:created xsi:type="dcterms:W3CDTF">2015-11-20T15:56:00Z</dcterms:created>
  <dcterms:modified xsi:type="dcterms:W3CDTF">2015-11-20T16:09:00Z</dcterms:modified>
</cp:coreProperties>
</file>