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54" w:rsidRPr="009B0BC5" w:rsidRDefault="00F5594F" w:rsidP="00A848A0">
      <w:pPr>
        <w:rPr>
          <w:rFonts w:ascii="Garamond" w:hAnsi="Garamond" w:cs="Arial"/>
          <w:sz w:val="36"/>
          <w:szCs w:val="36"/>
        </w:rPr>
      </w:pPr>
      <w:r>
        <w:rPr>
          <w:rFonts w:ascii="Garamond" w:hAnsi="Garamond" w:cs="Arial"/>
          <w:sz w:val="36"/>
          <w:szCs w:val="36"/>
        </w:rPr>
        <w:t>Cvičení č. 11</w:t>
      </w:r>
      <w:r w:rsidR="00A35254" w:rsidRPr="009B0BC5">
        <w:rPr>
          <w:rFonts w:ascii="Garamond" w:hAnsi="Garamond" w:cs="Arial"/>
          <w:sz w:val="36"/>
          <w:szCs w:val="36"/>
        </w:rPr>
        <w:t xml:space="preserve"> – Fiskální nerovnováha</w:t>
      </w: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Fiskální nerovnováha</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Co je to rozpočtová nerovnováha a jak podle vás vzniká, pokuste se identifikovat příčiny vzniku této situace?</w:t>
      </w:r>
      <w:r>
        <w:rPr>
          <w:rFonts w:ascii="Garamond" w:hAnsi="Garamond"/>
          <w:sz w:val="24"/>
          <w:szCs w:val="24"/>
        </w:rPr>
        <w:t xml:space="preserve"> Zkuste popřemýšlet o vašem vlastním rozpočtu, dosahujete přebytků nebo deficitů, proč k tomu dochází? </w:t>
      </w:r>
      <w:r>
        <w:rPr>
          <w:rFonts w:ascii="Garamond" w:hAnsi="Garamond"/>
          <w:i/>
          <w:sz w:val="24"/>
          <w:szCs w:val="24"/>
        </w:rPr>
        <w:t>(př.: neumím plánovat, nepromítám rizika, neumím řídit svoje plánované výdaje, plánuji investice, vznikly mimořádné situace)</w:t>
      </w:r>
      <w:r>
        <w:rPr>
          <w:rFonts w:ascii="Garamond" w:hAnsi="Garamond"/>
          <w:sz w:val="24"/>
          <w:szCs w:val="24"/>
        </w:rPr>
        <w:t xml:space="preserve">  </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 xml:space="preserve">Obecné pojetí: </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Saldo vzniklé z nesouladu mezi příjmy a výdaji daného rozpočtu v daném kalendářním roce (krátkodobá FN)</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Suma/kumulace sald vzniklá z nesouladů mezi příjmy a výdaji rozpočtů ve více po sobě jdoucích kalendářních rocích (dlouhodobá FN)</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 xml:space="preserve">Technické pojetí: </w:t>
      </w:r>
    </w:p>
    <w:p w:rsidR="00A35254"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Existence pohledávek vůči budoucím daňovým příjmům, kdy dochází k přerozdělování dosud nevytvořených zdrojů (Strecková, Malý</w:t>
      </w:r>
      <w:r>
        <w:rPr>
          <w:rFonts w:ascii="Garamond" w:hAnsi="Garamond"/>
          <w:sz w:val="24"/>
          <w:szCs w:val="24"/>
        </w:rPr>
        <w:t>,</w:t>
      </w:r>
      <w:r w:rsidRPr="009B0BC5">
        <w:rPr>
          <w:rFonts w:ascii="Garamond" w:hAnsi="Garamond"/>
          <w:sz w:val="24"/>
          <w:szCs w:val="24"/>
        </w:rPr>
        <w:t xml:space="preserve"> 1998)</w:t>
      </w:r>
    </w:p>
    <w:p w:rsidR="00A35254" w:rsidRPr="009B0BC5" w:rsidRDefault="00A35254" w:rsidP="00B76FA1">
      <w:pPr>
        <w:pStyle w:val="Odstavecseseznamem"/>
        <w:numPr>
          <w:ilvl w:val="2"/>
          <w:numId w:val="6"/>
        </w:numPr>
        <w:rPr>
          <w:rFonts w:ascii="Garamond" w:hAnsi="Garamond"/>
          <w:sz w:val="24"/>
          <w:szCs w:val="24"/>
        </w:rPr>
      </w:pPr>
      <w:r>
        <w:rPr>
          <w:rFonts w:ascii="Garamond" w:hAnsi="Garamond"/>
          <w:sz w:val="24"/>
          <w:szCs w:val="24"/>
        </w:rPr>
        <w:t>Otázka refinancování dluhu – splácí ČR svůj dluh?</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Krátkodobá FN může být:</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Plusová: P &gt; V = přebytek rozpočtu</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 xml:space="preserve">Záporná: P &lt; V = deficit rozpočtu  </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Dlouhodobá FN může být:</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Plusová: suma sald jednotlivých rozpočtů vytvoří rezervu</w:t>
      </w:r>
      <w:r>
        <w:rPr>
          <w:rFonts w:ascii="Garamond" w:hAnsi="Garamond"/>
          <w:sz w:val="24"/>
          <w:szCs w:val="24"/>
        </w:rPr>
        <w:t xml:space="preserve"> / zásobu</w:t>
      </w:r>
    </w:p>
    <w:p w:rsidR="00A35254" w:rsidRPr="009B0BC5" w:rsidRDefault="00A35254" w:rsidP="00B76FA1">
      <w:pPr>
        <w:pStyle w:val="Odstavecseseznamem"/>
        <w:numPr>
          <w:ilvl w:val="2"/>
          <w:numId w:val="6"/>
        </w:numPr>
        <w:rPr>
          <w:rFonts w:ascii="Garamond" w:hAnsi="Garamond"/>
          <w:sz w:val="24"/>
          <w:szCs w:val="24"/>
        </w:rPr>
      </w:pPr>
      <w:r w:rsidRPr="009B0BC5">
        <w:rPr>
          <w:rFonts w:ascii="Garamond" w:hAnsi="Garamond"/>
          <w:sz w:val="24"/>
          <w:szCs w:val="24"/>
        </w:rPr>
        <w:t>Záporná: suma sald jednotlivých rozpočtů vytvoří dluh</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Je t</w:t>
      </w:r>
      <w:r>
        <w:rPr>
          <w:rFonts w:ascii="Garamond" w:hAnsi="Garamond"/>
          <w:sz w:val="24"/>
          <w:szCs w:val="24"/>
        </w:rPr>
        <w:t>ato situace</w:t>
      </w:r>
      <w:r w:rsidRPr="009B0BC5">
        <w:rPr>
          <w:rFonts w:ascii="Garamond" w:hAnsi="Garamond"/>
          <w:sz w:val="24"/>
          <w:szCs w:val="24"/>
        </w:rPr>
        <w:t xml:space="preserve"> problém</w:t>
      </w:r>
      <w:r>
        <w:rPr>
          <w:rFonts w:ascii="Garamond" w:hAnsi="Garamond"/>
          <w:sz w:val="24"/>
          <w:szCs w:val="24"/>
        </w:rPr>
        <w:t>em</w:t>
      </w:r>
      <w:r w:rsidRPr="009B0BC5">
        <w:rPr>
          <w:rFonts w:ascii="Garamond" w:hAnsi="Garamond"/>
          <w:sz w:val="24"/>
          <w:szCs w:val="24"/>
        </w:rPr>
        <w:t xml:space="preserve"> pro veřejné finance? Je třeba deficit rozpočtu nutně negativní jev? </w:t>
      </w:r>
      <w:r w:rsidRPr="009B0BC5">
        <w:rPr>
          <w:rFonts w:ascii="Garamond" w:hAnsi="Garamond"/>
          <w:i/>
          <w:iCs/>
          <w:sz w:val="24"/>
          <w:szCs w:val="24"/>
        </w:rPr>
        <w:t>(Př.: krátkodobý jednoroční deficit problém být nemusí, protože třeba vláda investuje a může být vhodnější investovat na úvěr, než z vlastního, záleží však na dané investici; větší problém nastává u dlouhodobé FN, která může značit větší strukturální problémy skryté pod povrchem)</w:t>
      </w:r>
    </w:p>
    <w:p w:rsidR="00A35254" w:rsidRPr="00F567F9" w:rsidRDefault="007C301E" w:rsidP="00B76FA1">
      <w:pPr>
        <w:pStyle w:val="Odstavecseseznamem"/>
        <w:numPr>
          <w:ilvl w:val="0"/>
          <w:numId w:val="6"/>
        </w:numPr>
        <w:rPr>
          <w:rFonts w:ascii="Garamond" w:hAnsi="Garamond"/>
          <w:sz w:val="24"/>
          <w:szCs w:val="24"/>
        </w:rPr>
      </w:pPr>
      <w:r>
        <w:rPr>
          <w:rFonts w:ascii="Garamond" w:hAnsi="Garamond"/>
          <w:sz w:val="24"/>
          <w:szCs w:val="24"/>
        </w:rPr>
        <w:t>Víte k</w:t>
      </w:r>
      <w:r w:rsidR="00A35254" w:rsidRPr="009B0BC5">
        <w:rPr>
          <w:rFonts w:ascii="Garamond" w:hAnsi="Garamond"/>
          <w:sz w:val="24"/>
          <w:szCs w:val="24"/>
        </w:rPr>
        <w:t xml:space="preserve">olik je </w:t>
      </w:r>
      <w:r w:rsidR="00A35254">
        <w:rPr>
          <w:rFonts w:ascii="Garamond" w:hAnsi="Garamond"/>
          <w:sz w:val="24"/>
          <w:szCs w:val="24"/>
        </w:rPr>
        <w:t>plánovaný</w:t>
      </w:r>
      <w:r w:rsidR="00115BE4">
        <w:rPr>
          <w:rFonts w:ascii="Garamond" w:hAnsi="Garamond"/>
          <w:sz w:val="24"/>
          <w:szCs w:val="24"/>
        </w:rPr>
        <w:t xml:space="preserve"> deficit</w:t>
      </w:r>
      <w:r>
        <w:rPr>
          <w:rFonts w:ascii="Garamond" w:hAnsi="Garamond"/>
          <w:sz w:val="24"/>
          <w:szCs w:val="24"/>
        </w:rPr>
        <w:t xml:space="preserve"> vládního sektoru na rok 2015</w:t>
      </w:r>
      <w:r w:rsidR="00A35254" w:rsidRPr="009B0BC5">
        <w:rPr>
          <w:rFonts w:ascii="Garamond" w:hAnsi="Garamond"/>
          <w:sz w:val="24"/>
          <w:szCs w:val="24"/>
        </w:rPr>
        <w:t>?</w:t>
      </w:r>
      <w:r>
        <w:rPr>
          <w:rFonts w:ascii="Garamond" w:hAnsi="Garamond"/>
          <w:sz w:val="24"/>
          <w:szCs w:val="24"/>
        </w:rPr>
        <w:t xml:space="preserve"> Jaký je váš názor na velikost deficitu?</w:t>
      </w:r>
    </w:p>
    <w:p w:rsidR="00A35254" w:rsidRPr="009B0BC5" w:rsidRDefault="00A35254" w:rsidP="00B76FA1">
      <w:pPr>
        <w:pStyle w:val="Odstavecseseznamem"/>
        <w:numPr>
          <w:ilvl w:val="0"/>
          <w:numId w:val="6"/>
        </w:numPr>
        <w:rPr>
          <w:rFonts w:ascii="Garamond" w:hAnsi="Garamond"/>
          <w:sz w:val="24"/>
          <w:szCs w:val="24"/>
        </w:rPr>
      </w:pPr>
      <w:r w:rsidRPr="00F567F9">
        <w:rPr>
          <w:rFonts w:ascii="Garamond" w:hAnsi="Garamond"/>
          <w:sz w:val="24"/>
          <w:szCs w:val="24"/>
        </w:rPr>
        <w:t>Jaký je rozdíl mezi deficitem vládního sektoru a deficitem státního rozpočtu?</w:t>
      </w:r>
    </w:p>
    <w:p w:rsidR="00A35254"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Jaká byla salda roz</w:t>
      </w:r>
      <w:r w:rsidR="007E7F84">
        <w:rPr>
          <w:rFonts w:ascii="Garamond" w:hAnsi="Garamond"/>
          <w:sz w:val="24"/>
          <w:szCs w:val="24"/>
        </w:rPr>
        <w:t>počtů ostatních vlád</w:t>
      </w:r>
      <w:r w:rsidRPr="009B0BC5">
        <w:rPr>
          <w:rFonts w:ascii="Garamond" w:hAnsi="Garamond"/>
          <w:sz w:val="24"/>
          <w:szCs w:val="24"/>
        </w:rPr>
        <w:t>?</w:t>
      </w:r>
    </w:p>
    <w:p w:rsidR="001E0501" w:rsidRDefault="001E0501">
      <w:pPr>
        <w:spacing w:after="0" w:line="240" w:lineRule="auto"/>
        <w:rPr>
          <w:rFonts w:ascii="Garamond" w:eastAsia="Times New Roman" w:hAnsi="Garamond"/>
          <w:sz w:val="24"/>
          <w:szCs w:val="24"/>
        </w:rPr>
      </w:pPr>
      <w:r>
        <w:rPr>
          <w:rFonts w:ascii="Garamond" w:hAnsi="Garamond"/>
          <w:b/>
          <w:bCs/>
          <w:sz w:val="24"/>
          <w:szCs w:val="24"/>
        </w:rPr>
        <w:br w:type="page"/>
      </w:r>
    </w:p>
    <w:p w:rsidR="000A0715" w:rsidRDefault="000A0715" w:rsidP="005B0FD3">
      <w:pPr>
        <w:jc w:val="center"/>
      </w:pPr>
      <w:r>
        <w:rPr>
          <w:noProof/>
          <w:lang w:eastAsia="cs-CZ"/>
        </w:rPr>
        <w:lastRenderedPageBreak/>
        <w:drawing>
          <wp:inline distT="0" distB="0" distL="0" distR="0" wp14:anchorId="7292F166" wp14:editId="5368D05D">
            <wp:extent cx="5904230" cy="3248394"/>
            <wp:effectExtent l="0" t="0" r="2032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5254" w:rsidRPr="001867F9" w:rsidRDefault="008639FC" w:rsidP="00FF3F2F">
      <w:pPr>
        <w:rPr>
          <w:rFonts w:ascii="Garamond" w:hAnsi="Garamond"/>
          <w:sz w:val="24"/>
          <w:szCs w:val="24"/>
        </w:rPr>
      </w:pPr>
      <w:r>
        <w:rPr>
          <w:rFonts w:ascii="Garamond" w:hAnsi="Garamond"/>
          <w:sz w:val="24"/>
          <w:szCs w:val="24"/>
        </w:rPr>
        <w:t>Zd</w:t>
      </w:r>
      <w:r w:rsidR="001E0501">
        <w:rPr>
          <w:rFonts w:ascii="Garamond" w:hAnsi="Garamond"/>
          <w:sz w:val="24"/>
          <w:szCs w:val="24"/>
        </w:rPr>
        <w:t xml:space="preserve">roj: </w:t>
      </w:r>
      <w:r w:rsidR="000A0715">
        <w:rPr>
          <w:rFonts w:ascii="Garamond" w:hAnsi="Garamond"/>
          <w:sz w:val="24"/>
          <w:szCs w:val="24"/>
        </w:rPr>
        <w:t>OECD (2015</w:t>
      </w:r>
      <w:r w:rsidR="00A35254" w:rsidRPr="001867F9">
        <w:rPr>
          <w:rFonts w:ascii="Garamond" w:hAnsi="Garamond"/>
          <w:sz w:val="24"/>
          <w:szCs w:val="24"/>
        </w:rPr>
        <w:t>)</w:t>
      </w:r>
    </w:p>
    <w:p w:rsidR="00A35254" w:rsidRPr="009B0BC5" w:rsidRDefault="00A35254" w:rsidP="005E0FB0">
      <w:pPr>
        <w:ind w:left="357"/>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Identifikace vzniku a charakteru sald veřejných rozpočtů</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Myslíte si, že deficitní hospodaření je příčinou pouze aktivního řízení vlády? Existují faktory, které vedle toho, že naplánuje vláda nevyrovnaný rozpočet, mohou zapříčinit, že vznikne určitá fiskální nerovnováha? Zkuste je identifikovat.</w:t>
      </w:r>
    </w:p>
    <w:p w:rsidR="00A35254" w:rsidRPr="009B0BC5" w:rsidRDefault="00A35254" w:rsidP="00B76FA1">
      <w:pPr>
        <w:pStyle w:val="Odstavecseseznamem"/>
        <w:numPr>
          <w:ilvl w:val="0"/>
          <w:numId w:val="6"/>
        </w:numPr>
        <w:rPr>
          <w:rFonts w:ascii="Garamond" w:hAnsi="Garamond"/>
          <w:sz w:val="24"/>
          <w:szCs w:val="24"/>
        </w:rPr>
      </w:pPr>
      <w:r w:rsidRPr="009B0BC5">
        <w:rPr>
          <w:rFonts w:ascii="Garamond" w:hAnsi="Garamond"/>
          <w:sz w:val="24"/>
          <w:szCs w:val="24"/>
        </w:rPr>
        <w:t>Co si myslíte o následujícím grafu, co vypovídá a jakou má souvislost se vznikem fiskální nerovnováhy.</w:t>
      </w:r>
    </w:p>
    <w:p w:rsidR="00A35254" w:rsidRPr="009B0BC5" w:rsidRDefault="007C301E" w:rsidP="009B0BC5">
      <w:pPr>
        <w:jc w:val="center"/>
        <w:rPr>
          <w:rFonts w:ascii="Garamond" w:hAnsi="Garamond" w:cs="Arial"/>
          <w:sz w:val="28"/>
          <w:szCs w:val="28"/>
        </w:rPr>
      </w:pPr>
      <w:r>
        <w:rPr>
          <w:noProof/>
          <w:lang w:eastAsia="cs-CZ"/>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70485</wp:posOffset>
                </wp:positionV>
                <wp:extent cx="5443855" cy="1927860"/>
                <wp:effectExtent l="0" t="0" r="0" b="0"/>
                <wp:wrapNone/>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55" cy="1927860"/>
                          <a:chOff x="1417" y="4393"/>
                          <a:chExt cx="7200" cy="2424"/>
                        </a:xfrm>
                      </wpg:grpSpPr>
                      <wps:wsp>
                        <wps:cNvPr id="26" name="Text Box 19"/>
                        <wps:cNvSpPr txBox="1">
                          <a:spLocks noChangeArrowheads="1"/>
                        </wps:cNvSpPr>
                        <wps:spPr bwMode="auto">
                          <a:xfrm>
                            <a:off x="6782" y="4393"/>
                            <a:ext cx="1271"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autoSpaceDE w:val="0"/>
                                <w:autoSpaceDN w:val="0"/>
                                <w:adjustRightInd w:val="0"/>
                                <w:rPr>
                                  <w:color w:val="000000"/>
                                  <w:szCs w:val="46"/>
                                  <w:vertAlign w:val="subscript"/>
                                </w:rPr>
                              </w:pPr>
                              <w:proofErr w:type="spellStart"/>
                              <w:r>
                                <w:rPr>
                                  <w:color w:val="000000"/>
                                  <w:szCs w:val="46"/>
                                </w:rPr>
                                <w:t>HDP</w:t>
                              </w:r>
                              <w:r>
                                <w:rPr>
                                  <w:color w:val="000000"/>
                                  <w:szCs w:val="46"/>
                                  <w:vertAlign w:val="subscript"/>
                                </w:rPr>
                                <w:t>reálný</w:t>
                              </w:r>
                              <w:proofErr w:type="spellEnd"/>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6923" y="5006"/>
                            <a:ext cx="169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autoSpaceDE w:val="0"/>
                                <w:autoSpaceDN w:val="0"/>
                                <w:adjustRightInd w:val="0"/>
                                <w:rPr>
                                  <w:color w:val="000000"/>
                                  <w:szCs w:val="40"/>
                                  <w:vertAlign w:val="subscript"/>
                                </w:rPr>
                              </w:pPr>
                              <w:proofErr w:type="spellStart"/>
                              <w:r>
                                <w:rPr>
                                  <w:color w:val="000000"/>
                                  <w:szCs w:val="40"/>
                                </w:rPr>
                                <w:t>HDP</w:t>
                              </w:r>
                              <w:r>
                                <w:rPr>
                                  <w:color w:val="000000"/>
                                  <w:szCs w:val="40"/>
                                  <w:vertAlign w:val="subscript"/>
                                </w:rPr>
                                <w:t>potenciální</w:t>
                              </w:r>
                              <w:proofErr w:type="spellEnd"/>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7770" y="6357"/>
                            <a:ext cx="70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autoSpaceDE w:val="0"/>
                                <w:autoSpaceDN w:val="0"/>
                                <w:adjustRightInd w:val="0"/>
                                <w:rPr>
                                  <w:b/>
                                  <w:bCs/>
                                  <w:color w:val="000000"/>
                                  <w:szCs w:val="56"/>
                                </w:rPr>
                              </w:pPr>
                              <w:r>
                                <w:rPr>
                                  <w:b/>
                                  <w:bCs/>
                                  <w:color w:val="000000"/>
                                  <w:szCs w:val="56"/>
                                </w:rPr>
                                <w:t xml:space="preserve">    čas</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1417" y="4672"/>
                            <a:ext cx="84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pStyle w:val="Zkladntext"/>
                                <w:jc w:val="left"/>
                                <w:rPr>
                                  <w:sz w:val="24"/>
                                </w:rPr>
                              </w:pPr>
                              <w:r>
                                <w:rPr>
                                  <w:sz w:val="24"/>
                                </w:rPr>
                                <w:t>HDP</w:t>
                              </w:r>
                            </w:p>
                          </w:txbxContent>
                        </wps:txbx>
                        <wps:bodyPr rot="0" vert="horz" wrap="square" lIns="91440" tIns="45720" rIns="91440" bIns="45720" anchor="t" anchorCtr="0" upright="1">
                          <a:noAutofit/>
                        </wps:bodyPr>
                      </wps:wsp>
                      <wps:wsp>
                        <wps:cNvPr id="30" name="Line 23"/>
                        <wps:cNvCnPr/>
                        <wps:spPr bwMode="auto">
                          <a:xfrm flipV="1">
                            <a:off x="2123" y="4620"/>
                            <a:ext cx="0" cy="1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
                        <wps:cNvCnPr/>
                        <wps:spPr bwMode="auto">
                          <a:xfrm>
                            <a:off x="2123" y="6613"/>
                            <a:ext cx="57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
                        <wps:cNvCnPr/>
                        <wps:spPr bwMode="auto">
                          <a:xfrm flipV="1">
                            <a:off x="2688" y="5080"/>
                            <a:ext cx="4376" cy="91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6"/>
                        <wps:cNvSpPr>
                          <a:spLocks/>
                        </wps:cNvSpPr>
                        <wps:spPr bwMode="auto">
                          <a:xfrm>
                            <a:off x="2688" y="4774"/>
                            <a:ext cx="4235" cy="1404"/>
                          </a:xfrm>
                          <a:custGeom>
                            <a:avLst/>
                            <a:gdLst>
                              <a:gd name="T0" fmla="*/ 0 w 4320"/>
                              <a:gd name="T1" fmla="*/ 1152 h 1320"/>
                              <a:gd name="T2" fmla="*/ 288 w 4320"/>
                              <a:gd name="T3" fmla="*/ 576 h 1320"/>
                              <a:gd name="T4" fmla="*/ 864 w 4320"/>
                              <a:gd name="T5" fmla="*/ 1008 h 1320"/>
                              <a:gd name="T6" fmla="*/ 1296 w 4320"/>
                              <a:gd name="T7" fmla="*/ 1296 h 1320"/>
                              <a:gd name="T8" fmla="*/ 1728 w 4320"/>
                              <a:gd name="T9" fmla="*/ 864 h 1320"/>
                              <a:gd name="T10" fmla="*/ 2160 w 4320"/>
                              <a:gd name="T11" fmla="*/ 288 h 1320"/>
                              <a:gd name="T12" fmla="*/ 2736 w 4320"/>
                              <a:gd name="T13" fmla="*/ 576 h 1320"/>
                              <a:gd name="T14" fmla="*/ 3456 w 4320"/>
                              <a:gd name="T15" fmla="*/ 1008 h 1320"/>
                              <a:gd name="T16" fmla="*/ 3888 w 4320"/>
                              <a:gd name="T17" fmla="*/ 432 h 1320"/>
                              <a:gd name="T18" fmla="*/ 4320 w 4320"/>
                              <a:gd name="T19" fmla="*/ 0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20" h="1320">
                                <a:moveTo>
                                  <a:pt x="0" y="1152"/>
                                </a:moveTo>
                                <a:cubicBezTo>
                                  <a:pt x="72" y="876"/>
                                  <a:pt x="144" y="600"/>
                                  <a:pt x="288" y="576"/>
                                </a:cubicBezTo>
                                <a:cubicBezTo>
                                  <a:pt x="432" y="552"/>
                                  <a:pt x="696" y="888"/>
                                  <a:pt x="864" y="1008"/>
                                </a:cubicBezTo>
                                <a:cubicBezTo>
                                  <a:pt x="1032" y="1128"/>
                                  <a:pt x="1152" y="1320"/>
                                  <a:pt x="1296" y="1296"/>
                                </a:cubicBezTo>
                                <a:cubicBezTo>
                                  <a:pt x="1440" y="1272"/>
                                  <a:pt x="1584" y="1032"/>
                                  <a:pt x="1728" y="864"/>
                                </a:cubicBezTo>
                                <a:cubicBezTo>
                                  <a:pt x="1872" y="696"/>
                                  <a:pt x="1992" y="336"/>
                                  <a:pt x="2160" y="288"/>
                                </a:cubicBezTo>
                                <a:cubicBezTo>
                                  <a:pt x="2328" y="240"/>
                                  <a:pt x="2520" y="456"/>
                                  <a:pt x="2736" y="576"/>
                                </a:cubicBezTo>
                                <a:cubicBezTo>
                                  <a:pt x="2952" y="696"/>
                                  <a:pt x="3264" y="1032"/>
                                  <a:pt x="3456" y="1008"/>
                                </a:cubicBezTo>
                                <a:cubicBezTo>
                                  <a:pt x="3648" y="984"/>
                                  <a:pt x="3744" y="600"/>
                                  <a:pt x="3888" y="432"/>
                                </a:cubicBezTo>
                                <a:cubicBezTo>
                                  <a:pt x="4032" y="264"/>
                                  <a:pt x="4176" y="132"/>
                                  <a:pt x="43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27"/>
                        <wps:cNvCnPr/>
                        <wps:spPr bwMode="auto">
                          <a:xfrm flipH="1">
                            <a:off x="2970" y="4927"/>
                            <a:ext cx="565" cy="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8"/>
                        <wps:cNvCnPr/>
                        <wps:spPr bwMode="auto">
                          <a:xfrm flipH="1" flipV="1">
                            <a:off x="3958" y="5999"/>
                            <a:ext cx="988"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3394" y="4774"/>
                            <a:ext cx="765"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autoSpaceDE w:val="0"/>
                                <w:autoSpaceDN w:val="0"/>
                                <w:adjustRightInd w:val="0"/>
                                <w:rPr>
                                  <w:b/>
                                  <w:bCs/>
                                  <w:color w:val="000000"/>
                                  <w:szCs w:val="48"/>
                                  <w:vertAlign w:val="subscript"/>
                                </w:rPr>
                              </w:pPr>
                              <w:r>
                                <w:rPr>
                                  <w:b/>
                                  <w:bCs/>
                                  <w:color w:val="000000"/>
                                  <w:szCs w:val="48"/>
                                </w:rPr>
                                <w:t>VP</w:t>
                              </w:r>
                              <w:r>
                                <w:rPr>
                                  <w:b/>
                                  <w:bCs/>
                                  <w:color w:val="000000"/>
                                  <w:szCs w:val="48"/>
                                  <w:vertAlign w:val="subscript"/>
                                </w:rPr>
                                <w:t>C</w:t>
                              </w: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4805" y="5999"/>
                            <a:ext cx="87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254" w:rsidRDefault="00A35254" w:rsidP="009B0BC5">
                              <w:pPr>
                                <w:autoSpaceDE w:val="0"/>
                                <w:autoSpaceDN w:val="0"/>
                                <w:adjustRightInd w:val="0"/>
                                <w:rPr>
                                  <w:b/>
                                  <w:bCs/>
                                  <w:color w:val="000000"/>
                                  <w:szCs w:val="48"/>
                                  <w:vertAlign w:val="subscript"/>
                                </w:rPr>
                              </w:pPr>
                              <w:r>
                                <w:rPr>
                                  <w:b/>
                                  <w:bCs/>
                                  <w:color w:val="000000"/>
                                  <w:szCs w:val="48"/>
                                </w:rPr>
                                <w:t>VD</w:t>
                              </w:r>
                              <w:r>
                                <w:rPr>
                                  <w:b/>
                                  <w:bCs/>
                                  <w:color w:val="000000"/>
                                  <w:szCs w:val="48"/>
                                  <w:vertAlign w:val="subscript"/>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5" o:spid="_x0000_s1026" style="position:absolute;left:0;text-align:left;margin-left:0;margin-top:5.55pt;width:428.65pt;height:151.8pt;z-index:251658240" coordorigin="1417,4393" coordsize="720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">
                <v:shapetype id="_x0000_t202" coordsize="21600,21600" o:spt="202" path="m,l,21600r21600,l21600,xe">
                  <v:stroke joinstyle="miter"/>
                  <v:path gradientshapeok="t" o:connecttype="rect"/>
                </v:shapetype>
                <v:shape id="Text Box 19" o:spid="_x0000_s1027" type="#_x0000_t202" style="position:absolute;left:6782;top:4393;width:1271;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35254" w:rsidRDefault="00A35254" w:rsidP="009B0BC5">
                        <w:pPr>
                          <w:autoSpaceDE w:val="0"/>
                          <w:autoSpaceDN w:val="0"/>
                          <w:adjustRightInd w:val="0"/>
                          <w:rPr>
                            <w:color w:val="000000"/>
                            <w:szCs w:val="46"/>
                            <w:vertAlign w:val="subscript"/>
                          </w:rPr>
                        </w:pPr>
                        <w:proofErr w:type="spellStart"/>
                        <w:r>
                          <w:rPr>
                            <w:color w:val="000000"/>
                            <w:szCs w:val="46"/>
                          </w:rPr>
                          <w:t>HDP</w:t>
                        </w:r>
                        <w:r>
                          <w:rPr>
                            <w:color w:val="000000"/>
                            <w:szCs w:val="46"/>
                            <w:vertAlign w:val="subscript"/>
                          </w:rPr>
                          <w:t>reálný</w:t>
                        </w:r>
                        <w:proofErr w:type="spellEnd"/>
                      </w:p>
                    </w:txbxContent>
                  </v:textbox>
                </v:shape>
                <v:shape id="Text Box 20" o:spid="_x0000_s1028" type="#_x0000_t202" style="position:absolute;left:6923;top:5006;width:1694;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35254" w:rsidRDefault="00A35254" w:rsidP="009B0BC5">
                        <w:pPr>
                          <w:autoSpaceDE w:val="0"/>
                          <w:autoSpaceDN w:val="0"/>
                          <w:adjustRightInd w:val="0"/>
                          <w:rPr>
                            <w:color w:val="000000"/>
                            <w:szCs w:val="40"/>
                            <w:vertAlign w:val="subscript"/>
                          </w:rPr>
                        </w:pPr>
                        <w:proofErr w:type="spellStart"/>
                        <w:r>
                          <w:rPr>
                            <w:color w:val="000000"/>
                            <w:szCs w:val="40"/>
                          </w:rPr>
                          <w:t>HDP</w:t>
                        </w:r>
                        <w:r>
                          <w:rPr>
                            <w:color w:val="000000"/>
                            <w:szCs w:val="40"/>
                            <w:vertAlign w:val="subscript"/>
                          </w:rPr>
                          <w:t>potenciální</w:t>
                        </w:r>
                        <w:proofErr w:type="spellEnd"/>
                      </w:p>
                    </w:txbxContent>
                  </v:textbox>
                </v:shape>
                <v:shape id="Text Box 21" o:spid="_x0000_s1029" type="#_x0000_t202" style="position:absolute;left:7770;top:6357;width:706;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35254" w:rsidRDefault="00A35254" w:rsidP="009B0BC5">
                        <w:pPr>
                          <w:autoSpaceDE w:val="0"/>
                          <w:autoSpaceDN w:val="0"/>
                          <w:adjustRightInd w:val="0"/>
                          <w:rPr>
                            <w:b/>
                            <w:bCs/>
                            <w:color w:val="000000"/>
                            <w:szCs w:val="56"/>
                          </w:rPr>
                        </w:pPr>
                        <w:r>
                          <w:rPr>
                            <w:b/>
                            <w:bCs/>
                            <w:color w:val="000000"/>
                            <w:szCs w:val="56"/>
                          </w:rPr>
                          <w:t xml:space="preserve">    čas</w:t>
                        </w:r>
                      </w:p>
                    </w:txbxContent>
                  </v:textbox>
                </v:shape>
                <v:shape id="Text Box 22" o:spid="_x0000_s1030" type="#_x0000_t202" style="position:absolute;left:1417;top:4672;width:84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35254" w:rsidRDefault="00A35254" w:rsidP="009B0BC5">
                        <w:pPr>
                          <w:pStyle w:val="Zkladntext"/>
                          <w:jc w:val="left"/>
                          <w:rPr>
                            <w:sz w:val="24"/>
                          </w:rPr>
                        </w:pPr>
                        <w:r>
                          <w:rPr>
                            <w:sz w:val="24"/>
                          </w:rPr>
                          <w:t>HDP</w:t>
                        </w:r>
                      </w:p>
                    </w:txbxContent>
                  </v:textbox>
                </v:shape>
                <v:line id="Line 23" o:spid="_x0000_s1031" style="position:absolute;flip:y;visibility:visible;mso-wrap-style:square" from="2123,4620" to="2123,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4" o:spid="_x0000_s1032" style="position:absolute;visibility:visible;mso-wrap-style:square" from="2123,6613" to="7911,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25" o:spid="_x0000_s1033" style="position:absolute;flip:y;visibility:visible;mso-wrap-style:square" from="2688,5080" to="7064,5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MzMYAAADbAAAADwAAAGRycy9kb3ducmV2LnhtbESPQWvCQBCF74L/YRnBS6kbrViJriJq&#10;rYIUqh48jtkxCWZnQ3bV+O+7QsHj48373rzxtDaFuFHlcssKup0IBHFidc6pgsP+630IwnlkjYVl&#10;UvAgB9NJszHGWNs7/9Jt51MRIOxiVJB5X8ZSuiQjg65jS+LgnW1l0AdZpVJXeA9wU8heFA2kwZxD&#10;Q4YlzTNKLrurCW8s+vvN4/S9+vxZzpPtedN/i9ZHpdqtejYC4an2r+P/9For+OjB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DMzGAAAA2wAAAA8AAAAAAAAA&#10;AAAAAAAAoQIAAGRycy9kb3ducmV2LnhtbFBLBQYAAAAABAAEAPkAAACUAwAAAAA=&#10;" strokeweight="2.25pt"/>
                <v:shape id="Freeform 26" o:spid="_x0000_s1034" style="position:absolute;left:2688;top:4774;width:4235;height:1404;visibility:visible;mso-wrap-style:square;v-text-anchor:top" coordsize="432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W8MA&#10;AADbAAAADwAAAGRycy9kb3ducmV2LnhtbESPQWvCQBSE70L/w/KE3nSjAVtSVwnVouBJK55fs6/Z&#10;1OzbkF01+utdoeBxmJlvmOm8s7U4U+srxwpGwwQEceF0xaWC/ffX4B2ED8gaa8ek4Eoe5rOX3hQz&#10;7S68pfMulCJC2GeowITQZFL6wpBFP3QNcfR+XWsxRNmWUrd4iXBby3GSTKTFiuOCwYY+DRXH3ckq&#10;oNPfZpT/YLpcHN7W6PJbtTILpV77Xf4BIlAXnuH/9lorSFN4fI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sW8MAAADbAAAADwAAAAAAAAAAAAAAAACYAgAAZHJzL2Rv&#10;d25yZXYueG1sUEsFBgAAAAAEAAQA9QAAAIgDAAAAAA==&#10;" path="m,1152c72,876,144,600,288,576v144,-24,408,312,576,432c1032,1128,1152,1320,1296,1296v144,-24,288,-264,432,-432c1872,696,1992,336,2160,288v168,-48,360,168,576,288c2952,696,3264,1032,3456,1008v192,-24,288,-408,432,-576c4032,264,4176,132,4320,e" filled="f">
                  <v:path arrowok="t" o:connecttype="custom" o:connectlocs="0,1225;282,613;847,1072;1271,1378;1694,919;2118,306;2682,613;3388,1072;3812,459;4235,0" o:connectangles="0,0,0,0,0,0,0,0,0,0"/>
                </v:shape>
                <v:line id="Line 27" o:spid="_x0000_s1035" style="position:absolute;flip:x;visibility:visible;mso-wrap-style:square" from="2970,4927" to="3535,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28" o:spid="_x0000_s1036" style="position:absolute;flip:x y;visibility:visible;mso-wrap-style:square" from="3958,5999" to="4946,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EwMQAAADbAAAADwAAAGRycy9kb3ducmV2LnhtbESPQWvCQBSE7wX/w/IEb3VjR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TAxAAAANsAAAAPAAAAAAAAAAAA&#10;AAAAAKECAABkcnMvZG93bnJldi54bWxQSwUGAAAAAAQABAD5AAAAkgMAAAAA&#10;">
                  <v:stroke endarrow="block"/>
                </v:line>
                <v:shape id="Text Box 29" o:spid="_x0000_s1037" type="#_x0000_t202" style="position:absolute;left:3394;top:4774;width:765;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35254" w:rsidRDefault="00A35254" w:rsidP="009B0BC5">
                        <w:pPr>
                          <w:autoSpaceDE w:val="0"/>
                          <w:autoSpaceDN w:val="0"/>
                          <w:adjustRightInd w:val="0"/>
                          <w:rPr>
                            <w:b/>
                            <w:bCs/>
                            <w:color w:val="000000"/>
                            <w:szCs w:val="48"/>
                            <w:vertAlign w:val="subscript"/>
                          </w:rPr>
                        </w:pPr>
                        <w:r>
                          <w:rPr>
                            <w:b/>
                            <w:bCs/>
                            <w:color w:val="000000"/>
                            <w:szCs w:val="48"/>
                          </w:rPr>
                          <w:t>VP</w:t>
                        </w:r>
                        <w:r>
                          <w:rPr>
                            <w:b/>
                            <w:bCs/>
                            <w:color w:val="000000"/>
                            <w:szCs w:val="48"/>
                            <w:vertAlign w:val="subscript"/>
                          </w:rPr>
                          <w:t>C</w:t>
                        </w:r>
                      </w:p>
                    </w:txbxContent>
                  </v:textbox>
                </v:shape>
                <v:shape id="Text Box 30" o:spid="_x0000_s1038" type="#_x0000_t202" style="position:absolute;left:4805;top:5999;width:87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A35254" w:rsidRDefault="00A35254" w:rsidP="009B0BC5">
                        <w:pPr>
                          <w:autoSpaceDE w:val="0"/>
                          <w:autoSpaceDN w:val="0"/>
                          <w:adjustRightInd w:val="0"/>
                          <w:rPr>
                            <w:b/>
                            <w:bCs/>
                            <w:color w:val="000000"/>
                            <w:szCs w:val="48"/>
                            <w:vertAlign w:val="subscript"/>
                          </w:rPr>
                        </w:pPr>
                        <w:r>
                          <w:rPr>
                            <w:b/>
                            <w:bCs/>
                            <w:color w:val="000000"/>
                            <w:szCs w:val="48"/>
                          </w:rPr>
                          <w:t>VD</w:t>
                        </w:r>
                        <w:r>
                          <w:rPr>
                            <w:b/>
                            <w:bCs/>
                            <w:color w:val="000000"/>
                            <w:szCs w:val="48"/>
                            <w:vertAlign w:val="subscript"/>
                          </w:rPr>
                          <w:t>C</w:t>
                        </w:r>
                      </w:p>
                    </w:txbxContent>
                  </v:textbox>
                </v:shape>
              </v:group>
            </w:pict>
          </mc:Fallback>
        </mc:AlternateContent>
      </w:r>
    </w:p>
    <w:p w:rsidR="00A35254" w:rsidRPr="009B0BC5" w:rsidRDefault="00A35254" w:rsidP="009B0BC5">
      <w:pPr>
        <w:jc w:val="center"/>
        <w:rPr>
          <w:rFonts w:ascii="Garamond" w:hAnsi="Garamond" w:cs="Arial"/>
          <w:sz w:val="28"/>
          <w:szCs w:val="28"/>
        </w:rPr>
      </w:pPr>
    </w:p>
    <w:p w:rsidR="00A35254" w:rsidRPr="009B0BC5" w:rsidRDefault="00A35254" w:rsidP="009B0BC5">
      <w:pPr>
        <w:rPr>
          <w:rFonts w:ascii="Garamond" w:hAnsi="Garamond" w:cs="Arial"/>
          <w:sz w:val="28"/>
          <w:szCs w:val="28"/>
        </w:rPr>
      </w:pPr>
    </w:p>
    <w:p w:rsidR="00A35254" w:rsidRPr="009B0BC5" w:rsidRDefault="00A35254" w:rsidP="009B0BC5">
      <w:pPr>
        <w:rPr>
          <w:rFonts w:ascii="Garamond" w:hAnsi="Garamond" w:cs="Arial"/>
          <w:sz w:val="28"/>
          <w:szCs w:val="28"/>
        </w:rPr>
      </w:pPr>
    </w:p>
    <w:p w:rsidR="00A35254" w:rsidRPr="009B0BC5" w:rsidRDefault="00A35254" w:rsidP="009B0BC5">
      <w:pPr>
        <w:rPr>
          <w:rFonts w:ascii="Garamond" w:hAnsi="Garamond" w:cs="Arial"/>
          <w:sz w:val="28"/>
          <w:szCs w:val="28"/>
        </w:rPr>
      </w:pPr>
    </w:p>
    <w:p w:rsidR="00A35254" w:rsidRPr="009B0BC5" w:rsidRDefault="00A35254" w:rsidP="0075795F">
      <w:pPr>
        <w:spacing w:after="0"/>
        <w:jc w:val="right"/>
        <w:rPr>
          <w:rFonts w:ascii="Garamond" w:hAnsi="Garamond" w:cs="Arial"/>
          <w:sz w:val="28"/>
          <w:szCs w:val="28"/>
        </w:rPr>
      </w:pPr>
    </w:p>
    <w:p w:rsidR="00A35254" w:rsidRPr="0075795F" w:rsidRDefault="00A35254" w:rsidP="0075795F">
      <w:pPr>
        <w:ind w:left="360"/>
        <w:rPr>
          <w:rFonts w:ascii="Garamond" w:hAnsi="Garamond"/>
          <w:sz w:val="24"/>
          <w:szCs w:val="24"/>
        </w:rPr>
      </w:pPr>
      <w:r>
        <w:rPr>
          <w:rFonts w:ascii="Garamond" w:hAnsi="Garamond"/>
          <w:sz w:val="24"/>
          <w:szCs w:val="24"/>
        </w:rPr>
        <w:t>Zdroj: vlastní zpracování</w:t>
      </w:r>
    </w:p>
    <w:p w:rsidR="00A35254" w:rsidRPr="009B0BC5" w:rsidRDefault="00A35254" w:rsidP="00B76FA1">
      <w:pPr>
        <w:pStyle w:val="Odstavecseseznamem"/>
        <w:numPr>
          <w:ilvl w:val="0"/>
          <w:numId w:val="2"/>
        </w:numPr>
        <w:rPr>
          <w:rFonts w:ascii="Garamond" w:hAnsi="Garamond"/>
          <w:sz w:val="24"/>
          <w:szCs w:val="24"/>
        </w:rPr>
      </w:pPr>
      <w:r w:rsidRPr="009B0BC5">
        <w:rPr>
          <w:rFonts w:ascii="Garamond" w:hAnsi="Garamond"/>
          <w:sz w:val="24"/>
          <w:szCs w:val="24"/>
        </w:rPr>
        <w:t>Jak ovlivňuje produkční mezera veřejné výdaje a veřejné příjmy?</w:t>
      </w:r>
    </w:p>
    <w:p w:rsidR="00A35254" w:rsidRPr="009B0BC5" w:rsidRDefault="00A35254" w:rsidP="00B76FA1">
      <w:pPr>
        <w:pStyle w:val="Odstavecseseznamem"/>
        <w:numPr>
          <w:ilvl w:val="0"/>
          <w:numId w:val="2"/>
        </w:numPr>
        <w:rPr>
          <w:rFonts w:ascii="Garamond" w:hAnsi="Garamond"/>
          <w:sz w:val="24"/>
          <w:szCs w:val="24"/>
        </w:rPr>
      </w:pPr>
      <w:r w:rsidRPr="009B0BC5">
        <w:rPr>
          <w:rFonts w:ascii="Garamond" w:hAnsi="Garamond"/>
          <w:sz w:val="24"/>
          <w:szCs w:val="24"/>
        </w:rPr>
        <w:t>Negativní krátkodobou FN – deficit – lze rozdělit na dvě složky:</w:t>
      </w:r>
    </w:p>
    <w:p w:rsidR="00A35254" w:rsidRPr="009B0BC5" w:rsidRDefault="00A35254" w:rsidP="00B76FA1">
      <w:pPr>
        <w:pStyle w:val="Odstavecseseznamem"/>
        <w:numPr>
          <w:ilvl w:val="2"/>
          <w:numId w:val="2"/>
        </w:numPr>
        <w:rPr>
          <w:rFonts w:ascii="Garamond" w:hAnsi="Garamond"/>
          <w:sz w:val="24"/>
          <w:szCs w:val="24"/>
        </w:rPr>
      </w:pPr>
      <w:r w:rsidRPr="009B0BC5">
        <w:rPr>
          <w:rFonts w:ascii="Garamond" w:hAnsi="Garamond"/>
          <w:sz w:val="24"/>
          <w:szCs w:val="24"/>
        </w:rPr>
        <w:t>Pasivní (</w:t>
      </w:r>
      <w:proofErr w:type="gramStart"/>
      <w:r w:rsidRPr="009B0BC5">
        <w:rPr>
          <w:rFonts w:ascii="Garamond" w:hAnsi="Garamond"/>
          <w:sz w:val="24"/>
          <w:szCs w:val="24"/>
        </w:rPr>
        <w:t xml:space="preserve">Cyklický) .................. </w:t>
      </w:r>
      <w:proofErr w:type="spellStart"/>
      <w:r w:rsidRPr="009B0BC5">
        <w:rPr>
          <w:rFonts w:ascii="Garamond" w:hAnsi="Garamond"/>
          <w:b/>
          <w:sz w:val="24"/>
          <w:szCs w:val="24"/>
        </w:rPr>
        <w:t>vd</w:t>
      </w:r>
      <w:r w:rsidRPr="009B0BC5">
        <w:rPr>
          <w:rFonts w:ascii="Garamond" w:hAnsi="Garamond"/>
          <w:b/>
          <w:sz w:val="24"/>
          <w:szCs w:val="24"/>
          <w:vertAlign w:val="subscript"/>
        </w:rPr>
        <w:t>C</w:t>
      </w:r>
      <w:proofErr w:type="spellEnd"/>
      <w:proofErr w:type="gramEnd"/>
    </w:p>
    <w:p w:rsidR="00A35254" w:rsidRPr="009B0BC5" w:rsidRDefault="00A35254" w:rsidP="00B76FA1">
      <w:pPr>
        <w:pStyle w:val="Odstavecseseznamem"/>
        <w:numPr>
          <w:ilvl w:val="2"/>
          <w:numId w:val="2"/>
        </w:numPr>
        <w:rPr>
          <w:rFonts w:ascii="Garamond" w:hAnsi="Garamond"/>
          <w:sz w:val="24"/>
          <w:szCs w:val="24"/>
        </w:rPr>
      </w:pPr>
      <w:r w:rsidRPr="009B0BC5">
        <w:rPr>
          <w:rFonts w:ascii="Garamond" w:hAnsi="Garamond"/>
          <w:sz w:val="24"/>
          <w:szCs w:val="24"/>
        </w:rPr>
        <w:t>Aktivní (</w:t>
      </w:r>
      <w:proofErr w:type="gramStart"/>
      <w:r w:rsidRPr="009B0BC5">
        <w:rPr>
          <w:rFonts w:ascii="Garamond" w:hAnsi="Garamond"/>
          <w:sz w:val="24"/>
          <w:szCs w:val="24"/>
        </w:rPr>
        <w:t xml:space="preserve">Strukturální) ............. </w:t>
      </w:r>
      <w:proofErr w:type="spellStart"/>
      <w:r w:rsidRPr="009B0BC5">
        <w:rPr>
          <w:rFonts w:ascii="Garamond" w:hAnsi="Garamond"/>
          <w:b/>
          <w:sz w:val="24"/>
          <w:szCs w:val="24"/>
        </w:rPr>
        <w:t>vd</w:t>
      </w:r>
      <w:r w:rsidRPr="009B0BC5">
        <w:rPr>
          <w:rFonts w:ascii="Garamond" w:hAnsi="Garamond"/>
          <w:b/>
          <w:sz w:val="24"/>
          <w:szCs w:val="24"/>
          <w:vertAlign w:val="subscript"/>
        </w:rPr>
        <w:t>S</w:t>
      </w:r>
      <w:proofErr w:type="spellEnd"/>
      <w:proofErr w:type="gramEnd"/>
    </w:p>
    <w:p w:rsidR="00A35254" w:rsidRPr="009B0BC5" w:rsidRDefault="00A35254" w:rsidP="00B76FA1">
      <w:pPr>
        <w:pStyle w:val="Odstavecseseznamem"/>
        <w:numPr>
          <w:ilvl w:val="0"/>
          <w:numId w:val="2"/>
        </w:numPr>
        <w:rPr>
          <w:rFonts w:ascii="Garamond" w:hAnsi="Garamond"/>
          <w:sz w:val="24"/>
          <w:szCs w:val="24"/>
        </w:rPr>
      </w:pPr>
      <w:r w:rsidRPr="009B0BC5">
        <w:rPr>
          <w:rFonts w:ascii="Garamond" w:hAnsi="Garamond"/>
          <w:sz w:val="24"/>
          <w:szCs w:val="24"/>
        </w:rPr>
        <w:t>V čem se uvedené složky liší? Uveďte příklady z obou složek.</w:t>
      </w:r>
    </w:p>
    <w:p w:rsidR="00A35254" w:rsidRDefault="00A35254" w:rsidP="00B76FA1">
      <w:pPr>
        <w:pStyle w:val="Odstavecseseznamem"/>
        <w:numPr>
          <w:ilvl w:val="0"/>
          <w:numId w:val="2"/>
        </w:numPr>
        <w:rPr>
          <w:rFonts w:ascii="Garamond" w:hAnsi="Garamond"/>
          <w:sz w:val="24"/>
          <w:szCs w:val="24"/>
        </w:rPr>
      </w:pPr>
      <w:r w:rsidRPr="009B0BC5">
        <w:rPr>
          <w:rFonts w:ascii="Garamond" w:hAnsi="Garamond"/>
          <w:sz w:val="24"/>
          <w:szCs w:val="24"/>
        </w:rPr>
        <w:lastRenderedPageBreak/>
        <w:t>V tabulce č. 1.2 vidíte rozložení salda vládního sektoru na jednotlivé složky, lze z uvedené tabulky něco vyvodit, analyzovat?</w:t>
      </w:r>
    </w:p>
    <w:p w:rsidR="00A35254" w:rsidRDefault="001B3D72" w:rsidP="009B0BC5">
      <w:pPr>
        <w:pStyle w:val="Odstavecseseznamem"/>
        <w:ind w:left="0"/>
        <w:rPr>
          <w:rFonts w:ascii="Garamond" w:hAnsi="Garamond"/>
          <w:noProof/>
          <w:sz w:val="24"/>
          <w:szCs w:val="24"/>
          <w:lang w:eastAsia="cs-CZ"/>
        </w:rPr>
      </w:pPr>
      <w:r>
        <w:rPr>
          <w:rFonts w:ascii="Garamond" w:hAnsi="Garamond"/>
          <w:noProof/>
          <w:sz w:val="24"/>
          <w:szCs w:val="24"/>
          <w:lang w:eastAsia="cs-CZ"/>
        </w:rPr>
        <w:drawing>
          <wp:inline distT="0" distB="0" distL="0" distR="0">
            <wp:extent cx="5900420" cy="236347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420" cy="2363470"/>
                    </a:xfrm>
                    <a:prstGeom prst="rect">
                      <a:avLst/>
                    </a:prstGeom>
                    <a:noFill/>
                    <a:ln>
                      <a:noFill/>
                    </a:ln>
                  </pic:spPr>
                </pic:pic>
              </a:graphicData>
            </a:graphic>
          </wp:inline>
        </w:drawing>
      </w:r>
    </w:p>
    <w:p w:rsidR="00A35254" w:rsidRDefault="001B3D72" w:rsidP="009B0BC5">
      <w:pPr>
        <w:pStyle w:val="Odstavecseseznamem"/>
        <w:ind w:left="0"/>
        <w:rPr>
          <w:rFonts w:ascii="Garamond" w:hAnsi="Garamond"/>
          <w:sz w:val="24"/>
          <w:szCs w:val="24"/>
        </w:rPr>
      </w:pPr>
      <w:r>
        <w:rPr>
          <w:rFonts w:ascii="Garamond" w:hAnsi="Garamond"/>
          <w:sz w:val="24"/>
          <w:szCs w:val="24"/>
        </w:rPr>
        <w:t>Zdroj: MFČR (2015</w:t>
      </w:r>
      <w:r w:rsidR="0073053A">
        <w:rPr>
          <w:rFonts w:ascii="Garamond" w:hAnsi="Garamond"/>
          <w:sz w:val="24"/>
          <w:szCs w:val="24"/>
        </w:rPr>
        <w:t>)</w:t>
      </w:r>
    </w:p>
    <w:p w:rsidR="00A35254" w:rsidRPr="009B0BC5" w:rsidRDefault="00A35254" w:rsidP="009B0BC5">
      <w:pPr>
        <w:pStyle w:val="Odstavecseseznamem"/>
        <w:ind w:left="0"/>
        <w:rPr>
          <w:rFonts w:ascii="Garamond" w:hAnsi="Garamond"/>
          <w:sz w:val="24"/>
          <w:szCs w:val="24"/>
        </w:rPr>
      </w:pPr>
    </w:p>
    <w:p w:rsidR="00A35254" w:rsidRPr="009B0BC5" w:rsidRDefault="00A35254" w:rsidP="00B76FA1">
      <w:pPr>
        <w:pStyle w:val="Odstavecseseznamem"/>
        <w:numPr>
          <w:ilvl w:val="0"/>
          <w:numId w:val="2"/>
        </w:numPr>
        <w:rPr>
          <w:rFonts w:ascii="Garamond" w:hAnsi="Garamond"/>
          <w:sz w:val="24"/>
          <w:szCs w:val="24"/>
        </w:rPr>
      </w:pPr>
      <w:r w:rsidRPr="009B0BC5">
        <w:rPr>
          <w:rFonts w:ascii="Garamond" w:hAnsi="Garamond"/>
          <w:sz w:val="24"/>
          <w:szCs w:val="24"/>
        </w:rPr>
        <w:t>Která země je na tom z hlediska fiskální nerovnováhy hůře a proč?</w:t>
      </w:r>
    </w:p>
    <w:p w:rsidR="00A35254" w:rsidRPr="009B0BC5" w:rsidRDefault="00A35254" w:rsidP="00B76FA1">
      <w:pPr>
        <w:pStyle w:val="Odstavecseseznamem"/>
        <w:numPr>
          <w:ilvl w:val="1"/>
          <w:numId w:val="2"/>
        </w:numPr>
        <w:rPr>
          <w:rFonts w:ascii="Garamond" w:hAnsi="Garamond"/>
          <w:b/>
          <w:sz w:val="24"/>
          <w:szCs w:val="24"/>
        </w:rPr>
      </w:pPr>
      <w:proofErr w:type="spellStart"/>
      <w:r w:rsidRPr="009B0BC5">
        <w:rPr>
          <w:rFonts w:ascii="Garamond" w:hAnsi="Garamond"/>
          <w:b/>
          <w:sz w:val="24"/>
          <w:szCs w:val="24"/>
        </w:rPr>
        <w:t>vd</w:t>
      </w:r>
      <w:proofErr w:type="spellEnd"/>
      <w:r w:rsidRPr="009B0BC5">
        <w:rPr>
          <w:rFonts w:ascii="Garamond" w:hAnsi="Garamond"/>
          <w:b/>
          <w:sz w:val="24"/>
          <w:szCs w:val="24"/>
        </w:rPr>
        <w:t xml:space="preserve"> = </w:t>
      </w:r>
      <w:proofErr w:type="spellStart"/>
      <w:r w:rsidRPr="009B0BC5">
        <w:rPr>
          <w:rFonts w:ascii="Garamond" w:hAnsi="Garamond"/>
          <w:b/>
          <w:sz w:val="24"/>
          <w:szCs w:val="24"/>
        </w:rPr>
        <w:t>vd</w:t>
      </w:r>
      <w:r w:rsidRPr="009B0BC5">
        <w:rPr>
          <w:rFonts w:ascii="Garamond" w:hAnsi="Garamond"/>
          <w:b/>
          <w:sz w:val="24"/>
          <w:szCs w:val="24"/>
          <w:vertAlign w:val="subscript"/>
        </w:rPr>
        <w:t>C</w:t>
      </w:r>
      <w:proofErr w:type="spellEnd"/>
      <w:r w:rsidRPr="009B0BC5">
        <w:rPr>
          <w:rFonts w:ascii="Garamond" w:hAnsi="Garamond"/>
          <w:b/>
          <w:sz w:val="24"/>
          <w:szCs w:val="24"/>
        </w:rPr>
        <w:t xml:space="preserve"> + </w:t>
      </w:r>
      <w:proofErr w:type="spellStart"/>
      <w:r w:rsidRPr="009B0BC5">
        <w:rPr>
          <w:rFonts w:ascii="Garamond" w:hAnsi="Garamond"/>
          <w:b/>
          <w:sz w:val="24"/>
          <w:szCs w:val="24"/>
        </w:rPr>
        <w:t>vd</w:t>
      </w:r>
      <w:r w:rsidRPr="009B0BC5">
        <w:rPr>
          <w:rFonts w:ascii="Garamond" w:hAnsi="Garamond"/>
          <w:b/>
          <w:sz w:val="24"/>
          <w:szCs w:val="24"/>
          <w:vertAlign w:val="subscript"/>
        </w:rPr>
        <w:t>S</w:t>
      </w:r>
      <w:proofErr w:type="spellEnd"/>
    </w:p>
    <w:p w:rsidR="00A35254" w:rsidRDefault="00A35254" w:rsidP="009B0BC5">
      <w:pPr>
        <w:ind w:left="1080"/>
        <w:rPr>
          <w:rFonts w:ascii="Garamond" w:hAnsi="Garamond"/>
          <w:sz w:val="24"/>
          <w:szCs w:val="24"/>
        </w:rPr>
      </w:pPr>
      <w:proofErr w:type="gramStart"/>
      <w:r w:rsidRPr="009B0BC5">
        <w:rPr>
          <w:rFonts w:ascii="Garamond" w:hAnsi="Garamond"/>
          <w:sz w:val="24"/>
          <w:szCs w:val="24"/>
        </w:rPr>
        <w:t>a) -3 =  -3 +  0</w:t>
      </w:r>
      <w:r w:rsidRPr="009B0BC5">
        <w:rPr>
          <w:rFonts w:ascii="Garamond" w:hAnsi="Garamond"/>
          <w:sz w:val="24"/>
          <w:szCs w:val="24"/>
        </w:rPr>
        <w:tab/>
      </w:r>
      <w:r w:rsidRPr="009B0BC5">
        <w:rPr>
          <w:rFonts w:ascii="Garamond" w:hAnsi="Garamond"/>
          <w:sz w:val="24"/>
          <w:szCs w:val="24"/>
        </w:rPr>
        <w:tab/>
        <w:t>b) -3 =   0 + (-3)</w:t>
      </w:r>
      <w:r w:rsidRPr="009B0BC5">
        <w:rPr>
          <w:rFonts w:ascii="Garamond" w:hAnsi="Garamond"/>
          <w:sz w:val="24"/>
          <w:szCs w:val="24"/>
        </w:rPr>
        <w:tab/>
      </w:r>
      <w:r w:rsidRPr="009B0BC5">
        <w:rPr>
          <w:rFonts w:ascii="Garamond" w:hAnsi="Garamond"/>
          <w:sz w:val="24"/>
          <w:szCs w:val="24"/>
        </w:rPr>
        <w:tab/>
        <w:t>c) -3 = +3 + (-6)</w:t>
      </w:r>
      <w:proofErr w:type="gramEnd"/>
    </w:p>
    <w:p w:rsidR="00A35254" w:rsidRPr="009B0BC5" w:rsidRDefault="00A35254" w:rsidP="00191D30">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Deficit a úroky z veřejného dluhu</w:t>
      </w:r>
    </w:p>
    <w:p w:rsidR="00A35254" w:rsidRPr="009B0BC5" w:rsidRDefault="00A35254" w:rsidP="00B76FA1">
      <w:pPr>
        <w:pStyle w:val="Odstavecseseznamem"/>
        <w:numPr>
          <w:ilvl w:val="0"/>
          <w:numId w:val="2"/>
        </w:numPr>
        <w:spacing w:after="0" w:line="240" w:lineRule="auto"/>
        <w:rPr>
          <w:rFonts w:ascii="Garamond" w:hAnsi="Garamond"/>
          <w:sz w:val="24"/>
          <w:szCs w:val="24"/>
        </w:rPr>
      </w:pPr>
      <w:r w:rsidRPr="009B0BC5">
        <w:rPr>
          <w:rFonts w:ascii="Garamond" w:hAnsi="Garamond"/>
          <w:sz w:val="24"/>
          <w:szCs w:val="24"/>
        </w:rPr>
        <w:t>Vznikne-li dluh</w:t>
      </w:r>
      <w:r>
        <w:rPr>
          <w:rFonts w:ascii="Garamond" w:hAnsi="Garamond"/>
          <w:sz w:val="24"/>
          <w:szCs w:val="24"/>
        </w:rPr>
        <w:t>,</w:t>
      </w:r>
      <w:r w:rsidRPr="009B0BC5">
        <w:rPr>
          <w:rFonts w:ascii="Garamond" w:hAnsi="Garamond"/>
          <w:sz w:val="24"/>
          <w:szCs w:val="24"/>
        </w:rPr>
        <w:t xml:space="preserve"> je nutné platit z něj úroky věřiteli. Existencí dluhu tak vzniká nový výdaj, který je s jeho existencí bezpodmínečně spojen. Absolutní i relativní velikost úroků z dluhu se liší případ od případu (viz. </w:t>
      </w:r>
      <w:proofErr w:type="gramStart"/>
      <w:r w:rsidRPr="009B0BC5">
        <w:rPr>
          <w:rFonts w:ascii="Garamond" w:hAnsi="Garamond"/>
          <w:sz w:val="24"/>
          <w:szCs w:val="24"/>
        </w:rPr>
        <w:t>prezentace</w:t>
      </w:r>
      <w:proofErr w:type="gramEnd"/>
      <w:r w:rsidRPr="009B0BC5">
        <w:rPr>
          <w:rFonts w:ascii="Garamond" w:hAnsi="Garamond"/>
          <w:sz w:val="24"/>
          <w:szCs w:val="24"/>
        </w:rPr>
        <w:t xml:space="preserve"> SP).</w:t>
      </w:r>
    </w:p>
    <w:p w:rsidR="00A35254" w:rsidRPr="009B0BC5" w:rsidRDefault="00A35254" w:rsidP="009B0BC5">
      <w:pPr>
        <w:rPr>
          <w:rFonts w:ascii="Garamond" w:hAnsi="Garamond"/>
          <w:sz w:val="24"/>
          <w:szCs w:val="24"/>
        </w:rPr>
      </w:pPr>
    </w:p>
    <w:p w:rsidR="00A35254" w:rsidRPr="009B0BC5" w:rsidRDefault="005070D6" w:rsidP="009B0BC5">
      <w:pPr>
        <w:rPr>
          <w:rFonts w:ascii="Garamond" w:hAnsi="Garamond"/>
          <w:sz w:val="24"/>
          <w:szCs w:val="24"/>
          <w:vertAlign w:val="subscript"/>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75.65pt;margin-top:17.25pt;width:258pt;height:31pt;z-index:-251657216;mso-wrap-style:none" wrapcoords="2574 2107 0 9483 126 12644 1758 18966 2198 19493 16137 19493 17267 18966 21349 12644 21474 7376 20470 5795 16388 2107 2574 2107" fillcolor="#09c">
            <v:imagedata r:id="rId10" o:title=""/>
            <v:shadow color="#5490a8"/>
            <w10:wrap type="tight"/>
          </v:shape>
          <o:OLEObject Type="Embed" ProgID="Equation.3" ShapeID="_x0000_s1039" DrawAspect="Content" ObjectID="_1509894089" r:id="rId11"/>
        </w:pict>
      </w:r>
      <w:r w:rsidR="00A35254" w:rsidRPr="009B0BC5">
        <w:rPr>
          <w:rFonts w:ascii="Garamond" w:hAnsi="Garamond"/>
          <w:sz w:val="24"/>
          <w:szCs w:val="24"/>
        </w:rPr>
        <w:t>UVD</w:t>
      </w:r>
      <w:r w:rsidR="00A35254" w:rsidRPr="009B0BC5">
        <w:rPr>
          <w:rFonts w:ascii="Garamond" w:hAnsi="Garamond"/>
          <w:sz w:val="24"/>
          <w:szCs w:val="24"/>
          <w:vertAlign w:val="subscript"/>
        </w:rPr>
        <w:t>1</w:t>
      </w:r>
      <w:r w:rsidR="00A35254" w:rsidRPr="009B0BC5">
        <w:rPr>
          <w:rFonts w:ascii="Garamond" w:hAnsi="Garamond"/>
          <w:sz w:val="24"/>
          <w:szCs w:val="24"/>
        </w:rPr>
        <w:t xml:space="preserve"> = r * D</w:t>
      </w:r>
      <w:r w:rsidR="00A35254" w:rsidRPr="009B0BC5">
        <w:rPr>
          <w:rFonts w:ascii="Garamond" w:hAnsi="Garamond"/>
          <w:sz w:val="24"/>
          <w:szCs w:val="24"/>
          <w:vertAlign w:val="subscript"/>
        </w:rPr>
        <w:t>0</w:t>
      </w:r>
    </w:p>
    <w:p w:rsidR="00A35254" w:rsidRPr="009B0BC5" w:rsidRDefault="00A35254" w:rsidP="009B0BC5">
      <w:pPr>
        <w:rPr>
          <w:rFonts w:ascii="Garamond" w:hAnsi="Garamond"/>
          <w:sz w:val="24"/>
          <w:szCs w:val="24"/>
        </w:rPr>
      </w:pPr>
    </w:p>
    <w:p w:rsidR="00A35254" w:rsidRPr="009B0BC5" w:rsidRDefault="00A35254" w:rsidP="009B0BC5">
      <w:pPr>
        <w:spacing w:after="0" w:line="240" w:lineRule="auto"/>
        <w:rPr>
          <w:rFonts w:ascii="Garamond" w:hAnsi="Garamond"/>
          <w:sz w:val="24"/>
          <w:szCs w:val="24"/>
        </w:rPr>
      </w:pPr>
    </w:p>
    <w:p w:rsidR="00A35254" w:rsidRPr="009B0BC5" w:rsidRDefault="00A35254" w:rsidP="00B76FA1">
      <w:pPr>
        <w:pStyle w:val="Odstavecseseznamem"/>
        <w:numPr>
          <w:ilvl w:val="0"/>
          <w:numId w:val="2"/>
        </w:numPr>
        <w:spacing w:after="0" w:line="240" w:lineRule="auto"/>
        <w:rPr>
          <w:rFonts w:ascii="Garamond" w:hAnsi="Garamond"/>
          <w:sz w:val="24"/>
          <w:szCs w:val="24"/>
        </w:rPr>
      </w:pPr>
      <w:r w:rsidRPr="009B0BC5">
        <w:rPr>
          <w:rFonts w:ascii="Garamond" w:hAnsi="Garamond"/>
          <w:sz w:val="24"/>
          <w:szCs w:val="24"/>
        </w:rPr>
        <w:t>Jaké jsou důvody pro toto dělení?</w:t>
      </w:r>
    </w:p>
    <w:p w:rsidR="00A35254" w:rsidRPr="009B0BC5" w:rsidRDefault="00A35254" w:rsidP="00B76FA1">
      <w:pPr>
        <w:pStyle w:val="Odstavecseseznamem"/>
        <w:numPr>
          <w:ilvl w:val="0"/>
          <w:numId w:val="2"/>
        </w:numPr>
        <w:spacing w:after="0" w:line="240" w:lineRule="auto"/>
        <w:rPr>
          <w:rFonts w:ascii="Garamond" w:hAnsi="Garamond"/>
          <w:sz w:val="24"/>
          <w:szCs w:val="24"/>
        </w:rPr>
      </w:pPr>
      <w:r w:rsidRPr="009B0BC5">
        <w:rPr>
          <w:rFonts w:ascii="Garamond" w:hAnsi="Garamond"/>
          <w:sz w:val="24"/>
          <w:szCs w:val="24"/>
        </w:rPr>
        <w:t>V čem jsou podle vás rizika spojená s úroky z veřejného zadlužení?</w:t>
      </w:r>
    </w:p>
    <w:p w:rsidR="00A35254" w:rsidRPr="009B0BC5" w:rsidRDefault="00A35254" w:rsidP="00B76FA1">
      <w:pPr>
        <w:pStyle w:val="Odstavecseseznamem"/>
        <w:numPr>
          <w:ilvl w:val="0"/>
          <w:numId w:val="2"/>
        </w:numPr>
        <w:spacing w:after="0" w:line="240" w:lineRule="auto"/>
        <w:rPr>
          <w:rFonts w:ascii="Garamond" w:hAnsi="Garamond"/>
          <w:sz w:val="24"/>
          <w:szCs w:val="24"/>
        </w:rPr>
      </w:pPr>
      <w:r w:rsidRPr="009B0BC5">
        <w:rPr>
          <w:rFonts w:ascii="Garamond" w:hAnsi="Garamond"/>
          <w:sz w:val="24"/>
          <w:szCs w:val="24"/>
        </w:rPr>
        <w:t>Která země je na tom z hlediska fiskální nerovnováhy hůře a proč?</w:t>
      </w:r>
    </w:p>
    <w:p w:rsidR="00A35254" w:rsidRPr="009B0BC5" w:rsidRDefault="00A35254" w:rsidP="00B76FA1">
      <w:pPr>
        <w:pStyle w:val="Odstavecseseznamem"/>
        <w:numPr>
          <w:ilvl w:val="1"/>
          <w:numId w:val="2"/>
        </w:numPr>
        <w:spacing w:after="240" w:line="240" w:lineRule="auto"/>
        <w:ind w:left="1434" w:hanging="357"/>
        <w:rPr>
          <w:rFonts w:ascii="Garamond" w:hAnsi="Garamond"/>
          <w:b/>
          <w:sz w:val="24"/>
          <w:szCs w:val="24"/>
        </w:rPr>
      </w:pPr>
      <w:proofErr w:type="spellStart"/>
      <w:r w:rsidRPr="009B0BC5">
        <w:rPr>
          <w:rFonts w:ascii="Garamond" w:hAnsi="Garamond"/>
          <w:b/>
          <w:sz w:val="24"/>
          <w:szCs w:val="24"/>
        </w:rPr>
        <w:t>vd</w:t>
      </w:r>
      <w:proofErr w:type="spellEnd"/>
      <w:r w:rsidRPr="009B0BC5">
        <w:rPr>
          <w:rFonts w:ascii="Garamond" w:hAnsi="Garamond"/>
          <w:b/>
          <w:sz w:val="24"/>
          <w:szCs w:val="24"/>
        </w:rPr>
        <w:t xml:space="preserve"> = </w:t>
      </w:r>
      <w:proofErr w:type="spellStart"/>
      <w:r w:rsidRPr="009B0BC5">
        <w:rPr>
          <w:rFonts w:ascii="Garamond" w:hAnsi="Garamond"/>
          <w:b/>
          <w:sz w:val="24"/>
          <w:szCs w:val="24"/>
        </w:rPr>
        <w:t>pd</w:t>
      </w:r>
      <w:proofErr w:type="spellEnd"/>
      <w:r w:rsidRPr="009B0BC5">
        <w:rPr>
          <w:rFonts w:ascii="Garamond" w:hAnsi="Garamond"/>
          <w:b/>
          <w:sz w:val="24"/>
          <w:szCs w:val="24"/>
        </w:rPr>
        <w:t xml:space="preserve"> + </w:t>
      </w:r>
      <w:proofErr w:type="spellStart"/>
      <w:r w:rsidRPr="009B0BC5">
        <w:rPr>
          <w:rFonts w:ascii="Garamond" w:hAnsi="Garamond"/>
          <w:b/>
          <w:sz w:val="24"/>
          <w:szCs w:val="24"/>
        </w:rPr>
        <w:t>uvd</w:t>
      </w:r>
      <w:proofErr w:type="spellEnd"/>
    </w:p>
    <w:p w:rsidR="00A35254" w:rsidRDefault="00A35254" w:rsidP="009B0BC5">
      <w:pPr>
        <w:ind w:firstLine="708"/>
        <w:rPr>
          <w:rFonts w:ascii="Garamond" w:hAnsi="Garamond"/>
          <w:sz w:val="24"/>
          <w:szCs w:val="24"/>
        </w:rPr>
      </w:pPr>
      <w:proofErr w:type="gramStart"/>
      <w:r w:rsidRPr="009B0BC5">
        <w:rPr>
          <w:rFonts w:ascii="Garamond" w:hAnsi="Garamond"/>
          <w:sz w:val="24"/>
          <w:szCs w:val="24"/>
        </w:rPr>
        <w:t>-3 =  -3 +  0</w:t>
      </w:r>
      <w:r w:rsidRPr="009B0BC5">
        <w:rPr>
          <w:rFonts w:ascii="Garamond" w:hAnsi="Garamond"/>
          <w:sz w:val="24"/>
          <w:szCs w:val="24"/>
        </w:rPr>
        <w:tab/>
      </w:r>
      <w:r w:rsidRPr="009B0BC5">
        <w:rPr>
          <w:rFonts w:ascii="Garamond" w:hAnsi="Garamond"/>
          <w:sz w:val="24"/>
          <w:szCs w:val="24"/>
        </w:rPr>
        <w:tab/>
        <w:t>-3 =   0 + (-3)</w:t>
      </w:r>
      <w:r w:rsidRPr="009B0BC5">
        <w:rPr>
          <w:rFonts w:ascii="Garamond" w:hAnsi="Garamond"/>
          <w:sz w:val="24"/>
          <w:szCs w:val="24"/>
        </w:rPr>
        <w:tab/>
      </w:r>
      <w:r w:rsidRPr="009B0BC5">
        <w:rPr>
          <w:rFonts w:ascii="Garamond" w:hAnsi="Garamond"/>
          <w:sz w:val="24"/>
          <w:szCs w:val="24"/>
        </w:rPr>
        <w:tab/>
        <w:t>-3 = +3 + (-6)</w:t>
      </w:r>
      <w:proofErr w:type="gramEnd"/>
    </w:p>
    <w:p w:rsidR="00A35254" w:rsidRPr="009B0BC5" w:rsidRDefault="00A35254" w:rsidP="00191D30">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 xml:space="preserve">Seminární práce: </w:t>
      </w:r>
      <w:r w:rsidRPr="009B0BC5">
        <w:rPr>
          <w:rFonts w:ascii="Garamond" w:hAnsi="Garamond" w:cs="Arial"/>
          <w:b/>
          <w:color w:val="FF0000"/>
          <w:sz w:val="28"/>
          <w:szCs w:val="24"/>
        </w:rPr>
        <w:t>Úroky z veřejného dluhu jako faktor veřejného zadlužení</w:t>
      </w:r>
    </w:p>
    <w:p w:rsidR="00A35254" w:rsidRPr="009B0BC5" w:rsidRDefault="00A35254" w:rsidP="009B0BC5">
      <w:pPr>
        <w:pStyle w:val="StylVlevo063cm"/>
        <w:spacing w:before="0" w:after="0" w:line="276" w:lineRule="auto"/>
        <w:ind w:left="714"/>
        <w:rPr>
          <w:rFonts w:ascii="Garamond" w:hAnsi="Garamond"/>
        </w:rPr>
      </w:pPr>
      <w:r w:rsidRPr="009B0BC5">
        <w:rPr>
          <w:rFonts w:ascii="Garamond" w:hAnsi="Garamond"/>
        </w:rPr>
        <w:t>popište vzájemnou vazbu mezi úrokem z veřejného dluhu a veřejným zadlužením</w:t>
      </w:r>
    </w:p>
    <w:p w:rsidR="00A35254" w:rsidRPr="009B0BC5" w:rsidRDefault="00A35254" w:rsidP="009B0BC5">
      <w:pPr>
        <w:pStyle w:val="StylVlevo063cm"/>
        <w:spacing w:before="0" w:after="0" w:line="276" w:lineRule="auto"/>
        <w:ind w:left="714"/>
        <w:rPr>
          <w:rFonts w:ascii="Garamond" w:hAnsi="Garamond"/>
        </w:rPr>
      </w:pPr>
      <w:r w:rsidRPr="009B0BC5">
        <w:rPr>
          <w:rFonts w:ascii="Garamond" w:hAnsi="Garamond"/>
        </w:rPr>
        <w:t>diskutujte, v čem se státní zadlužování liší od zadlužování soukromých firem</w:t>
      </w:r>
    </w:p>
    <w:p w:rsidR="00A35254" w:rsidRPr="009B0BC5" w:rsidRDefault="00A35254" w:rsidP="009B0BC5">
      <w:pPr>
        <w:pStyle w:val="StylVlevo063cm"/>
        <w:spacing w:before="0" w:after="0" w:line="276" w:lineRule="auto"/>
        <w:ind w:left="714"/>
        <w:rPr>
          <w:rFonts w:ascii="Garamond" w:hAnsi="Garamond"/>
        </w:rPr>
      </w:pPr>
      <w:r w:rsidRPr="009B0BC5">
        <w:rPr>
          <w:rFonts w:ascii="Garamond" w:hAnsi="Garamond"/>
        </w:rPr>
        <w:t>představte vývoj úroků z veřejného dluhu v ČR, jaký podíl (COFOG) dosahují v ČR ve srovnání s ostatními zeměmi</w:t>
      </w:r>
    </w:p>
    <w:p w:rsidR="00A35254" w:rsidRDefault="00A35254" w:rsidP="009B0BC5">
      <w:pPr>
        <w:pStyle w:val="StylVlevo063cm"/>
        <w:spacing w:before="0" w:after="0" w:line="276" w:lineRule="auto"/>
        <w:ind w:left="714"/>
        <w:rPr>
          <w:rFonts w:ascii="Garamond" w:hAnsi="Garamond"/>
        </w:rPr>
      </w:pPr>
      <w:r w:rsidRPr="009B0BC5">
        <w:rPr>
          <w:rFonts w:ascii="Garamond" w:hAnsi="Garamond"/>
        </w:rPr>
        <w:lastRenderedPageBreak/>
        <w:t xml:space="preserve">popište, jak utvářen úrok z veřejného dluhu a jaké faktory mají vliv na jeho výši (stav veřejných financí, situace na trhu…), včetně návrhu opatření na snížení úrokových nákladů </w:t>
      </w:r>
    </w:p>
    <w:p w:rsidR="00A35254" w:rsidRPr="00191D30" w:rsidRDefault="00A35254" w:rsidP="00191D30">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Dluh</w:t>
      </w:r>
    </w:p>
    <w:p w:rsidR="00A35254" w:rsidRPr="009B0BC5" w:rsidRDefault="00A35254" w:rsidP="00B76FA1">
      <w:pPr>
        <w:pStyle w:val="Odstavecseseznamem"/>
        <w:numPr>
          <w:ilvl w:val="0"/>
          <w:numId w:val="3"/>
        </w:numPr>
        <w:rPr>
          <w:rFonts w:ascii="Garamond" w:hAnsi="Garamond"/>
          <w:sz w:val="24"/>
          <w:szCs w:val="24"/>
        </w:rPr>
      </w:pPr>
      <w:r w:rsidRPr="009B0BC5">
        <w:rPr>
          <w:rFonts w:ascii="Garamond" w:hAnsi="Garamond"/>
          <w:sz w:val="24"/>
          <w:szCs w:val="24"/>
        </w:rPr>
        <w:t>Dlouhodobá fiskální nerovnováha</w:t>
      </w:r>
    </w:p>
    <w:p w:rsidR="00A35254" w:rsidRPr="009B0BC5" w:rsidRDefault="00A35254" w:rsidP="00B76FA1">
      <w:pPr>
        <w:pStyle w:val="Odstavecseseznamem"/>
        <w:numPr>
          <w:ilvl w:val="0"/>
          <w:numId w:val="3"/>
        </w:numPr>
        <w:rPr>
          <w:rFonts w:ascii="Garamond" w:hAnsi="Garamond"/>
          <w:sz w:val="24"/>
          <w:szCs w:val="24"/>
        </w:rPr>
      </w:pPr>
      <w:r w:rsidRPr="009B0BC5">
        <w:rPr>
          <w:rFonts w:ascii="Garamond" w:hAnsi="Garamond"/>
          <w:sz w:val="24"/>
          <w:szCs w:val="24"/>
        </w:rPr>
        <w:t>Vztah mezi výší dluhu, úroky z veřejného dluhu a primárním deficitem:</w:t>
      </w:r>
    </w:p>
    <w:p w:rsidR="00A35254" w:rsidRPr="009B0BC5" w:rsidRDefault="005070D6" w:rsidP="009B0BC5">
      <w:pPr>
        <w:ind w:left="360"/>
        <w:rPr>
          <w:rFonts w:ascii="Garamond" w:hAnsi="Garamond"/>
          <w:sz w:val="24"/>
          <w:szCs w:val="24"/>
          <w:vertAlign w:val="subscript"/>
        </w:rPr>
      </w:pPr>
      <w:r>
        <w:rPr>
          <w:noProof/>
          <w:lang w:eastAsia="cs-CZ"/>
        </w:rPr>
        <w:pict>
          <v:shape id="_x0000_s1040" type="#_x0000_t75" style="position:absolute;left:0;text-align:left;margin-left:17.3pt;margin-top:27.65pt;width:90pt;height:28.2pt;z-index:251660288;mso-wrap-style:none" fillcolor="#09c">
            <v:imagedata r:id="rId12" o:title=""/>
            <v:shadow color="#5490a8"/>
            <w10:wrap type="topAndBottom"/>
          </v:shape>
          <o:OLEObject Type="Embed" ProgID="Equation.3" ShapeID="_x0000_s1040" DrawAspect="Content" ObjectID="_1509894090" r:id="rId13"/>
        </w:pict>
      </w:r>
      <w:r>
        <w:rPr>
          <w:noProof/>
          <w:lang w:eastAsia="cs-CZ"/>
        </w:rPr>
        <w:pict>
          <v:shape id="_x0000_s1041" type="#_x0000_t75" style="position:absolute;left:0;text-align:left;margin-left:96.85pt;margin-top:71.1pt;width:260pt;height:35pt;z-index:251661312;mso-wrap-style:none" fillcolor="#09c">
            <v:imagedata r:id="rId14" o:title=""/>
            <v:shadow color="#5490a8"/>
            <w10:wrap type="topAndBottom"/>
          </v:shape>
          <o:OLEObject Type="Embed" ProgID="Equation.3" ShapeID="_x0000_s1041" DrawAspect="Content" ObjectID="_1509894091" r:id="rId15"/>
        </w:pict>
      </w:r>
      <w:r w:rsidR="00A35254" w:rsidRPr="009B0BC5">
        <w:rPr>
          <w:rFonts w:ascii="Garamond" w:hAnsi="Garamond"/>
          <w:sz w:val="24"/>
          <w:szCs w:val="24"/>
        </w:rPr>
        <w:t>D</w:t>
      </w:r>
      <w:r w:rsidR="00A35254" w:rsidRPr="009B0BC5">
        <w:rPr>
          <w:rFonts w:ascii="Garamond" w:hAnsi="Garamond"/>
          <w:sz w:val="24"/>
          <w:szCs w:val="24"/>
          <w:vertAlign w:val="subscript"/>
        </w:rPr>
        <w:t>1</w:t>
      </w:r>
      <w:r w:rsidR="00A35254" w:rsidRPr="009B0BC5">
        <w:rPr>
          <w:rFonts w:ascii="Garamond" w:hAnsi="Garamond"/>
          <w:sz w:val="24"/>
          <w:szCs w:val="24"/>
        </w:rPr>
        <w:t xml:space="preserve"> = D</w:t>
      </w:r>
      <w:r w:rsidR="00A35254" w:rsidRPr="009B0BC5">
        <w:rPr>
          <w:rFonts w:ascii="Garamond" w:hAnsi="Garamond"/>
          <w:sz w:val="24"/>
          <w:szCs w:val="24"/>
          <w:vertAlign w:val="subscript"/>
        </w:rPr>
        <w:t>0</w:t>
      </w:r>
      <w:r w:rsidR="00A35254" w:rsidRPr="009B0BC5">
        <w:rPr>
          <w:rFonts w:ascii="Garamond" w:hAnsi="Garamond"/>
          <w:sz w:val="24"/>
          <w:szCs w:val="24"/>
        </w:rPr>
        <w:t xml:space="preserve"> + VD</w:t>
      </w:r>
      <w:r w:rsidR="00A35254" w:rsidRPr="009B0BC5">
        <w:rPr>
          <w:rFonts w:ascii="Garamond" w:hAnsi="Garamond"/>
          <w:sz w:val="24"/>
          <w:szCs w:val="24"/>
          <w:vertAlign w:val="subscript"/>
        </w:rPr>
        <w:t>1</w:t>
      </w:r>
      <w:r w:rsidR="00A35254" w:rsidRPr="009B0BC5">
        <w:rPr>
          <w:rFonts w:ascii="Garamond" w:hAnsi="Garamond"/>
          <w:sz w:val="24"/>
          <w:szCs w:val="24"/>
          <w:vertAlign w:val="subscript"/>
        </w:rPr>
        <w:tab/>
      </w:r>
      <w:r w:rsidR="00A35254" w:rsidRPr="009B0BC5">
        <w:rPr>
          <w:rFonts w:ascii="Garamond" w:hAnsi="Garamond"/>
          <w:sz w:val="24"/>
          <w:szCs w:val="24"/>
          <w:vertAlign w:val="subscript"/>
        </w:rPr>
        <w:tab/>
      </w:r>
      <w:r w:rsidR="00A35254" w:rsidRPr="009B0BC5">
        <w:rPr>
          <w:rFonts w:ascii="Garamond" w:hAnsi="Garamond"/>
          <w:sz w:val="24"/>
          <w:szCs w:val="24"/>
        </w:rPr>
        <w:t>HDP</w:t>
      </w:r>
      <w:r w:rsidR="00A35254" w:rsidRPr="009B0BC5">
        <w:rPr>
          <w:rFonts w:ascii="Garamond" w:hAnsi="Garamond"/>
          <w:sz w:val="24"/>
          <w:szCs w:val="24"/>
          <w:vertAlign w:val="subscript"/>
        </w:rPr>
        <w:t>1</w:t>
      </w:r>
      <w:r w:rsidR="00A35254" w:rsidRPr="009B0BC5">
        <w:rPr>
          <w:rFonts w:ascii="Garamond" w:hAnsi="Garamond"/>
          <w:sz w:val="24"/>
          <w:szCs w:val="24"/>
        </w:rPr>
        <w:t xml:space="preserve"> = HDP</w:t>
      </w:r>
      <w:r w:rsidR="00A35254" w:rsidRPr="009B0BC5">
        <w:rPr>
          <w:rFonts w:ascii="Garamond" w:hAnsi="Garamond"/>
          <w:sz w:val="24"/>
          <w:szCs w:val="24"/>
          <w:vertAlign w:val="subscript"/>
        </w:rPr>
        <w:t>0</w:t>
      </w:r>
      <w:r w:rsidR="00A35254" w:rsidRPr="009B0BC5">
        <w:rPr>
          <w:rFonts w:ascii="Garamond" w:hAnsi="Garamond"/>
          <w:sz w:val="24"/>
          <w:szCs w:val="24"/>
        </w:rPr>
        <w:t xml:space="preserve"> * (1+y)</w:t>
      </w:r>
    </w:p>
    <w:p w:rsidR="00A35254" w:rsidRPr="009B0BC5" w:rsidRDefault="00A35254" w:rsidP="009B0BC5">
      <w:pPr>
        <w:pStyle w:val="Odstavecseseznamem"/>
        <w:ind w:left="0"/>
        <w:rPr>
          <w:rFonts w:ascii="Garamond" w:hAnsi="Garamond"/>
          <w:sz w:val="24"/>
          <w:szCs w:val="24"/>
        </w:rPr>
      </w:pPr>
    </w:p>
    <w:p w:rsidR="00A35254" w:rsidRPr="00FF3F2F" w:rsidRDefault="00A35254" w:rsidP="00C66C17">
      <w:pPr>
        <w:pStyle w:val="Odstavecseseznamem"/>
        <w:numPr>
          <w:ilvl w:val="0"/>
          <w:numId w:val="3"/>
        </w:numPr>
        <w:rPr>
          <w:rFonts w:ascii="Garamond" w:hAnsi="Garamond" w:cs="Arial"/>
          <w:b/>
          <w:sz w:val="28"/>
          <w:szCs w:val="28"/>
        </w:rPr>
      </w:pPr>
      <w:r w:rsidRPr="009B0BC5">
        <w:rPr>
          <w:rFonts w:ascii="Garamond" w:hAnsi="Garamond"/>
          <w:sz w:val="24"/>
          <w:szCs w:val="24"/>
        </w:rPr>
        <w:t>Jak jsou zadluženy ostatní země?</w:t>
      </w:r>
    </w:p>
    <w:p w:rsidR="00A35254" w:rsidRPr="00FF3F2F" w:rsidRDefault="00A35254" w:rsidP="00C66C17">
      <w:pPr>
        <w:rPr>
          <w:rFonts w:ascii="Garamond" w:hAnsi="Garamond"/>
          <w:b/>
          <w:sz w:val="24"/>
          <w:szCs w:val="24"/>
        </w:rPr>
      </w:pPr>
      <w:r w:rsidRPr="00FF3F2F">
        <w:rPr>
          <w:rFonts w:ascii="Garamond" w:hAnsi="Garamond"/>
          <w:b/>
          <w:sz w:val="24"/>
          <w:szCs w:val="24"/>
        </w:rPr>
        <w:t xml:space="preserve">General </w:t>
      </w:r>
      <w:proofErr w:type="spellStart"/>
      <w:r w:rsidRPr="00FF3F2F">
        <w:rPr>
          <w:rFonts w:ascii="Garamond" w:hAnsi="Garamond"/>
          <w:b/>
          <w:sz w:val="24"/>
          <w:szCs w:val="24"/>
        </w:rPr>
        <w:t>government</w:t>
      </w:r>
      <w:proofErr w:type="spellEnd"/>
      <w:r w:rsidRPr="00FF3F2F">
        <w:rPr>
          <w:rFonts w:ascii="Garamond" w:hAnsi="Garamond"/>
          <w:b/>
          <w:sz w:val="24"/>
          <w:szCs w:val="24"/>
        </w:rPr>
        <w:t xml:space="preserve"> gross </w:t>
      </w:r>
      <w:proofErr w:type="spellStart"/>
      <w:r w:rsidRPr="00FF3F2F">
        <w:rPr>
          <w:rFonts w:ascii="Garamond" w:hAnsi="Garamond"/>
          <w:b/>
          <w:sz w:val="24"/>
          <w:szCs w:val="24"/>
        </w:rPr>
        <w:t>debt</w:t>
      </w:r>
      <w:proofErr w:type="spellEnd"/>
      <w:r w:rsidR="00224BA4" w:rsidRPr="00FF3F2F">
        <w:rPr>
          <w:rFonts w:ascii="Garamond" w:hAnsi="Garamond"/>
          <w:b/>
          <w:sz w:val="24"/>
          <w:szCs w:val="24"/>
        </w:rPr>
        <w:t xml:space="preserve"> in 201</w:t>
      </w:r>
      <w:r w:rsidR="00B9013B">
        <w:rPr>
          <w:rFonts w:ascii="Garamond" w:hAnsi="Garamond"/>
          <w:b/>
          <w:sz w:val="24"/>
          <w:szCs w:val="24"/>
        </w:rPr>
        <w:t>4</w:t>
      </w:r>
      <w:r w:rsidRPr="00FF3F2F">
        <w:rPr>
          <w:rFonts w:ascii="Garamond" w:hAnsi="Garamond"/>
          <w:b/>
          <w:sz w:val="24"/>
          <w:szCs w:val="24"/>
        </w:rPr>
        <w:t xml:space="preserve"> </w:t>
      </w:r>
      <w:r w:rsidRPr="00FF3F2F">
        <w:rPr>
          <w:rFonts w:ascii="Garamond" w:hAnsi="Garamond"/>
          <w:b/>
          <w:sz w:val="24"/>
          <w:szCs w:val="24"/>
          <w:lang w:val="en-US"/>
        </w:rPr>
        <w:t>[</w:t>
      </w:r>
      <w:r w:rsidRPr="00FF3F2F">
        <w:rPr>
          <w:rFonts w:ascii="Garamond" w:hAnsi="Garamond"/>
          <w:b/>
          <w:sz w:val="24"/>
          <w:szCs w:val="24"/>
        </w:rPr>
        <w:t xml:space="preserve">% </w:t>
      </w:r>
      <w:proofErr w:type="spellStart"/>
      <w:r w:rsidRPr="00FF3F2F">
        <w:rPr>
          <w:rFonts w:ascii="Garamond" w:hAnsi="Garamond"/>
          <w:b/>
          <w:sz w:val="24"/>
          <w:szCs w:val="24"/>
        </w:rPr>
        <w:t>of</w:t>
      </w:r>
      <w:proofErr w:type="spellEnd"/>
      <w:r w:rsidRPr="00FF3F2F">
        <w:rPr>
          <w:rFonts w:ascii="Garamond" w:hAnsi="Garamond"/>
          <w:b/>
          <w:sz w:val="24"/>
          <w:szCs w:val="24"/>
        </w:rPr>
        <w:t xml:space="preserve"> GDP]</w:t>
      </w:r>
    </w:p>
    <w:p w:rsidR="00A35254" w:rsidRDefault="00B9013B" w:rsidP="00B9013B">
      <w:pPr>
        <w:spacing w:after="0"/>
        <w:jc w:val="center"/>
        <w:rPr>
          <w:rFonts w:ascii="Garamond" w:hAnsi="Garamond"/>
          <w:sz w:val="24"/>
          <w:szCs w:val="24"/>
        </w:rPr>
      </w:pPr>
      <w:r>
        <w:rPr>
          <w:noProof/>
          <w:lang w:eastAsia="cs-CZ"/>
        </w:rPr>
        <w:drawing>
          <wp:inline distT="0" distB="0" distL="0" distR="0" wp14:anchorId="22A7E78F" wp14:editId="1E6B2289">
            <wp:extent cx="5469147" cy="3709359"/>
            <wp:effectExtent l="0" t="0" r="17780" b="2476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5254" w:rsidRDefault="0073053A" w:rsidP="00C66C17">
      <w:pPr>
        <w:spacing w:after="0"/>
        <w:rPr>
          <w:rFonts w:ascii="Garamond" w:hAnsi="Garamond"/>
          <w:sz w:val="24"/>
          <w:szCs w:val="24"/>
        </w:rPr>
      </w:pPr>
      <w:r>
        <w:rPr>
          <w:rFonts w:ascii="Garamond" w:hAnsi="Garamond"/>
          <w:sz w:val="24"/>
          <w:szCs w:val="24"/>
        </w:rPr>
        <w:t xml:space="preserve">Zdroj: </w:t>
      </w:r>
      <w:proofErr w:type="spellStart"/>
      <w:r>
        <w:rPr>
          <w:rFonts w:ascii="Garamond" w:hAnsi="Garamond"/>
          <w:sz w:val="24"/>
          <w:szCs w:val="24"/>
        </w:rPr>
        <w:t>Eurostat</w:t>
      </w:r>
      <w:proofErr w:type="spellEnd"/>
      <w:r>
        <w:rPr>
          <w:rFonts w:ascii="Garamond" w:hAnsi="Garamond"/>
          <w:sz w:val="24"/>
          <w:szCs w:val="24"/>
        </w:rPr>
        <w:t xml:space="preserve"> (201</w:t>
      </w:r>
      <w:r w:rsidR="00143E04">
        <w:rPr>
          <w:rFonts w:ascii="Garamond" w:hAnsi="Garamond"/>
          <w:sz w:val="24"/>
          <w:szCs w:val="24"/>
        </w:rPr>
        <w:t>5</w:t>
      </w:r>
      <w:r w:rsidR="00A35254">
        <w:rPr>
          <w:rFonts w:ascii="Garamond" w:hAnsi="Garamond"/>
          <w:sz w:val="24"/>
          <w:szCs w:val="24"/>
        </w:rPr>
        <w:t>)</w:t>
      </w:r>
    </w:p>
    <w:p w:rsidR="00A35254" w:rsidRPr="00191D30" w:rsidRDefault="00A35254" w:rsidP="00191D30">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Politiky a opatření řízení dluhu</w:t>
      </w:r>
    </w:p>
    <w:p w:rsidR="00A35254" w:rsidRPr="009B0BC5" w:rsidRDefault="00A35254" w:rsidP="009B0BC5">
      <w:pPr>
        <w:pStyle w:val="StylVlevo063cm"/>
        <w:spacing w:before="0" w:after="0"/>
        <w:rPr>
          <w:rFonts w:ascii="Garamond" w:hAnsi="Garamond"/>
        </w:rPr>
      </w:pPr>
      <w:r w:rsidRPr="009B0BC5">
        <w:rPr>
          <w:rFonts w:ascii="Garamond" w:hAnsi="Garamond"/>
        </w:rPr>
        <w:t>Dluh může v čase růst či klesat. Cílem politiků by mělo být, aby zůstal dlouhodobě udržitelný a nevytrhl se z kontroly. Kdyby k tomu došlo, co by se dělo? Je to teorie, nebo se to v historii již stalo? Může zbankrotovat stát?</w:t>
      </w:r>
    </w:p>
    <w:p w:rsidR="00A35254" w:rsidRPr="009B0BC5" w:rsidRDefault="00A35254" w:rsidP="009B0BC5">
      <w:pPr>
        <w:pStyle w:val="StylVlevo063cm"/>
        <w:spacing w:before="0" w:after="0"/>
        <w:rPr>
          <w:rFonts w:ascii="Garamond" w:hAnsi="Garamond"/>
        </w:rPr>
      </w:pPr>
      <w:r w:rsidRPr="009B0BC5">
        <w:rPr>
          <w:rFonts w:ascii="Garamond" w:hAnsi="Garamond"/>
        </w:rPr>
        <w:lastRenderedPageBreak/>
        <w:t>Dluh lze řídit dvěma způsoby:</w:t>
      </w:r>
    </w:p>
    <w:p w:rsidR="00A35254" w:rsidRPr="009B0BC5" w:rsidRDefault="00A35254" w:rsidP="00B76FA1">
      <w:pPr>
        <w:pStyle w:val="StylVlevo063cm"/>
        <w:numPr>
          <w:ilvl w:val="2"/>
          <w:numId w:val="4"/>
        </w:numPr>
        <w:spacing w:before="0" w:after="0"/>
        <w:rPr>
          <w:rFonts w:ascii="Garamond" w:hAnsi="Garamond"/>
        </w:rPr>
      </w:pPr>
      <w:r w:rsidRPr="009B0BC5">
        <w:rPr>
          <w:rFonts w:ascii="Garamond" w:hAnsi="Garamond"/>
        </w:rPr>
        <w:t>Pasivně</w:t>
      </w:r>
      <w:bookmarkStart w:id="0" w:name="OLE_LINK3"/>
      <w:bookmarkStart w:id="1" w:name="OLE_LINK4"/>
      <w:r w:rsidRPr="009B0BC5">
        <w:rPr>
          <w:rFonts w:ascii="Garamond" w:hAnsi="Garamond"/>
        </w:rPr>
        <w:t xml:space="preserve"> = ke změně velikosti dluhu dochází nezávisle na opatřeních vlády (alespoň ne přímo)</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příznivý poměr tempa ekonomického růstu a úrokových měr (1+r/1+y &lt; 1)</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neanticipovaná inflace</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zahraniční granty a pomoci</w:t>
      </w:r>
      <w:bookmarkEnd w:id="0"/>
      <w:bookmarkEnd w:id="1"/>
    </w:p>
    <w:p w:rsidR="00A35254" w:rsidRPr="009B0BC5" w:rsidRDefault="00A35254" w:rsidP="00B76FA1">
      <w:pPr>
        <w:pStyle w:val="StylVlevo063cm"/>
        <w:numPr>
          <w:ilvl w:val="2"/>
          <w:numId w:val="4"/>
        </w:numPr>
        <w:spacing w:before="0" w:after="0"/>
        <w:rPr>
          <w:rFonts w:ascii="Garamond" w:hAnsi="Garamond"/>
        </w:rPr>
      </w:pPr>
      <w:r w:rsidRPr="009B0BC5">
        <w:rPr>
          <w:rFonts w:ascii="Garamond" w:hAnsi="Garamond"/>
        </w:rPr>
        <w:t>Aktivně = ke změně velikosti dluhu dochází aktivními opatřeními vlády</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rozpočtové řešení (zvyšování daní, snižování veřejných výdajů, …)</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prodej státního majetku – privatizace</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mimořádná daň</w:t>
      </w:r>
    </w:p>
    <w:p w:rsidR="00A35254" w:rsidRPr="009B0BC5" w:rsidRDefault="00A35254" w:rsidP="00B76FA1">
      <w:pPr>
        <w:pStyle w:val="StylVlevo063cm"/>
        <w:numPr>
          <w:ilvl w:val="4"/>
          <w:numId w:val="4"/>
        </w:numPr>
        <w:spacing w:before="0" w:after="0"/>
        <w:rPr>
          <w:rFonts w:ascii="Garamond" w:hAnsi="Garamond"/>
        </w:rPr>
      </w:pPr>
      <w:r w:rsidRPr="009B0BC5">
        <w:rPr>
          <w:rFonts w:ascii="Garamond" w:hAnsi="Garamond"/>
        </w:rPr>
        <w:t>monetizace dluhu</w:t>
      </w:r>
    </w:p>
    <w:p w:rsidR="00A35254" w:rsidRPr="00C54846" w:rsidRDefault="00A35254" w:rsidP="00194A4C">
      <w:pPr>
        <w:pStyle w:val="StylVlevo063cm"/>
        <w:numPr>
          <w:ilvl w:val="4"/>
          <w:numId w:val="4"/>
        </w:numPr>
        <w:spacing w:before="0" w:after="0"/>
        <w:rPr>
          <w:rFonts w:ascii="Garamond" w:hAnsi="Garamond"/>
        </w:rPr>
      </w:pPr>
      <w:r w:rsidRPr="009B0BC5">
        <w:rPr>
          <w:rFonts w:ascii="Garamond" w:hAnsi="Garamond"/>
        </w:rPr>
        <w:t>politicko-administrativní řešení (odložení splácení dluhu, neuznání dluhu, neplacení úroků)</w:t>
      </w:r>
    </w:p>
    <w:p w:rsidR="009F51C3" w:rsidRPr="00191D30" w:rsidRDefault="009F51C3" w:rsidP="00194A4C">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Dluh – vnitřní a vnější</w:t>
      </w:r>
    </w:p>
    <w:p w:rsidR="00A35254" w:rsidRPr="009B0BC5" w:rsidRDefault="00A35254" w:rsidP="00194A4C">
      <w:pPr>
        <w:pStyle w:val="StylVlevo063cm"/>
        <w:spacing w:before="0" w:after="0"/>
        <w:ind w:left="714"/>
        <w:rPr>
          <w:rFonts w:ascii="Garamond" w:hAnsi="Garamond"/>
        </w:rPr>
      </w:pPr>
      <w:r w:rsidRPr="009B0BC5">
        <w:rPr>
          <w:rFonts w:ascii="Garamond" w:hAnsi="Garamond"/>
        </w:rPr>
        <w:t xml:space="preserve">Dluh se dělí </w:t>
      </w:r>
      <w:proofErr w:type="gramStart"/>
      <w:r w:rsidRPr="009B0BC5">
        <w:rPr>
          <w:rFonts w:ascii="Garamond" w:hAnsi="Garamond"/>
        </w:rPr>
        <w:t>na</w:t>
      </w:r>
      <w:proofErr w:type="gramEnd"/>
      <w:r w:rsidRPr="009B0BC5">
        <w:rPr>
          <w:rFonts w:ascii="Garamond" w:hAnsi="Garamond"/>
        </w:rPr>
        <w:t xml:space="preserve">: </w:t>
      </w:r>
    </w:p>
    <w:p w:rsidR="00A35254" w:rsidRPr="009B0BC5" w:rsidRDefault="00A35254" w:rsidP="00B76FA1">
      <w:pPr>
        <w:pStyle w:val="StylVlevo063cm"/>
        <w:numPr>
          <w:ilvl w:val="2"/>
          <w:numId w:val="4"/>
        </w:numPr>
        <w:spacing w:before="0" w:after="0"/>
        <w:rPr>
          <w:rFonts w:ascii="Garamond" w:hAnsi="Garamond"/>
        </w:rPr>
      </w:pPr>
      <w:r w:rsidRPr="009B0BC5">
        <w:rPr>
          <w:rFonts w:ascii="Garamond" w:hAnsi="Garamond"/>
        </w:rPr>
        <w:t>vnitřní dluh: dlužíme sami sobě = redistribuce (+), zadlužuje budoucí generace (+-), vytlačujeme soukromé investice (-), ale vytváříme bezriziková aktiva (+)</w:t>
      </w:r>
    </w:p>
    <w:p w:rsidR="00A35254" w:rsidRDefault="00A35254" w:rsidP="00B76FA1">
      <w:pPr>
        <w:pStyle w:val="StylVlevo063cm"/>
        <w:numPr>
          <w:ilvl w:val="2"/>
          <w:numId w:val="4"/>
        </w:numPr>
        <w:spacing w:before="0" w:after="0"/>
        <w:rPr>
          <w:rFonts w:ascii="Garamond" w:hAnsi="Garamond"/>
        </w:rPr>
      </w:pPr>
      <w:r w:rsidRPr="009B0BC5">
        <w:rPr>
          <w:rFonts w:ascii="Garamond" w:hAnsi="Garamond"/>
        </w:rPr>
        <w:t>vnější dluh: dlužíme občanům jiného státu = transfer (-), dopad na znehodnocení měny a/nebo přebytek obchodní bilance (-), existence rizika změny směnného kurzu (-)</w:t>
      </w:r>
    </w:p>
    <w:p w:rsidR="00A35254" w:rsidRPr="009B0BC5" w:rsidRDefault="00A35254" w:rsidP="00B76FA1">
      <w:pPr>
        <w:pStyle w:val="StylVlevo063cm"/>
        <w:numPr>
          <w:ilvl w:val="2"/>
          <w:numId w:val="4"/>
        </w:numPr>
        <w:spacing w:before="0" w:after="0"/>
        <w:rPr>
          <w:rFonts w:ascii="Garamond" w:hAnsi="Garamond"/>
        </w:rPr>
      </w:pPr>
      <w:r>
        <w:rPr>
          <w:rFonts w:ascii="Garamond" w:hAnsi="Garamond"/>
        </w:rPr>
        <w:t>Mají všichni věřitelé stejné cíle?</w:t>
      </w:r>
    </w:p>
    <w:p w:rsidR="00A35254" w:rsidRDefault="00A35254" w:rsidP="00194A4C">
      <w:pPr>
        <w:pStyle w:val="StylVlevo063cm"/>
        <w:rPr>
          <w:rFonts w:ascii="Garamond" w:hAnsi="Garamond"/>
        </w:rPr>
      </w:pPr>
      <w:r w:rsidRPr="009B0BC5">
        <w:rPr>
          <w:rFonts w:ascii="Garamond" w:hAnsi="Garamond"/>
        </w:rPr>
        <w:t xml:space="preserve">Komu dluží Česká republika? </w:t>
      </w:r>
    </w:p>
    <w:p w:rsidR="009F51C3" w:rsidRDefault="009F51C3" w:rsidP="00194A4C">
      <w:pPr>
        <w:rPr>
          <w:rFonts w:ascii="Garamond" w:hAnsi="Garamond"/>
          <w:sz w:val="24"/>
          <w:szCs w:val="24"/>
        </w:rPr>
      </w:pPr>
    </w:p>
    <w:p w:rsidR="00A35254" w:rsidRPr="009B0BC5" w:rsidRDefault="00A35254" w:rsidP="00B76FA1">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t>Mezinárodní implikace a aspekty dluhu</w:t>
      </w:r>
    </w:p>
    <w:p w:rsidR="00A35254" w:rsidRPr="009B0BC5" w:rsidRDefault="00A35254" w:rsidP="009B0BC5">
      <w:pPr>
        <w:pStyle w:val="StylVlevo063cm"/>
        <w:rPr>
          <w:rFonts w:ascii="Garamond" w:hAnsi="Garamond"/>
        </w:rPr>
      </w:pPr>
      <w:r w:rsidRPr="009B0BC5">
        <w:rPr>
          <w:rFonts w:ascii="Garamond" w:hAnsi="Garamond"/>
        </w:rPr>
        <w:t xml:space="preserve">Dluh státu není pouze lokálně uzavřená věc, může mít dopad nejen na občany daného státu, ale také může mít mezinárodní dopady. </w:t>
      </w:r>
    </w:p>
    <w:p w:rsidR="00A35254" w:rsidRPr="009B0BC5" w:rsidRDefault="00A35254" w:rsidP="009B0BC5">
      <w:pPr>
        <w:pStyle w:val="StylVlevo063cm"/>
        <w:rPr>
          <w:rFonts w:ascii="Garamond" w:hAnsi="Garamond"/>
        </w:rPr>
      </w:pPr>
      <w:r w:rsidRPr="009B0BC5">
        <w:rPr>
          <w:rFonts w:ascii="Garamond" w:hAnsi="Garamond"/>
        </w:rPr>
        <w:t xml:space="preserve">Jaké mezinárodní dopady může mít špatný management dluhu, který například hrozí bankrotem? </w:t>
      </w:r>
      <w:r w:rsidRPr="009B0BC5">
        <w:rPr>
          <w:rFonts w:ascii="Garamond" w:hAnsi="Garamond"/>
          <w:i/>
          <w:iCs/>
        </w:rPr>
        <w:t xml:space="preserve">(př.: bankrot Argentiny – věřitelé přišli až o 75 % půjčených prostředků, drastické rozpočtové škrty, limity na vybírání peněz ze soukromých bankovních účtů, nárůst nezaměstnanosti, prvky </w:t>
      </w:r>
      <w:proofErr w:type="spellStart"/>
      <w:r w:rsidRPr="009B0BC5">
        <w:rPr>
          <w:rFonts w:ascii="Garamond" w:hAnsi="Garamond"/>
          <w:i/>
          <w:iCs/>
        </w:rPr>
        <w:t>bartrování</w:t>
      </w:r>
      <w:proofErr w:type="spellEnd"/>
      <w:r w:rsidRPr="009B0BC5">
        <w:rPr>
          <w:rFonts w:ascii="Garamond" w:hAnsi="Garamond"/>
          <w:i/>
          <w:iCs/>
        </w:rPr>
        <w:t xml:space="preserve"> a výměnných trhů; hrozba bankrotu se však týkala a týká více zemí – např. Lotyšsko, Litva, Maďarsko, Řecko a ty s eurem mohou mít dopady do eurozóny)</w:t>
      </w:r>
    </w:p>
    <w:p w:rsidR="00A35254" w:rsidRPr="009B0BC5" w:rsidRDefault="00A35254" w:rsidP="009B0BC5">
      <w:pPr>
        <w:pStyle w:val="StylVlevo063cm"/>
        <w:rPr>
          <w:rFonts w:ascii="Garamond" w:hAnsi="Garamond"/>
        </w:rPr>
      </w:pPr>
      <w:r w:rsidRPr="009B0BC5">
        <w:rPr>
          <w:rFonts w:ascii="Garamond" w:hAnsi="Garamond"/>
        </w:rPr>
        <w:t xml:space="preserve">Evropská unie vzhledem k zajištění dlouhodobé udržitelnosti své měnové unie, do které vstupují státy z odlišných měn s odlišnými strukturami ekonomik i systémů veřejných financí, vytvořila pravidla, která ji mají zajistit:  </w:t>
      </w:r>
    </w:p>
    <w:p w:rsidR="00A35254" w:rsidRPr="009B0BC5" w:rsidRDefault="00A35254" w:rsidP="00B76FA1">
      <w:pPr>
        <w:pStyle w:val="StylVlevo063cm"/>
        <w:numPr>
          <w:ilvl w:val="1"/>
          <w:numId w:val="4"/>
        </w:numPr>
        <w:rPr>
          <w:rFonts w:ascii="Garamond" w:hAnsi="Garamond"/>
        </w:rPr>
      </w:pPr>
      <w:r w:rsidRPr="009B0BC5">
        <w:rPr>
          <w:rFonts w:ascii="Garamond" w:hAnsi="Garamond"/>
        </w:rPr>
        <w:t>Maastrichtská fiskální (konvergenční) kritéria</w:t>
      </w:r>
    </w:p>
    <w:p w:rsidR="00A35254" w:rsidRPr="009B0BC5" w:rsidRDefault="00A35254" w:rsidP="00B76FA1">
      <w:pPr>
        <w:pStyle w:val="StylVlevo063cm"/>
        <w:numPr>
          <w:ilvl w:val="1"/>
          <w:numId w:val="4"/>
        </w:numPr>
        <w:rPr>
          <w:rFonts w:ascii="Garamond" w:hAnsi="Garamond"/>
        </w:rPr>
      </w:pPr>
      <w:r w:rsidRPr="009B0BC5">
        <w:rPr>
          <w:rFonts w:ascii="Garamond" w:hAnsi="Garamond"/>
        </w:rPr>
        <w:t>Pakt stability a růstu</w:t>
      </w:r>
    </w:p>
    <w:p w:rsidR="00A35254" w:rsidRPr="009B0BC5" w:rsidRDefault="00A35254" w:rsidP="009B0BC5">
      <w:pPr>
        <w:pStyle w:val="StylVlevo063cm"/>
        <w:rPr>
          <w:rFonts w:ascii="Garamond" w:hAnsi="Garamond"/>
          <w:b/>
          <w:szCs w:val="24"/>
        </w:rPr>
      </w:pPr>
      <w:r w:rsidRPr="009B0BC5">
        <w:rPr>
          <w:rFonts w:ascii="Garamond" w:hAnsi="Garamond"/>
        </w:rPr>
        <w:t xml:space="preserve">V čem se liší? (Příčiny a důvody vzniku, </w:t>
      </w:r>
      <w:r w:rsidRPr="009B0BC5">
        <w:rPr>
          <w:rFonts w:ascii="Garamond" w:hAnsi="Garamond"/>
          <w:szCs w:val="24"/>
        </w:rPr>
        <w:t>na koho se vztahují, jaké obsahují kritéria)</w:t>
      </w:r>
    </w:p>
    <w:p w:rsidR="00A35254" w:rsidRPr="009B0BC5" w:rsidRDefault="00A35254" w:rsidP="009B0BC5">
      <w:pPr>
        <w:pStyle w:val="StylVlevo063cm"/>
        <w:rPr>
          <w:rFonts w:ascii="Garamond" w:hAnsi="Garamond"/>
          <w:b/>
          <w:szCs w:val="24"/>
        </w:rPr>
      </w:pPr>
      <w:r w:rsidRPr="009B0BC5">
        <w:rPr>
          <w:rFonts w:ascii="Garamond" w:hAnsi="Garamond"/>
          <w:szCs w:val="24"/>
        </w:rPr>
        <w:t>Fungují podle vás tyto pravidla?</w:t>
      </w:r>
    </w:p>
    <w:p w:rsidR="00A35254" w:rsidRDefault="00A35254" w:rsidP="00191D30">
      <w:pPr>
        <w:rPr>
          <w:rFonts w:ascii="Garamond" w:hAnsi="Garamond"/>
          <w:sz w:val="24"/>
          <w:szCs w:val="24"/>
        </w:rPr>
      </w:pPr>
    </w:p>
    <w:p w:rsidR="00A35254" w:rsidRPr="00FF3F2F" w:rsidRDefault="00A35254" w:rsidP="00FF3F2F">
      <w:pPr>
        <w:pStyle w:val="Odstavecseseznamem"/>
        <w:numPr>
          <w:ilvl w:val="0"/>
          <w:numId w:val="1"/>
        </w:numPr>
        <w:spacing w:before="240"/>
        <w:ind w:left="426" w:hanging="426"/>
        <w:jc w:val="both"/>
        <w:rPr>
          <w:rFonts w:ascii="Garamond" w:hAnsi="Garamond" w:cs="Arial"/>
          <w:b/>
          <w:sz w:val="28"/>
          <w:szCs w:val="24"/>
        </w:rPr>
      </w:pPr>
      <w:r w:rsidRPr="009B0BC5">
        <w:rPr>
          <w:rFonts w:ascii="Garamond" w:hAnsi="Garamond" w:cs="Arial"/>
          <w:b/>
          <w:sz w:val="28"/>
          <w:szCs w:val="24"/>
        </w:rPr>
        <w:lastRenderedPageBreak/>
        <w:t>Doporučená literatura a odkazy</w:t>
      </w:r>
      <w:r w:rsidR="00C54846">
        <w:rPr>
          <w:rFonts w:ascii="Garamond" w:hAnsi="Garamond" w:cs="Arial"/>
          <w:b/>
          <w:sz w:val="28"/>
          <w:szCs w:val="24"/>
        </w:rPr>
        <w:t xml:space="preserve"> k prozkoumání</w:t>
      </w:r>
    </w:p>
    <w:p w:rsidR="00A35254" w:rsidRPr="005E0FB0" w:rsidRDefault="00A35254" w:rsidP="005E0FB0">
      <w:pPr>
        <w:ind w:left="360"/>
        <w:rPr>
          <w:rFonts w:ascii="Garamond" w:hAnsi="Garamond"/>
        </w:rPr>
      </w:pPr>
      <w:r w:rsidRPr="005E0FB0">
        <w:rPr>
          <w:rFonts w:ascii="Garamond" w:hAnsi="Garamond"/>
        </w:rPr>
        <w:t xml:space="preserve">MF ČR. </w:t>
      </w:r>
      <w:r w:rsidR="001B3D72">
        <w:rPr>
          <w:rFonts w:ascii="Garamond" w:hAnsi="Garamond"/>
        </w:rPr>
        <w:t>(2015</w:t>
      </w:r>
      <w:r>
        <w:rPr>
          <w:rFonts w:ascii="Garamond" w:hAnsi="Garamond"/>
        </w:rPr>
        <w:t xml:space="preserve">) </w:t>
      </w:r>
      <w:r w:rsidR="0073053A">
        <w:rPr>
          <w:rFonts w:ascii="Garamond" w:hAnsi="Garamond"/>
        </w:rPr>
        <w:t>Fiskální výhled (</w:t>
      </w:r>
      <w:r w:rsidR="001B3D72">
        <w:rPr>
          <w:rFonts w:ascii="Garamond" w:hAnsi="Garamond"/>
        </w:rPr>
        <w:t>květen 2015</w:t>
      </w:r>
      <w:r w:rsidRPr="005E0FB0">
        <w:rPr>
          <w:rFonts w:ascii="Garamond" w:hAnsi="Garamond"/>
        </w:rPr>
        <w:t>) [online]. Dostupné z &lt;</w:t>
      </w:r>
      <w:hyperlink r:id="rId17" w:history="1">
        <w:r w:rsidR="001B3D72" w:rsidRPr="00F704A7">
          <w:rPr>
            <w:rStyle w:val="Hypertextovodkaz"/>
          </w:rPr>
          <w:t>http://www.mfcr.cz/cs/verejny-sektor/makroekonomika/fiskalni-vyhled/2015/fiskalni-vyhled-cr-kveten-2015-21517</w:t>
        </w:r>
      </w:hyperlink>
      <w:r w:rsidRPr="005E0FB0">
        <w:rPr>
          <w:rFonts w:ascii="Garamond" w:hAnsi="Garamond"/>
        </w:rPr>
        <w:t>&gt;</w:t>
      </w:r>
    </w:p>
    <w:p w:rsidR="00A35254" w:rsidRPr="005E0FB0" w:rsidRDefault="00A35254" w:rsidP="005E0FB0">
      <w:pPr>
        <w:spacing w:after="0"/>
        <w:ind w:left="357"/>
        <w:rPr>
          <w:rFonts w:ascii="Garamond" w:hAnsi="Garamond"/>
        </w:rPr>
      </w:pPr>
      <w:r w:rsidRPr="005E0FB0">
        <w:rPr>
          <w:rFonts w:ascii="Garamond" w:hAnsi="Garamond"/>
        </w:rPr>
        <w:t>MF ČR. Dluhová statistika [online]. Dostupné z &lt;</w:t>
      </w:r>
      <w:hyperlink r:id="rId18" w:history="1">
        <w:r w:rsidRPr="005E0FB0">
          <w:rPr>
            <w:rStyle w:val="Hypertextovodkaz"/>
            <w:rFonts w:ascii="Garamond" w:hAnsi="Garamond"/>
          </w:rPr>
          <w:t>http://www.mfcr.cz/cps/rde/xchg/mfcr/hs.xsl/vrsd_dluhova_statistika.html</w:t>
        </w:r>
      </w:hyperlink>
      <w:r w:rsidRPr="005E0FB0">
        <w:rPr>
          <w:rFonts w:ascii="Garamond" w:hAnsi="Garamond"/>
        </w:rPr>
        <w:t>&gt;</w:t>
      </w:r>
    </w:p>
    <w:p w:rsidR="00A35254" w:rsidRPr="009B0BC5" w:rsidRDefault="00A35254" w:rsidP="00B76FA1">
      <w:pPr>
        <w:pStyle w:val="Odstavecseseznamem"/>
        <w:numPr>
          <w:ilvl w:val="1"/>
          <w:numId w:val="5"/>
        </w:numPr>
        <w:tabs>
          <w:tab w:val="clear" w:pos="1647"/>
          <w:tab w:val="num" w:pos="1418"/>
        </w:tabs>
        <w:ind w:left="1644"/>
        <w:rPr>
          <w:rFonts w:ascii="Garamond" w:hAnsi="Garamond"/>
        </w:rPr>
      </w:pPr>
      <w:r w:rsidRPr="009B0BC5">
        <w:rPr>
          <w:rFonts w:ascii="Garamond" w:hAnsi="Garamond"/>
        </w:rPr>
        <w:t>Struktura a vývoj státního dluhu</w:t>
      </w:r>
    </w:p>
    <w:p w:rsidR="00A35254" w:rsidRPr="009B0BC5" w:rsidRDefault="00A35254" w:rsidP="00B76FA1">
      <w:pPr>
        <w:pStyle w:val="Odstavecseseznamem"/>
        <w:numPr>
          <w:ilvl w:val="1"/>
          <w:numId w:val="5"/>
        </w:numPr>
        <w:tabs>
          <w:tab w:val="clear" w:pos="1647"/>
          <w:tab w:val="num" w:pos="1418"/>
        </w:tabs>
        <w:rPr>
          <w:rFonts w:ascii="Garamond" w:hAnsi="Garamond"/>
        </w:rPr>
      </w:pPr>
      <w:r w:rsidRPr="009B0BC5">
        <w:rPr>
          <w:rFonts w:ascii="Garamond" w:hAnsi="Garamond"/>
        </w:rPr>
        <w:t>Výpůjční požadavky a struktura krytí státního dluhu</w:t>
      </w:r>
    </w:p>
    <w:p w:rsidR="00A35254" w:rsidRPr="009B0BC5" w:rsidRDefault="00A35254" w:rsidP="00B76FA1">
      <w:pPr>
        <w:pStyle w:val="Odstavecseseznamem"/>
        <w:numPr>
          <w:ilvl w:val="1"/>
          <w:numId w:val="5"/>
        </w:numPr>
        <w:tabs>
          <w:tab w:val="clear" w:pos="1647"/>
          <w:tab w:val="num" w:pos="1418"/>
        </w:tabs>
        <w:ind w:left="1644"/>
        <w:rPr>
          <w:rFonts w:ascii="Garamond" w:hAnsi="Garamond"/>
        </w:rPr>
      </w:pPr>
      <w:r w:rsidRPr="009B0BC5">
        <w:rPr>
          <w:rFonts w:ascii="Garamond" w:hAnsi="Garamond"/>
        </w:rPr>
        <w:t>Náklady státního dluhu</w:t>
      </w:r>
    </w:p>
    <w:p w:rsidR="00A35254" w:rsidRPr="005E0FB0" w:rsidRDefault="00A35254" w:rsidP="005E0FB0">
      <w:pPr>
        <w:spacing w:after="0"/>
        <w:ind w:left="357"/>
        <w:rPr>
          <w:rFonts w:ascii="Garamond" w:hAnsi="Garamond"/>
        </w:rPr>
      </w:pPr>
      <w:proofErr w:type="spellStart"/>
      <w:r w:rsidRPr="005E0FB0">
        <w:rPr>
          <w:rFonts w:ascii="Garamond" w:hAnsi="Garamond"/>
        </w:rPr>
        <w:t>European</w:t>
      </w:r>
      <w:proofErr w:type="spellEnd"/>
      <w:r w:rsidRPr="005E0FB0">
        <w:rPr>
          <w:rFonts w:ascii="Garamond" w:hAnsi="Garamond"/>
        </w:rPr>
        <w:t xml:space="preserve"> </w:t>
      </w:r>
      <w:proofErr w:type="spellStart"/>
      <w:r w:rsidRPr="005E0FB0">
        <w:rPr>
          <w:rFonts w:ascii="Garamond" w:hAnsi="Garamond"/>
        </w:rPr>
        <w:t>Commision</w:t>
      </w:r>
      <w:proofErr w:type="spellEnd"/>
      <w:r w:rsidRPr="005E0FB0">
        <w:rPr>
          <w:rFonts w:ascii="Garamond" w:hAnsi="Garamond"/>
        </w:rPr>
        <w:t xml:space="preserve">, </w:t>
      </w:r>
      <w:proofErr w:type="spellStart"/>
      <w:r w:rsidRPr="005E0FB0">
        <w:rPr>
          <w:rFonts w:ascii="Garamond" w:hAnsi="Garamond"/>
        </w:rPr>
        <w:t>Economic</w:t>
      </w:r>
      <w:proofErr w:type="spellEnd"/>
      <w:r w:rsidRPr="005E0FB0">
        <w:rPr>
          <w:rFonts w:ascii="Garamond" w:hAnsi="Garamond"/>
        </w:rPr>
        <w:t xml:space="preserve"> and </w:t>
      </w:r>
      <w:proofErr w:type="spellStart"/>
      <w:r w:rsidRPr="005E0FB0">
        <w:rPr>
          <w:rFonts w:ascii="Garamond" w:hAnsi="Garamond"/>
        </w:rPr>
        <w:t>Financial</w:t>
      </w:r>
      <w:proofErr w:type="spellEnd"/>
      <w:r w:rsidRPr="005E0FB0">
        <w:rPr>
          <w:rFonts w:ascii="Garamond" w:hAnsi="Garamond"/>
        </w:rPr>
        <w:t xml:space="preserve"> </w:t>
      </w:r>
      <w:proofErr w:type="spellStart"/>
      <w:r w:rsidRPr="005E0FB0">
        <w:rPr>
          <w:rFonts w:ascii="Garamond" w:hAnsi="Garamond"/>
        </w:rPr>
        <w:t>Affairs</w:t>
      </w:r>
      <w:proofErr w:type="spellEnd"/>
      <w:r w:rsidRPr="005E0FB0">
        <w:rPr>
          <w:rFonts w:ascii="Garamond" w:hAnsi="Garamond"/>
        </w:rPr>
        <w:t xml:space="preserve">. Stability and </w:t>
      </w:r>
      <w:proofErr w:type="spellStart"/>
      <w:r w:rsidRPr="005E0FB0">
        <w:rPr>
          <w:rFonts w:ascii="Garamond" w:hAnsi="Garamond"/>
        </w:rPr>
        <w:t>Growth</w:t>
      </w:r>
      <w:proofErr w:type="spellEnd"/>
      <w:r w:rsidRPr="005E0FB0">
        <w:rPr>
          <w:rFonts w:ascii="Garamond" w:hAnsi="Garamond"/>
        </w:rPr>
        <w:t xml:space="preserve"> </w:t>
      </w:r>
      <w:proofErr w:type="spellStart"/>
      <w:r w:rsidRPr="005E0FB0">
        <w:rPr>
          <w:rFonts w:ascii="Garamond" w:hAnsi="Garamond"/>
        </w:rPr>
        <w:t>Pact</w:t>
      </w:r>
      <w:proofErr w:type="spellEnd"/>
      <w:r w:rsidRPr="005E0FB0">
        <w:rPr>
          <w:rFonts w:ascii="Garamond" w:hAnsi="Garamond"/>
        </w:rPr>
        <w:t xml:space="preserve"> [online]. Dostupné z &lt;</w:t>
      </w:r>
      <w:hyperlink r:id="rId19" w:history="1">
        <w:r w:rsidRPr="005E0FB0">
          <w:rPr>
            <w:rStyle w:val="Hypertextovodkaz"/>
            <w:rFonts w:ascii="Garamond" w:hAnsi="Garamond"/>
          </w:rPr>
          <w:t>http://ec.europa.eu/economy_finance/sgp/index_en.htm</w:t>
        </w:r>
      </w:hyperlink>
      <w:r w:rsidRPr="005E0FB0">
        <w:rPr>
          <w:rFonts w:ascii="Garamond" w:hAnsi="Garamond"/>
        </w:rPr>
        <w:t>&gt;</w:t>
      </w:r>
    </w:p>
    <w:p w:rsidR="00A35254" w:rsidRPr="009B0BC5" w:rsidRDefault="00A35254" w:rsidP="00B76FA1">
      <w:pPr>
        <w:pStyle w:val="Odstavecseseznamem"/>
        <w:numPr>
          <w:ilvl w:val="1"/>
          <w:numId w:val="5"/>
        </w:numPr>
        <w:rPr>
          <w:rFonts w:ascii="Garamond" w:hAnsi="Garamond"/>
        </w:rPr>
      </w:pPr>
      <w:r w:rsidRPr="009B0BC5">
        <w:rPr>
          <w:rFonts w:ascii="Garamond" w:hAnsi="Garamond"/>
        </w:rPr>
        <w:t xml:space="preserve">Stability and </w:t>
      </w:r>
      <w:proofErr w:type="spellStart"/>
      <w:r w:rsidRPr="009B0BC5">
        <w:rPr>
          <w:rFonts w:ascii="Garamond" w:hAnsi="Garamond"/>
        </w:rPr>
        <w:t>Convergence</w:t>
      </w:r>
      <w:proofErr w:type="spellEnd"/>
      <w:r w:rsidRPr="009B0BC5">
        <w:rPr>
          <w:rFonts w:ascii="Garamond" w:hAnsi="Garamond"/>
        </w:rPr>
        <w:t xml:space="preserve"> </w:t>
      </w:r>
      <w:proofErr w:type="spellStart"/>
      <w:r w:rsidRPr="009B0BC5">
        <w:rPr>
          <w:rFonts w:ascii="Garamond" w:hAnsi="Garamond"/>
        </w:rPr>
        <w:t>programmes</w:t>
      </w:r>
      <w:proofErr w:type="spellEnd"/>
    </w:p>
    <w:p w:rsidR="00A35254" w:rsidRPr="009B0BC5" w:rsidRDefault="00A35254" w:rsidP="00B76FA1">
      <w:pPr>
        <w:pStyle w:val="Odstavecseseznamem"/>
        <w:numPr>
          <w:ilvl w:val="1"/>
          <w:numId w:val="5"/>
        </w:numPr>
        <w:rPr>
          <w:rFonts w:ascii="Garamond" w:hAnsi="Garamond"/>
        </w:rPr>
      </w:pPr>
      <w:proofErr w:type="spellStart"/>
      <w:r w:rsidRPr="009B0BC5">
        <w:rPr>
          <w:rFonts w:ascii="Garamond" w:hAnsi="Garamond"/>
        </w:rPr>
        <w:t>Sustainability</w:t>
      </w:r>
      <w:proofErr w:type="spellEnd"/>
      <w:r w:rsidRPr="009B0BC5">
        <w:rPr>
          <w:rFonts w:ascii="Garamond" w:hAnsi="Garamond"/>
        </w:rPr>
        <w:t xml:space="preserve"> </w:t>
      </w:r>
      <w:proofErr w:type="spellStart"/>
      <w:r w:rsidRPr="009B0BC5">
        <w:rPr>
          <w:rFonts w:ascii="Garamond" w:hAnsi="Garamond"/>
        </w:rPr>
        <w:t>of</w:t>
      </w:r>
      <w:proofErr w:type="spellEnd"/>
      <w:r w:rsidRPr="009B0BC5">
        <w:rPr>
          <w:rFonts w:ascii="Garamond" w:hAnsi="Garamond"/>
        </w:rPr>
        <w:t xml:space="preserve"> public </w:t>
      </w:r>
      <w:proofErr w:type="spellStart"/>
      <w:r w:rsidRPr="009B0BC5">
        <w:rPr>
          <w:rFonts w:ascii="Garamond" w:hAnsi="Garamond"/>
        </w:rPr>
        <w:t>finances</w:t>
      </w:r>
      <w:proofErr w:type="spellEnd"/>
    </w:p>
    <w:p w:rsidR="00A35254" w:rsidRPr="009B0BC5" w:rsidRDefault="00A35254" w:rsidP="00B76FA1">
      <w:pPr>
        <w:pStyle w:val="Odstavecseseznamem"/>
        <w:numPr>
          <w:ilvl w:val="1"/>
          <w:numId w:val="5"/>
        </w:numPr>
        <w:rPr>
          <w:rFonts w:ascii="Garamond" w:hAnsi="Garamond"/>
        </w:rPr>
      </w:pPr>
      <w:proofErr w:type="spellStart"/>
      <w:r w:rsidRPr="009B0BC5">
        <w:rPr>
          <w:rFonts w:ascii="Garamond" w:hAnsi="Garamond"/>
        </w:rPr>
        <w:t>Excessive</w:t>
      </w:r>
      <w:proofErr w:type="spellEnd"/>
      <w:r w:rsidRPr="009B0BC5">
        <w:rPr>
          <w:rFonts w:ascii="Garamond" w:hAnsi="Garamond"/>
        </w:rPr>
        <w:t xml:space="preserve"> deficit </w:t>
      </w:r>
      <w:proofErr w:type="spellStart"/>
      <w:r w:rsidRPr="009B0BC5">
        <w:rPr>
          <w:rFonts w:ascii="Garamond" w:hAnsi="Garamond"/>
        </w:rPr>
        <w:t>procedure</w:t>
      </w:r>
      <w:proofErr w:type="spellEnd"/>
    </w:p>
    <w:p w:rsidR="00A35254" w:rsidRPr="009B0BC5" w:rsidRDefault="00A35254" w:rsidP="00B76FA1">
      <w:pPr>
        <w:pStyle w:val="Odstavecseseznamem"/>
        <w:numPr>
          <w:ilvl w:val="1"/>
          <w:numId w:val="5"/>
        </w:numPr>
        <w:rPr>
          <w:rFonts w:ascii="Garamond" w:hAnsi="Garamond"/>
        </w:rPr>
      </w:pPr>
      <w:r w:rsidRPr="009B0BC5">
        <w:rPr>
          <w:rFonts w:ascii="Garamond" w:hAnsi="Garamond"/>
        </w:rPr>
        <w:t xml:space="preserve">Early </w:t>
      </w:r>
      <w:proofErr w:type="spellStart"/>
      <w:r w:rsidRPr="009B0BC5">
        <w:rPr>
          <w:rFonts w:ascii="Garamond" w:hAnsi="Garamond"/>
        </w:rPr>
        <w:t>warning</w:t>
      </w:r>
      <w:proofErr w:type="spellEnd"/>
      <w:r w:rsidRPr="009B0BC5">
        <w:rPr>
          <w:rFonts w:ascii="Garamond" w:hAnsi="Garamond"/>
        </w:rPr>
        <w:t xml:space="preserve"> </w:t>
      </w:r>
      <w:proofErr w:type="spellStart"/>
      <w:r w:rsidRPr="009B0BC5">
        <w:rPr>
          <w:rFonts w:ascii="Garamond" w:hAnsi="Garamond"/>
        </w:rPr>
        <w:t>mechanism</w:t>
      </w:r>
      <w:proofErr w:type="spellEnd"/>
      <w:r w:rsidRPr="009B0BC5">
        <w:rPr>
          <w:rFonts w:ascii="Garamond" w:hAnsi="Garamond"/>
        </w:rPr>
        <w:t xml:space="preserve"> and </w:t>
      </w:r>
      <w:proofErr w:type="spellStart"/>
      <w:r w:rsidRPr="009B0BC5">
        <w:rPr>
          <w:rFonts w:ascii="Garamond" w:hAnsi="Garamond"/>
        </w:rPr>
        <w:t>policy</w:t>
      </w:r>
      <w:proofErr w:type="spellEnd"/>
      <w:r w:rsidRPr="009B0BC5">
        <w:rPr>
          <w:rFonts w:ascii="Garamond" w:hAnsi="Garamond"/>
        </w:rPr>
        <w:t xml:space="preserve"> </w:t>
      </w:r>
      <w:proofErr w:type="spellStart"/>
      <w:r w:rsidRPr="009B0BC5">
        <w:rPr>
          <w:rFonts w:ascii="Garamond" w:hAnsi="Garamond"/>
        </w:rPr>
        <w:t>advice</w:t>
      </w:r>
      <w:proofErr w:type="spellEnd"/>
    </w:p>
    <w:p w:rsidR="00A35254" w:rsidRDefault="000A0715" w:rsidP="00C66C17">
      <w:pPr>
        <w:ind w:left="360"/>
        <w:rPr>
          <w:rFonts w:ascii="Garamond" w:hAnsi="Garamond"/>
        </w:rPr>
      </w:pPr>
      <w:r>
        <w:rPr>
          <w:rFonts w:ascii="Garamond" w:hAnsi="Garamond"/>
          <w:bCs/>
        </w:rPr>
        <w:t>OECD (2015</w:t>
      </w:r>
      <w:r w:rsidR="00A35254" w:rsidRPr="001867F9">
        <w:rPr>
          <w:rFonts w:ascii="Garamond" w:hAnsi="Garamond"/>
          <w:bCs/>
        </w:rPr>
        <w:t xml:space="preserve">) </w:t>
      </w:r>
      <w:proofErr w:type="spellStart"/>
      <w:r w:rsidRPr="000A0715">
        <w:rPr>
          <w:rFonts w:ascii="Garamond" w:hAnsi="Garamond"/>
          <w:bCs/>
        </w:rPr>
        <w:t>Government</w:t>
      </w:r>
      <w:proofErr w:type="spellEnd"/>
      <w:r w:rsidRPr="000A0715">
        <w:rPr>
          <w:rFonts w:ascii="Garamond" w:hAnsi="Garamond"/>
          <w:bCs/>
        </w:rPr>
        <w:t xml:space="preserve"> deficit / </w:t>
      </w:r>
      <w:proofErr w:type="spellStart"/>
      <w:r w:rsidRPr="000A0715">
        <w:rPr>
          <w:rFonts w:ascii="Garamond" w:hAnsi="Garamond"/>
          <w:bCs/>
        </w:rPr>
        <w:t>surplus</w:t>
      </w:r>
      <w:proofErr w:type="spellEnd"/>
      <w:r w:rsidRPr="000A0715">
        <w:rPr>
          <w:rFonts w:ascii="Garamond" w:hAnsi="Garamond"/>
          <w:bCs/>
        </w:rPr>
        <w:t xml:space="preserve"> as a </w:t>
      </w:r>
      <w:proofErr w:type="spellStart"/>
      <w:r w:rsidRPr="000A0715">
        <w:rPr>
          <w:rFonts w:ascii="Garamond" w:hAnsi="Garamond"/>
          <w:bCs/>
        </w:rPr>
        <w:t>percentage</w:t>
      </w:r>
      <w:proofErr w:type="spellEnd"/>
      <w:r w:rsidRPr="000A0715">
        <w:rPr>
          <w:rFonts w:ascii="Garamond" w:hAnsi="Garamond"/>
          <w:bCs/>
        </w:rPr>
        <w:t xml:space="preserve"> </w:t>
      </w:r>
      <w:proofErr w:type="spellStart"/>
      <w:r w:rsidRPr="000A0715">
        <w:rPr>
          <w:rFonts w:ascii="Garamond" w:hAnsi="Garamond"/>
          <w:bCs/>
        </w:rPr>
        <w:t>of</w:t>
      </w:r>
      <w:proofErr w:type="spellEnd"/>
      <w:r w:rsidRPr="000A0715">
        <w:rPr>
          <w:rFonts w:ascii="Garamond" w:hAnsi="Garamond"/>
          <w:bCs/>
        </w:rPr>
        <w:t xml:space="preserve"> GDP</w:t>
      </w:r>
      <w:r>
        <w:rPr>
          <w:rFonts w:ascii="Garamond" w:hAnsi="Garamond"/>
          <w:bCs/>
        </w:rPr>
        <w:t xml:space="preserve">. </w:t>
      </w:r>
      <w:r w:rsidRPr="005E0FB0">
        <w:rPr>
          <w:rFonts w:ascii="Garamond" w:hAnsi="Garamond"/>
        </w:rPr>
        <w:t>[</w:t>
      </w:r>
      <w:r>
        <w:rPr>
          <w:rFonts w:ascii="Garamond" w:hAnsi="Garamond"/>
          <w:bCs/>
        </w:rPr>
        <w:t>O</w:t>
      </w:r>
      <w:r w:rsidR="00A35254" w:rsidRPr="001867F9">
        <w:rPr>
          <w:rFonts w:ascii="Garamond" w:hAnsi="Garamond"/>
          <w:bCs/>
        </w:rPr>
        <w:t>nline]. Dostupné</w:t>
      </w:r>
      <w:r w:rsidR="00A35254">
        <w:rPr>
          <w:rFonts w:ascii="Garamond" w:hAnsi="Garamond"/>
          <w:bCs/>
        </w:rPr>
        <w:t xml:space="preserve"> z</w:t>
      </w:r>
      <w:r w:rsidR="00A35254" w:rsidRPr="001867F9">
        <w:rPr>
          <w:rFonts w:ascii="Garamond" w:hAnsi="Garamond"/>
          <w:bCs/>
        </w:rPr>
        <w:t> &lt;</w:t>
      </w:r>
      <w:hyperlink r:id="rId20" w:history="1">
        <w:r w:rsidRPr="00F704A7">
          <w:rPr>
            <w:rStyle w:val="Hypertextovodkaz"/>
            <w:rFonts w:ascii="Garamond" w:hAnsi="Garamond"/>
            <w:bCs/>
          </w:rPr>
          <w:t>http://www.oecd-ilibrary.org/economics/government-deficit_gov-dfct-table-en</w:t>
        </w:r>
      </w:hyperlink>
      <w:r w:rsidR="00A35254" w:rsidRPr="00264DB0">
        <w:rPr>
          <w:rFonts w:ascii="Garamond" w:hAnsi="Garamond"/>
          <w:b/>
          <w:bCs/>
        </w:rPr>
        <w:t>&gt;</w:t>
      </w:r>
    </w:p>
    <w:p w:rsidR="00A35254" w:rsidRPr="005E0FB0" w:rsidRDefault="00A35254" w:rsidP="00C66C17">
      <w:pPr>
        <w:ind w:left="360"/>
        <w:rPr>
          <w:rFonts w:ascii="Garamond" w:hAnsi="Garamond"/>
        </w:rPr>
      </w:pPr>
      <w:r w:rsidRPr="005E0FB0">
        <w:rPr>
          <w:rFonts w:ascii="Garamond" w:hAnsi="Garamond"/>
        </w:rPr>
        <w:t>E</w:t>
      </w:r>
      <w:r>
        <w:rPr>
          <w:rFonts w:ascii="Garamond" w:hAnsi="Garamond"/>
        </w:rPr>
        <w:t>UROSTAT</w:t>
      </w:r>
      <w:r w:rsidR="00143E04">
        <w:rPr>
          <w:rFonts w:ascii="Garamond" w:hAnsi="Garamond"/>
        </w:rPr>
        <w:t xml:space="preserve"> (2015</w:t>
      </w:r>
      <w:r w:rsidRPr="005E0FB0">
        <w:rPr>
          <w:rFonts w:ascii="Garamond" w:hAnsi="Garamond"/>
        </w:rPr>
        <w:t xml:space="preserve">) </w:t>
      </w:r>
      <w:r w:rsidRPr="00194A4C">
        <w:rPr>
          <w:rFonts w:ascii="Garamond" w:hAnsi="Garamond"/>
        </w:rPr>
        <w:t xml:space="preserve">General </w:t>
      </w:r>
      <w:proofErr w:type="spellStart"/>
      <w:r w:rsidRPr="00194A4C">
        <w:rPr>
          <w:rFonts w:ascii="Garamond" w:hAnsi="Garamond"/>
        </w:rPr>
        <w:t>government</w:t>
      </w:r>
      <w:proofErr w:type="spellEnd"/>
      <w:r w:rsidRPr="00194A4C">
        <w:rPr>
          <w:rFonts w:ascii="Garamond" w:hAnsi="Garamond"/>
        </w:rPr>
        <w:t xml:space="preserve"> gross </w:t>
      </w:r>
      <w:proofErr w:type="spellStart"/>
      <w:r w:rsidRPr="00194A4C">
        <w:rPr>
          <w:rFonts w:ascii="Garamond" w:hAnsi="Garamond"/>
        </w:rPr>
        <w:t>debt</w:t>
      </w:r>
      <w:proofErr w:type="spellEnd"/>
      <w:r w:rsidRPr="005E0FB0">
        <w:rPr>
          <w:rFonts w:ascii="Garamond" w:hAnsi="Garamond"/>
        </w:rPr>
        <w:t xml:space="preserve"> </w:t>
      </w:r>
      <w:r w:rsidRPr="005E0FB0">
        <w:rPr>
          <w:rFonts w:ascii="Garamond" w:hAnsi="Garamond"/>
          <w:lang w:val="en-US"/>
        </w:rPr>
        <w:t>[</w:t>
      </w:r>
      <w:r w:rsidRPr="005E0FB0">
        <w:rPr>
          <w:rFonts w:ascii="Garamond" w:hAnsi="Garamond"/>
        </w:rPr>
        <w:t xml:space="preserve">% </w:t>
      </w:r>
      <w:proofErr w:type="spellStart"/>
      <w:r w:rsidRPr="005E0FB0">
        <w:rPr>
          <w:rFonts w:ascii="Garamond" w:hAnsi="Garamond"/>
        </w:rPr>
        <w:t>of</w:t>
      </w:r>
      <w:proofErr w:type="spellEnd"/>
      <w:r w:rsidRPr="005E0FB0">
        <w:rPr>
          <w:rFonts w:ascii="Garamond" w:hAnsi="Garamond"/>
        </w:rPr>
        <w:t xml:space="preserve"> GDP]. </w:t>
      </w:r>
      <w:proofErr w:type="gramStart"/>
      <w:r w:rsidRPr="005E0FB0">
        <w:rPr>
          <w:rFonts w:ascii="Garamond" w:hAnsi="Garamond"/>
        </w:rPr>
        <w:t>online</w:t>
      </w:r>
      <w:proofErr w:type="gramEnd"/>
      <w:r w:rsidRPr="005E0FB0">
        <w:rPr>
          <w:rFonts w:ascii="Garamond" w:hAnsi="Garamond"/>
        </w:rPr>
        <w:t>]. Dostupné z &lt;</w:t>
      </w:r>
      <w:bookmarkStart w:id="2" w:name="_GoBack"/>
      <w:bookmarkEnd w:id="2"/>
      <w:r w:rsidR="00143E04">
        <w:fldChar w:fldCharType="begin"/>
      </w:r>
      <w:r w:rsidR="00143E04">
        <w:instrText xml:space="preserve"> HYPERLINK "</w:instrText>
      </w:r>
      <w:r w:rsidR="00143E04" w:rsidRPr="00143E04">
        <w:instrText>http://ec.europa.eu/eurostat/tgm/table.do?tab=table&amp;init=1&amp;language=en&amp;pcode=teina225&amp;plugin=1</w:instrText>
      </w:r>
      <w:r w:rsidR="00143E04">
        <w:instrText xml:space="preserve">" </w:instrText>
      </w:r>
      <w:r w:rsidR="00143E04">
        <w:fldChar w:fldCharType="separate"/>
      </w:r>
      <w:r w:rsidR="00143E04" w:rsidRPr="00F704A7">
        <w:rPr>
          <w:rStyle w:val="Hypertextovodkaz"/>
        </w:rPr>
        <w:t>http://ec.europa.eu/eurostat/tgm/table.do?tab=table&amp;init=1&amp;language=en&amp;pcode=teina225&amp;plugin=1</w:t>
      </w:r>
      <w:r w:rsidR="00143E04">
        <w:fldChar w:fldCharType="end"/>
      </w:r>
      <w:r w:rsidR="00224BA4">
        <w:t>&gt;</w:t>
      </w:r>
    </w:p>
    <w:p w:rsidR="00A35254" w:rsidRPr="005E0FB0" w:rsidRDefault="00A35254" w:rsidP="005E0FB0">
      <w:pPr>
        <w:spacing w:after="0"/>
        <w:ind w:left="357"/>
        <w:rPr>
          <w:rFonts w:ascii="Garamond" w:hAnsi="Garamond"/>
        </w:rPr>
      </w:pPr>
      <w:r w:rsidRPr="005E0FB0">
        <w:rPr>
          <w:rFonts w:ascii="Garamond" w:hAnsi="Garamond"/>
        </w:rPr>
        <w:t>PEKOVÁ, J. Veřejné finance – úvod do problematiky. 4. aktualizované a rozšířené vyd. Praha: ASPI, 2008. 508 s. ISBN 978-80-7357-358-4</w:t>
      </w:r>
    </w:p>
    <w:p w:rsidR="00A35254" w:rsidRPr="009B0BC5" w:rsidRDefault="00A35254" w:rsidP="00B76FA1">
      <w:pPr>
        <w:pStyle w:val="Odstavecseseznamem"/>
        <w:numPr>
          <w:ilvl w:val="1"/>
          <w:numId w:val="5"/>
        </w:numPr>
        <w:rPr>
          <w:rFonts w:ascii="Garamond" w:hAnsi="Garamond"/>
        </w:rPr>
      </w:pPr>
      <w:r w:rsidRPr="009B0BC5">
        <w:rPr>
          <w:rFonts w:ascii="Garamond" w:hAnsi="Garamond"/>
        </w:rPr>
        <w:t>kapitola 10: Rozpočtový deficit a veřejný dluh (str. 454 - 507)</w:t>
      </w:r>
    </w:p>
    <w:p w:rsidR="00A35254" w:rsidRDefault="00A35254" w:rsidP="00F567F9">
      <w:pPr>
        <w:ind w:left="357"/>
        <w:rPr>
          <w:rFonts w:ascii="Garamond" w:hAnsi="Garamond"/>
        </w:rPr>
      </w:pPr>
      <w:proofErr w:type="gramStart"/>
      <w:r w:rsidRPr="00F567F9">
        <w:rPr>
          <w:rFonts w:ascii="Garamond" w:hAnsi="Garamond"/>
        </w:rPr>
        <w:t>STRECKOVÁ, Y.,I. MALÝ</w:t>
      </w:r>
      <w:proofErr w:type="gramEnd"/>
      <w:r w:rsidRPr="00F567F9">
        <w:rPr>
          <w:rFonts w:ascii="Garamond" w:hAnsi="Garamond"/>
        </w:rPr>
        <w:t xml:space="preserve">. Veřejná ekonomie pro školu i praxi. Vyd. 1. Praha: </w:t>
      </w:r>
      <w:proofErr w:type="spellStart"/>
      <w:r w:rsidRPr="00F567F9">
        <w:rPr>
          <w:rFonts w:ascii="Garamond" w:hAnsi="Garamond"/>
        </w:rPr>
        <w:t>Computer</w:t>
      </w:r>
      <w:proofErr w:type="spellEnd"/>
      <w:r w:rsidRPr="00F567F9">
        <w:rPr>
          <w:rFonts w:ascii="Garamond" w:hAnsi="Garamond"/>
        </w:rPr>
        <w:t xml:space="preserve"> </w:t>
      </w:r>
      <w:proofErr w:type="spellStart"/>
      <w:r w:rsidRPr="00F567F9">
        <w:rPr>
          <w:rFonts w:ascii="Garamond" w:hAnsi="Garamond"/>
        </w:rPr>
        <w:t>Press</w:t>
      </w:r>
      <w:proofErr w:type="spellEnd"/>
      <w:r w:rsidRPr="00F567F9">
        <w:rPr>
          <w:rFonts w:ascii="Garamond" w:hAnsi="Garamond"/>
        </w:rPr>
        <w:t xml:space="preserve">, 1998. </w:t>
      </w:r>
      <w:proofErr w:type="spellStart"/>
      <w:r w:rsidRPr="00F567F9">
        <w:rPr>
          <w:rFonts w:ascii="Garamond" w:hAnsi="Garamond"/>
        </w:rPr>
        <w:t>xii</w:t>
      </w:r>
      <w:proofErr w:type="spellEnd"/>
      <w:r w:rsidRPr="00F567F9">
        <w:rPr>
          <w:rFonts w:ascii="Garamond" w:hAnsi="Garamond"/>
        </w:rPr>
        <w:t>, 214 s. ISBN 80-7226-112-6.</w:t>
      </w:r>
    </w:p>
    <w:p w:rsidR="00A35254" w:rsidRPr="005E0FB0" w:rsidRDefault="00A35254" w:rsidP="005E0FB0">
      <w:pPr>
        <w:spacing w:after="0"/>
        <w:ind w:left="357"/>
        <w:rPr>
          <w:rFonts w:ascii="Garamond" w:hAnsi="Garamond"/>
        </w:rPr>
      </w:pPr>
      <w:r w:rsidRPr="005E0FB0">
        <w:rPr>
          <w:rFonts w:ascii="Garamond" w:hAnsi="Garamond"/>
        </w:rPr>
        <w:t>HAMERNÍKOVÁ, B.; MAAYTOVÁ, A. a kol. Veřejné finance. 1. vyd. Praha: ASPI, 2007. 364 s. ISBN 978-80-73577-301-0</w:t>
      </w:r>
    </w:p>
    <w:p w:rsidR="00A35254" w:rsidRPr="009B0BC5" w:rsidRDefault="00A35254" w:rsidP="00B76FA1">
      <w:pPr>
        <w:pStyle w:val="Odstavecseseznamem"/>
        <w:numPr>
          <w:ilvl w:val="1"/>
          <w:numId w:val="5"/>
        </w:numPr>
        <w:rPr>
          <w:rFonts w:ascii="Garamond" w:hAnsi="Garamond"/>
        </w:rPr>
      </w:pPr>
      <w:r w:rsidRPr="009B0BC5">
        <w:rPr>
          <w:rFonts w:ascii="Garamond" w:hAnsi="Garamond"/>
        </w:rPr>
        <w:t>kapitola 11: Fiskální nerovnováha - problémy a dopady (str. 257 - 281)</w:t>
      </w:r>
    </w:p>
    <w:sectPr w:rsidR="00A35254" w:rsidRPr="009B0BC5" w:rsidSect="00F567F9">
      <w:headerReference w:type="default" r:id="rId21"/>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D6" w:rsidRDefault="005070D6" w:rsidP="00183EDD">
      <w:pPr>
        <w:spacing w:after="0" w:line="240" w:lineRule="auto"/>
      </w:pPr>
      <w:r>
        <w:separator/>
      </w:r>
    </w:p>
  </w:endnote>
  <w:endnote w:type="continuationSeparator" w:id="0">
    <w:p w:rsidR="005070D6" w:rsidRDefault="005070D6" w:rsidP="0018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D6" w:rsidRDefault="005070D6" w:rsidP="00183EDD">
      <w:pPr>
        <w:spacing w:after="0" w:line="240" w:lineRule="auto"/>
      </w:pPr>
      <w:r>
        <w:separator/>
      </w:r>
    </w:p>
  </w:footnote>
  <w:footnote w:type="continuationSeparator" w:id="0">
    <w:p w:rsidR="005070D6" w:rsidRDefault="005070D6" w:rsidP="00183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254" w:rsidRPr="00183EDD" w:rsidRDefault="00A35254" w:rsidP="00183EDD">
    <w:pPr>
      <w:pStyle w:val="Zhlav"/>
      <w:jc w:val="center"/>
      <w:rPr>
        <w:rFonts w:ascii="Arial" w:hAnsi="Arial" w:cs="Arial"/>
        <w:sz w:val="32"/>
        <w:szCs w:val="32"/>
      </w:rPr>
    </w:pPr>
    <w:r w:rsidRPr="00183EDD">
      <w:rPr>
        <w:rFonts w:ascii="Arial" w:hAnsi="Arial" w:cs="Arial"/>
        <w:sz w:val="32"/>
        <w:szCs w:val="32"/>
      </w:rPr>
      <w:t>Základy veřejných financí a veřejné správy – osnova cvičení</w:t>
    </w:r>
  </w:p>
  <w:p w:rsidR="00A35254" w:rsidRDefault="00A352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B1B"/>
    <w:multiLevelType w:val="hybridMultilevel"/>
    <w:tmpl w:val="DD348EC2"/>
    <w:lvl w:ilvl="0" w:tplc="11E846EA">
      <w:numFmt w:val="bullet"/>
      <w:pStyle w:val="StylVlevo063cm"/>
      <w:lvlText w:val="-"/>
      <w:lvlJc w:val="left"/>
      <w:pPr>
        <w:tabs>
          <w:tab w:val="num" w:pos="717"/>
        </w:tabs>
        <w:ind w:left="717" w:hanging="357"/>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15D171B"/>
    <w:multiLevelType w:val="hybridMultilevel"/>
    <w:tmpl w:val="2488F3EA"/>
    <w:lvl w:ilvl="0" w:tplc="DD909D90">
      <w:start w:val="1"/>
      <w:numFmt w:val="decimal"/>
      <w:lvlText w:val="%1."/>
      <w:lvlJc w:val="left"/>
      <w:pPr>
        <w:ind w:left="720" w:hanging="360"/>
      </w:pPr>
      <w:rPr>
        <w:rFonts w:cs="Times New Roman" w:hint="default"/>
        <w:sz w:val="28"/>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B7E18B0"/>
    <w:multiLevelType w:val="hybridMultilevel"/>
    <w:tmpl w:val="1BE8D544"/>
    <w:lvl w:ilvl="0" w:tplc="FFFAD15C">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647"/>
        </w:tabs>
        <w:ind w:left="1647" w:hanging="567"/>
      </w:pPr>
      <w:rPr>
        <w:rFonts w:ascii="Courier New" w:hAnsi="Courier New" w:hint="default"/>
      </w:rPr>
    </w:lvl>
    <w:lvl w:ilvl="2" w:tplc="04050003">
      <w:start w:val="1"/>
      <w:numFmt w:val="bullet"/>
      <w:lvlText w:val="o"/>
      <w:lvlJc w:val="left"/>
      <w:pPr>
        <w:tabs>
          <w:tab w:val="num" w:pos="2160"/>
        </w:tabs>
        <w:ind w:left="2160" w:hanging="360"/>
      </w:pPr>
      <w:rPr>
        <w:rFonts w:ascii="Courier New" w:hAnsi="Courier New"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813654E"/>
    <w:multiLevelType w:val="hybridMultilevel"/>
    <w:tmpl w:val="55D8AB88"/>
    <w:lvl w:ilvl="0" w:tplc="FFFAD15C">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BA54F41"/>
    <w:multiLevelType w:val="hybridMultilevel"/>
    <w:tmpl w:val="E21263F2"/>
    <w:lvl w:ilvl="0" w:tplc="E72058D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C16196A"/>
    <w:multiLevelType w:val="hybridMultilevel"/>
    <w:tmpl w:val="653C2F38"/>
    <w:lvl w:ilvl="0" w:tplc="FFFAD15C">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DD"/>
    <w:rsid w:val="00012A50"/>
    <w:rsid w:val="00047D73"/>
    <w:rsid w:val="00064B24"/>
    <w:rsid w:val="00080045"/>
    <w:rsid w:val="000A0715"/>
    <w:rsid w:val="000B6D1E"/>
    <w:rsid w:val="000C571B"/>
    <w:rsid w:val="00115BE4"/>
    <w:rsid w:val="00143E04"/>
    <w:rsid w:val="0015464E"/>
    <w:rsid w:val="001609F3"/>
    <w:rsid w:val="00173434"/>
    <w:rsid w:val="00183EDD"/>
    <w:rsid w:val="001867F9"/>
    <w:rsid w:val="00191D30"/>
    <w:rsid w:val="00193E5A"/>
    <w:rsid w:val="00194A4C"/>
    <w:rsid w:val="00196DE9"/>
    <w:rsid w:val="001B3D72"/>
    <w:rsid w:val="001B4B22"/>
    <w:rsid w:val="001B56BA"/>
    <w:rsid w:val="001D161F"/>
    <w:rsid w:val="001E0501"/>
    <w:rsid w:val="0020503E"/>
    <w:rsid w:val="00224BA4"/>
    <w:rsid w:val="00264DB0"/>
    <w:rsid w:val="00274B9E"/>
    <w:rsid w:val="00275BEB"/>
    <w:rsid w:val="002C52E1"/>
    <w:rsid w:val="00310AC3"/>
    <w:rsid w:val="0032250F"/>
    <w:rsid w:val="003252D2"/>
    <w:rsid w:val="003566AF"/>
    <w:rsid w:val="00370EFD"/>
    <w:rsid w:val="00383CAD"/>
    <w:rsid w:val="003972B7"/>
    <w:rsid w:val="003D7093"/>
    <w:rsid w:val="003D72AA"/>
    <w:rsid w:val="003F307B"/>
    <w:rsid w:val="00416E59"/>
    <w:rsid w:val="00433863"/>
    <w:rsid w:val="00446635"/>
    <w:rsid w:val="004549FF"/>
    <w:rsid w:val="0050705A"/>
    <w:rsid w:val="005070D6"/>
    <w:rsid w:val="00510622"/>
    <w:rsid w:val="00537188"/>
    <w:rsid w:val="00566D93"/>
    <w:rsid w:val="00581EC8"/>
    <w:rsid w:val="005B0FD3"/>
    <w:rsid w:val="005B2554"/>
    <w:rsid w:val="005B7548"/>
    <w:rsid w:val="005E0FB0"/>
    <w:rsid w:val="005E511E"/>
    <w:rsid w:val="005F44D3"/>
    <w:rsid w:val="00603C78"/>
    <w:rsid w:val="00622D51"/>
    <w:rsid w:val="00634999"/>
    <w:rsid w:val="00650B94"/>
    <w:rsid w:val="00675038"/>
    <w:rsid w:val="006A0E07"/>
    <w:rsid w:val="006B24E0"/>
    <w:rsid w:val="006F0708"/>
    <w:rsid w:val="0073053A"/>
    <w:rsid w:val="00733B76"/>
    <w:rsid w:val="00745854"/>
    <w:rsid w:val="0075795F"/>
    <w:rsid w:val="00762E3C"/>
    <w:rsid w:val="00777E1C"/>
    <w:rsid w:val="00791DBA"/>
    <w:rsid w:val="007C301E"/>
    <w:rsid w:val="007E07F8"/>
    <w:rsid w:val="007E5408"/>
    <w:rsid w:val="007E7F84"/>
    <w:rsid w:val="007F5412"/>
    <w:rsid w:val="008055B4"/>
    <w:rsid w:val="00841B37"/>
    <w:rsid w:val="0085641B"/>
    <w:rsid w:val="008619D8"/>
    <w:rsid w:val="008639FC"/>
    <w:rsid w:val="00874624"/>
    <w:rsid w:val="008811A7"/>
    <w:rsid w:val="008A7590"/>
    <w:rsid w:val="008F3432"/>
    <w:rsid w:val="00910D3E"/>
    <w:rsid w:val="0091795F"/>
    <w:rsid w:val="00931DF2"/>
    <w:rsid w:val="009523D0"/>
    <w:rsid w:val="0096498C"/>
    <w:rsid w:val="00965A9E"/>
    <w:rsid w:val="009676BA"/>
    <w:rsid w:val="00992465"/>
    <w:rsid w:val="0099351D"/>
    <w:rsid w:val="009A68D1"/>
    <w:rsid w:val="009B0BC5"/>
    <w:rsid w:val="009C0564"/>
    <w:rsid w:val="009C3B86"/>
    <w:rsid w:val="009C6B42"/>
    <w:rsid w:val="009F51C3"/>
    <w:rsid w:val="00A0406F"/>
    <w:rsid w:val="00A24B9A"/>
    <w:rsid w:val="00A30765"/>
    <w:rsid w:val="00A35254"/>
    <w:rsid w:val="00A848A0"/>
    <w:rsid w:val="00AA4D00"/>
    <w:rsid w:val="00AE3AC8"/>
    <w:rsid w:val="00AE75B7"/>
    <w:rsid w:val="00AF13DD"/>
    <w:rsid w:val="00B05E09"/>
    <w:rsid w:val="00B360DC"/>
    <w:rsid w:val="00B36F01"/>
    <w:rsid w:val="00B67FC8"/>
    <w:rsid w:val="00B76FA1"/>
    <w:rsid w:val="00B8560C"/>
    <w:rsid w:val="00B9013B"/>
    <w:rsid w:val="00BA497C"/>
    <w:rsid w:val="00BA68D2"/>
    <w:rsid w:val="00C25A9C"/>
    <w:rsid w:val="00C54846"/>
    <w:rsid w:val="00C66C17"/>
    <w:rsid w:val="00C7409B"/>
    <w:rsid w:val="00C9126F"/>
    <w:rsid w:val="00C94C38"/>
    <w:rsid w:val="00CA3577"/>
    <w:rsid w:val="00CA651F"/>
    <w:rsid w:val="00CA7D57"/>
    <w:rsid w:val="00CC1847"/>
    <w:rsid w:val="00CC7E38"/>
    <w:rsid w:val="00CD4C30"/>
    <w:rsid w:val="00CE4B71"/>
    <w:rsid w:val="00CF6C32"/>
    <w:rsid w:val="00D35028"/>
    <w:rsid w:val="00D4192F"/>
    <w:rsid w:val="00D607C2"/>
    <w:rsid w:val="00DA76D6"/>
    <w:rsid w:val="00DD56A7"/>
    <w:rsid w:val="00DF2C9B"/>
    <w:rsid w:val="00E379D5"/>
    <w:rsid w:val="00E56FD5"/>
    <w:rsid w:val="00E6578D"/>
    <w:rsid w:val="00E6784F"/>
    <w:rsid w:val="00E958DC"/>
    <w:rsid w:val="00EA004E"/>
    <w:rsid w:val="00EB20EF"/>
    <w:rsid w:val="00EE13EE"/>
    <w:rsid w:val="00EF3518"/>
    <w:rsid w:val="00EF5F58"/>
    <w:rsid w:val="00F35F4D"/>
    <w:rsid w:val="00F400E1"/>
    <w:rsid w:val="00F5594F"/>
    <w:rsid w:val="00F55BCA"/>
    <w:rsid w:val="00F567F9"/>
    <w:rsid w:val="00F60BF3"/>
    <w:rsid w:val="00F65E7C"/>
    <w:rsid w:val="00F71474"/>
    <w:rsid w:val="00F97167"/>
    <w:rsid w:val="00FB6566"/>
    <w:rsid w:val="00FB6AAF"/>
    <w:rsid w:val="00FF3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1B37"/>
    <w:pPr>
      <w:spacing w:after="200" w:line="276" w:lineRule="auto"/>
    </w:pPr>
    <w:rPr>
      <w:lang w:eastAsia="en-US"/>
    </w:rPr>
  </w:style>
  <w:style w:type="paragraph" w:styleId="Nadpis1">
    <w:name w:val="heading 1"/>
    <w:basedOn w:val="Normln"/>
    <w:next w:val="Normln"/>
    <w:link w:val="Nadpis1Char"/>
    <w:uiPriority w:val="99"/>
    <w:qFormat/>
    <w:rsid w:val="00910D3E"/>
    <w:pPr>
      <w:keepNext/>
      <w:spacing w:before="240" w:after="60" w:line="240" w:lineRule="auto"/>
      <w:jc w:val="both"/>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iPriority w:val="99"/>
    <w:qFormat/>
    <w:rsid w:val="009B0BC5"/>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10D3E"/>
    <w:rPr>
      <w:rFonts w:ascii="Arial" w:hAnsi="Arial" w:cs="Arial"/>
      <w:b/>
      <w:bCs/>
      <w:kern w:val="32"/>
      <w:sz w:val="32"/>
      <w:szCs w:val="32"/>
      <w:lang w:eastAsia="cs-CZ"/>
    </w:rPr>
  </w:style>
  <w:style w:type="character" w:customStyle="1" w:styleId="Nadpis3Char">
    <w:name w:val="Nadpis 3 Char"/>
    <w:basedOn w:val="Standardnpsmoodstavce"/>
    <w:link w:val="Nadpis3"/>
    <w:uiPriority w:val="99"/>
    <w:semiHidden/>
    <w:locked/>
    <w:rsid w:val="009B0BC5"/>
    <w:rPr>
      <w:rFonts w:ascii="Cambria" w:hAnsi="Cambria" w:cs="Times New Roman"/>
      <w:b/>
      <w:bCs/>
      <w:color w:val="4F81BD"/>
    </w:rPr>
  </w:style>
  <w:style w:type="paragraph" w:styleId="Zhlav">
    <w:name w:val="header"/>
    <w:basedOn w:val="Normln"/>
    <w:link w:val="ZhlavChar"/>
    <w:uiPriority w:val="99"/>
    <w:rsid w:val="00183ED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83EDD"/>
    <w:rPr>
      <w:rFonts w:cs="Times New Roman"/>
    </w:rPr>
  </w:style>
  <w:style w:type="paragraph" w:styleId="Zpat">
    <w:name w:val="footer"/>
    <w:basedOn w:val="Normln"/>
    <w:link w:val="ZpatChar"/>
    <w:uiPriority w:val="99"/>
    <w:rsid w:val="00183ED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83EDD"/>
    <w:rPr>
      <w:rFonts w:cs="Times New Roman"/>
    </w:rPr>
  </w:style>
  <w:style w:type="paragraph" w:styleId="Textbubliny">
    <w:name w:val="Balloon Text"/>
    <w:basedOn w:val="Normln"/>
    <w:link w:val="TextbublinyChar"/>
    <w:uiPriority w:val="99"/>
    <w:semiHidden/>
    <w:rsid w:val="00183E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EDD"/>
    <w:rPr>
      <w:rFonts w:ascii="Tahoma" w:hAnsi="Tahoma" w:cs="Tahoma"/>
      <w:sz w:val="16"/>
      <w:szCs w:val="16"/>
    </w:rPr>
  </w:style>
  <w:style w:type="paragraph" w:styleId="Odstavecseseznamem">
    <w:name w:val="List Paragraph"/>
    <w:basedOn w:val="Normln"/>
    <w:uiPriority w:val="99"/>
    <w:qFormat/>
    <w:rsid w:val="00183EDD"/>
    <w:pPr>
      <w:ind w:left="720"/>
      <w:contextualSpacing/>
    </w:pPr>
  </w:style>
  <w:style w:type="character" w:styleId="Hypertextovodkaz">
    <w:name w:val="Hyperlink"/>
    <w:basedOn w:val="Standardnpsmoodstavce"/>
    <w:uiPriority w:val="99"/>
    <w:rsid w:val="009676BA"/>
    <w:rPr>
      <w:rFonts w:cs="Times New Roman"/>
      <w:color w:val="0000FF"/>
      <w:u w:val="single"/>
    </w:rPr>
  </w:style>
  <w:style w:type="character" w:styleId="slostrnky">
    <w:name w:val="page number"/>
    <w:basedOn w:val="Standardnpsmoodstavce"/>
    <w:uiPriority w:val="99"/>
    <w:rsid w:val="00C94C38"/>
    <w:rPr>
      <w:rFonts w:cs="Times New Roman"/>
    </w:rPr>
  </w:style>
  <w:style w:type="table" w:styleId="Mkatabulky">
    <w:name w:val="Table Grid"/>
    <w:basedOn w:val="Normlntabulka"/>
    <w:uiPriority w:val="99"/>
    <w:rsid w:val="00E56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6784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uiPriority w:val="99"/>
    <w:rsid w:val="009B0BC5"/>
    <w:pPr>
      <w:autoSpaceDE w:val="0"/>
      <w:autoSpaceDN w:val="0"/>
      <w:adjustRightInd w:val="0"/>
      <w:spacing w:after="0" w:line="240" w:lineRule="auto"/>
      <w:jc w:val="right"/>
    </w:pPr>
    <w:rPr>
      <w:rFonts w:ascii="Times New Roman" w:eastAsia="Times New Roman" w:hAnsi="Times New Roman"/>
      <w:b/>
      <w:bCs/>
      <w:color w:val="000000"/>
      <w:sz w:val="40"/>
      <w:szCs w:val="48"/>
      <w:lang w:eastAsia="cs-CZ"/>
    </w:rPr>
  </w:style>
  <w:style w:type="character" w:customStyle="1" w:styleId="ZkladntextChar">
    <w:name w:val="Základní text Char"/>
    <w:basedOn w:val="Standardnpsmoodstavce"/>
    <w:link w:val="Zkladntext"/>
    <w:uiPriority w:val="99"/>
    <w:locked/>
    <w:rsid w:val="009B0BC5"/>
    <w:rPr>
      <w:rFonts w:ascii="Times New Roman" w:hAnsi="Times New Roman" w:cs="Times New Roman"/>
      <w:b/>
      <w:bCs/>
      <w:color w:val="000000"/>
      <w:sz w:val="48"/>
      <w:szCs w:val="48"/>
      <w:lang w:eastAsia="cs-CZ"/>
    </w:rPr>
  </w:style>
  <w:style w:type="paragraph" w:customStyle="1" w:styleId="StylVlevo063cm">
    <w:name w:val="Styl Vlevo:  063 cm"/>
    <w:basedOn w:val="Normln"/>
    <w:uiPriority w:val="99"/>
    <w:rsid w:val="009B0BC5"/>
    <w:pPr>
      <w:numPr>
        <w:numId w:val="4"/>
      </w:numPr>
      <w:spacing w:before="120" w:after="120" w:line="240" w:lineRule="auto"/>
      <w:jc w:val="both"/>
    </w:pPr>
    <w:rPr>
      <w:rFonts w:ascii="Times New Roman" w:eastAsia="Times New Roman" w:hAnsi="Times New Roman"/>
      <w:sz w:val="24"/>
      <w:szCs w:val="20"/>
      <w:lang w:eastAsia="cs-CZ"/>
    </w:rPr>
  </w:style>
  <w:style w:type="character" w:styleId="Odkaznakoment">
    <w:name w:val="annotation reference"/>
    <w:basedOn w:val="Standardnpsmoodstavce"/>
    <w:uiPriority w:val="99"/>
    <w:semiHidden/>
    <w:rsid w:val="00194A4C"/>
    <w:rPr>
      <w:rFonts w:cs="Times New Roman"/>
      <w:sz w:val="16"/>
      <w:szCs w:val="16"/>
    </w:rPr>
  </w:style>
  <w:style w:type="paragraph" w:styleId="Textkomente">
    <w:name w:val="annotation text"/>
    <w:basedOn w:val="Normln"/>
    <w:link w:val="TextkomenteChar"/>
    <w:uiPriority w:val="99"/>
    <w:semiHidden/>
    <w:rsid w:val="00194A4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94A4C"/>
    <w:rPr>
      <w:rFonts w:cs="Times New Roman"/>
      <w:sz w:val="20"/>
      <w:szCs w:val="20"/>
    </w:rPr>
  </w:style>
  <w:style w:type="paragraph" w:styleId="Pedmtkomente">
    <w:name w:val="annotation subject"/>
    <w:basedOn w:val="Textkomente"/>
    <w:next w:val="Textkomente"/>
    <w:link w:val="PedmtkomenteChar"/>
    <w:uiPriority w:val="99"/>
    <w:semiHidden/>
    <w:rsid w:val="00194A4C"/>
    <w:rPr>
      <w:b/>
      <w:bCs/>
    </w:rPr>
  </w:style>
  <w:style w:type="character" w:customStyle="1" w:styleId="PedmtkomenteChar">
    <w:name w:val="Předmět komentáře Char"/>
    <w:basedOn w:val="TextkomenteChar"/>
    <w:link w:val="Pedmtkomente"/>
    <w:uiPriority w:val="99"/>
    <w:semiHidden/>
    <w:locked/>
    <w:rsid w:val="00194A4C"/>
    <w:rPr>
      <w:rFonts w:cs="Times New Roman"/>
      <w:b/>
      <w:bCs/>
      <w:sz w:val="20"/>
      <w:szCs w:val="20"/>
    </w:rPr>
  </w:style>
  <w:style w:type="character" w:styleId="Sledovanodkaz">
    <w:name w:val="FollowedHyperlink"/>
    <w:basedOn w:val="Standardnpsmoodstavce"/>
    <w:uiPriority w:val="99"/>
    <w:semiHidden/>
    <w:unhideWhenUsed/>
    <w:rsid w:val="003252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1B37"/>
    <w:pPr>
      <w:spacing w:after="200" w:line="276" w:lineRule="auto"/>
    </w:pPr>
    <w:rPr>
      <w:lang w:eastAsia="en-US"/>
    </w:rPr>
  </w:style>
  <w:style w:type="paragraph" w:styleId="Nadpis1">
    <w:name w:val="heading 1"/>
    <w:basedOn w:val="Normln"/>
    <w:next w:val="Normln"/>
    <w:link w:val="Nadpis1Char"/>
    <w:uiPriority w:val="99"/>
    <w:qFormat/>
    <w:rsid w:val="00910D3E"/>
    <w:pPr>
      <w:keepNext/>
      <w:spacing w:before="240" w:after="60" w:line="240" w:lineRule="auto"/>
      <w:jc w:val="both"/>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uiPriority w:val="99"/>
    <w:qFormat/>
    <w:rsid w:val="009B0BC5"/>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10D3E"/>
    <w:rPr>
      <w:rFonts w:ascii="Arial" w:hAnsi="Arial" w:cs="Arial"/>
      <w:b/>
      <w:bCs/>
      <w:kern w:val="32"/>
      <w:sz w:val="32"/>
      <w:szCs w:val="32"/>
      <w:lang w:eastAsia="cs-CZ"/>
    </w:rPr>
  </w:style>
  <w:style w:type="character" w:customStyle="1" w:styleId="Nadpis3Char">
    <w:name w:val="Nadpis 3 Char"/>
    <w:basedOn w:val="Standardnpsmoodstavce"/>
    <w:link w:val="Nadpis3"/>
    <w:uiPriority w:val="99"/>
    <w:semiHidden/>
    <w:locked/>
    <w:rsid w:val="009B0BC5"/>
    <w:rPr>
      <w:rFonts w:ascii="Cambria" w:hAnsi="Cambria" w:cs="Times New Roman"/>
      <w:b/>
      <w:bCs/>
      <w:color w:val="4F81BD"/>
    </w:rPr>
  </w:style>
  <w:style w:type="paragraph" w:styleId="Zhlav">
    <w:name w:val="header"/>
    <w:basedOn w:val="Normln"/>
    <w:link w:val="ZhlavChar"/>
    <w:uiPriority w:val="99"/>
    <w:rsid w:val="00183ED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83EDD"/>
    <w:rPr>
      <w:rFonts w:cs="Times New Roman"/>
    </w:rPr>
  </w:style>
  <w:style w:type="paragraph" w:styleId="Zpat">
    <w:name w:val="footer"/>
    <w:basedOn w:val="Normln"/>
    <w:link w:val="ZpatChar"/>
    <w:uiPriority w:val="99"/>
    <w:rsid w:val="00183ED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83EDD"/>
    <w:rPr>
      <w:rFonts w:cs="Times New Roman"/>
    </w:rPr>
  </w:style>
  <w:style w:type="paragraph" w:styleId="Textbubliny">
    <w:name w:val="Balloon Text"/>
    <w:basedOn w:val="Normln"/>
    <w:link w:val="TextbublinyChar"/>
    <w:uiPriority w:val="99"/>
    <w:semiHidden/>
    <w:rsid w:val="00183E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EDD"/>
    <w:rPr>
      <w:rFonts w:ascii="Tahoma" w:hAnsi="Tahoma" w:cs="Tahoma"/>
      <w:sz w:val="16"/>
      <w:szCs w:val="16"/>
    </w:rPr>
  </w:style>
  <w:style w:type="paragraph" w:styleId="Odstavecseseznamem">
    <w:name w:val="List Paragraph"/>
    <w:basedOn w:val="Normln"/>
    <w:uiPriority w:val="99"/>
    <w:qFormat/>
    <w:rsid w:val="00183EDD"/>
    <w:pPr>
      <w:ind w:left="720"/>
      <w:contextualSpacing/>
    </w:pPr>
  </w:style>
  <w:style w:type="character" w:styleId="Hypertextovodkaz">
    <w:name w:val="Hyperlink"/>
    <w:basedOn w:val="Standardnpsmoodstavce"/>
    <w:uiPriority w:val="99"/>
    <w:rsid w:val="009676BA"/>
    <w:rPr>
      <w:rFonts w:cs="Times New Roman"/>
      <w:color w:val="0000FF"/>
      <w:u w:val="single"/>
    </w:rPr>
  </w:style>
  <w:style w:type="character" w:styleId="slostrnky">
    <w:name w:val="page number"/>
    <w:basedOn w:val="Standardnpsmoodstavce"/>
    <w:uiPriority w:val="99"/>
    <w:rsid w:val="00C94C38"/>
    <w:rPr>
      <w:rFonts w:cs="Times New Roman"/>
    </w:rPr>
  </w:style>
  <w:style w:type="table" w:styleId="Mkatabulky">
    <w:name w:val="Table Grid"/>
    <w:basedOn w:val="Normlntabulka"/>
    <w:uiPriority w:val="99"/>
    <w:rsid w:val="00E56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6784F"/>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basedOn w:val="Normln"/>
    <w:link w:val="ZkladntextChar"/>
    <w:uiPriority w:val="99"/>
    <w:rsid w:val="009B0BC5"/>
    <w:pPr>
      <w:autoSpaceDE w:val="0"/>
      <w:autoSpaceDN w:val="0"/>
      <w:adjustRightInd w:val="0"/>
      <w:spacing w:after="0" w:line="240" w:lineRule="auto"/>
      <w:jc w:val="right"/>
    </w:pPr>
    <w:rPr>
      <w:rFonts w:ascii="Times New Roman" w:eastAsia="Times New Roman" w:hAnsi="Times New Roman"/>
      <w:b/>
      <w:bCs/>
      <w:color w:val="000000"/>
      <w:sz w:val="40"/>
      <w:szCs w:val="48"/>
      <w:lang w:eastAsia="cs-CZ"/>
    </w:rPr>
  </w:style>
  <w:style w:type="character" w:customStyle="1" w:styleId="ZkladntextChar">
    <w:name w:val="Základní text Char"/>
    <w:basedOn w:val="Standardnpsmoodstavce"/>
    <w:link w:val="Zkladntext"/>
    <w:uiPriority w:val="99"/>
    <w:locked/>
    <w:rsid w:val="009B0BC5"/>
    <w:rPr>
      <w:rFonts w:ascii="Times New Roman" w:hAnsi="Times New Roman" w:cs="Times New Roman"/>
      <w:b/>
      <w:bCs/>
      <w:color w:val="000000"/>
      <w:sz w:val="48"/>
      <w:szCs w:val="48"/>
      <w:lang w:eastAsia="cs-CZ"/>
    </w:rPr>
  </w:style>
  <w:style w:type="paragraph" w:customStyle="1" w:styleId="StylVlevo063cm">
    <w:name w:val="Styl Vlevo:  063 cm"/>
    <w:basedOn w:val="Normln"/>
    <w:uiPriority w:val="99"/>
    <w:rsid w:val="009B0BC5"/>
    <w:pPr>
      <w:numPr>
        <w:numId w:val="4"/>
      </w:numPr>
      <w:spacing w:before="120" w:after="120" w:line="240" w:lineRule="auto"/>
      <w:jc w:val="both"/>
    </w:pPr>
    <w:rPr>
      <w:rFonts w:ascii="Times New Roman" w:eastAsia="Times New Roman" w:hAnsi="Times New Roman"/>
      <w:sz w:val="24"/>
      <w:szCs w:val="20"/>
      <w:lang w:eastAsia="cs-CZ"/>
    </w:rPr>
  </w:style>
  <w:style w:type="character" w:styleId="Odkaznakoment">
    <w:name w:val="annotation reference"/>
    <w:basedOn w:val="Standardnpsmoodstavce"/>
    <w:uiPriority w:val="99"/>
    <w:semiHidden/>
    <w:rsid w:val="00194A4C"/>
    <w:rPr>
      <w:rFonts w:cs="Times New Roman"/>
      <w:sz w:val="16"/>
      <w:szCs w:val="16"/>
    </w:rPr>
  </w:style>
  <w:style w:type="paragraph" w:styleId="Textkomente">
    <w:name w:val="annotation text"/>
    <w:basedOn w:val="Normln"/>
    <w:link w:val="TextkomenteChar"/>
    <w:uiPriority w:val="99"/>
    <w:semiHidden/>
    <w:rsid w:val="00194A4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94A4C"/>
    <w:rPr>
      <w:rFonts w:cs="Times New Roman"/>
      <w:sz w:val="20"/>
      <w:szCs w:val="20"/>
    </w:rPr>
  </w:style>
  <w:style w:type="paragraph" w:styleId="Pedmtkomente">
    <w:name w:val="annotation subject"/>
    <w:basedOn w:val="Textkomente"/>
    <w:next w:val="Textkomente"/>
    <w:link w:val="PedmtkomenteChar"/>
    <w:uiPriority w:val="99"/>
    <w:semiHidden/>
    <w:rsid w:val="00194A4C"/>
    <w:rPr>
      <w:b/>
      <w:bCs/>
    </w:rPr>
  </w:style>
  <w:style w:type="character" w:customStyle="1" w:styleId="PedmtkomenteChar">
    <w:name w:val="Předmět komentáře Char"/>
    <w:basedOn w:val="TextkomenteChar"/>
    <w:link w:val="Pedmtkomente"/>
    <w:uiPriority w:val="99"/>
    <w:semiHidden/>
    <w:locked/>
    <w:rsid w:val="00194A4C"/>
    <w:rPr>
      <w:rFonts w:cs="Times New Roman"/>
      <w:b/>
      <w:bCs/>
      <w:sz w:val="20"/>
      <w:szCs w:val="20"/>
    </w:rPr>
  </w:style>
  <w:style w:type="character" w:styleId="Sledovanodkaz">
    <w:name w:val="FollowedHyperlink"/>
    <w:basedOn w:val="Standardnpsmoodstavce"/>
    <w:uiPriority w:val="99"/>
    <w:semiHidden/>
    <w:unhideWhenUsed/>
    <w:rsid w:val="00325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80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hyperlink" Target="http://www.mfcr.cz/cps/rde/xchg/mfcr/hs.xsl/vrsd_dluhova_statistika.ht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mfcr.cz/cs/verejny-sektor/makroekonomika/fiskalni-vyhled/2015/fiskalni-vyhled-cr-kveten-2015-21517"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www.oecd-ilibrary.org/economics/government-deficit_gov-dfct-table-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ec.europa.eu/economy_finance/sgp/index_e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9925\AppData\Local\Temp\190200211x1t0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99925\AppData\Local\Temp\Eurostat_Table_teina225FlagNoDesc_c506d27e-9c56-4048-b13e-29438284fcf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Government deficit / surplus as a percentage of GDP</a:t>
            </a:r>
            <a:r>
              <a:rPr lang="cs-CZ" sz="1400"/>
              <a:t> (2014)</a:t>
            </a:r>
            <a:endParaRPr lang="en-US" sz="1400"/>
          </a:p>
        </c:rich>
      </c:tx>
      <c:overlay val="0"/>
    </c:title>
    <c:autoTitleDeleted val="0"/>
    <c:plotArea>
      <c:layout/>
      <c:barChart>
        <c:barDir val="col"/>
        <c:grouping val="clustered"/>
        <c:varyColors val="0"/>
        <c:ser>
          <c:idx val="0"/>
          <c:order val="0"/>
          <c:tx>
            <c:strRef>
              <c:f>'[190200211x1t008.xls]English'!$B$2</c:f>
              <c:strCache>
                <c:ptCount val="1"/>
                <c:pt idx="0">
                  <c:v>Government deficit / surplus as a percentage of GDP</c:v>
                </c:pt>
              </c:strCache>
            </c:strRef>
          </c:tx>
          <c:invertIfNegative val="0"/>
          <c:dPt>
            <c:idx val="21"/>
            <c:invertIfNegative val="0"/>
            <c:bubble3D val="0"/>
            <c:spPr>
              <a:solidFill>
                <a:schemeClr val="accent2"/>
              </a:solidFill>
            </c:spPr>
          </c:dPt>
          <c:cat>
            <c:strRef>
              <c:f>'[190200211x1t008.xls]English'!$B$6:$B$38</c:f>
              <c:strCache>
                <c:ptCount val="33"/>
                <c:pt idx="0">
                  <c:v>Japan</c:v>
                </c:pt>
                <c:pt idx="1">
                  <c:v>United States</c:v>
                </c:pt>
                <c:pt idx="2">
                  <c:v>Spain</c:v>
                </c:pt>
                <c:pt idx="3">
                  <c:v>United Kingdom</c:v>
                </c:pt>
                <c:pt idx="4">
                  <c:v>Ireland</c:v>
                </c:pt>
                <c:pt idx="5">
                  <c:v>Slovenia</c:v>
                </c:pt>
                <c:pt idx="6">
                  <c:v>Portugal</c:v>
                </c:pt>
                <c:pt idx="7">
                  <c:v>OECD-Total</c:v>
                </c:pt>
                <c:pt idx="8">
                  <c:v>Israel </c:v>
                </c:pt>
                <c:pt idx="9">
                  <c:v>France</c:v>
                </c:pt>
                <c:pt idx="10">
                  <c:v>Hungary</c:v>
                </c:pt>
                <c:pt idx="11">
                  <c:v>Austria</c:v>
                </c:pt>
                <c:pt idx="12">
                  <c:v>Italy</c:v>
                </c:pt>
                <c:pt idx="13">
                  <c:v>Netherlands</c:v>
                </c:pt>
                <c:pt idx="14">
                  <c:v>Slovak Republic</c:v>
                </c:pt>
                <c:pt idx="15">
                  <c:v>Euro area (15 countries)</c:v>
                </c:pt>
                <c:pt idx="16">
                  <c:v>Australia</c:v>
                </c:pt>
                <c:pt idx="17">
                  <c:v>Greece</c:v>
                </c:pt>
                <c:pt idx="18">
                  <c:v>Finland</c:v>
                </c:pt>
                <c:pt idx="19">
                  <c:v>Belgium</c:v>
                </c:pt>
                <c:pt idx="20">
                  <c:v>Canada</c:v>
                </c:pt>
                <c:pt idx="21">
                  <c:v>Czech Republic</c:v>
                </c:pt>
                <c:pt idx="22">
                  <c:v>Iceland</c:v>
                </c:pt>
                <c:pt idx="23">
                  <c:v>Sweden</c:v>
                </c:pt>
                <c:pt idx="24">
                  <c:v>Denmark</c:v>
                </c:pt>
                <c:pt idx="25">
                  <c:v>Germany</c:v>
                </c:pt>
                <c:pt idx="26">
                  <c:v>Estonia</c:v>
                </c:pt>
                <c:pt idx="27">
                  <c:v>New Zealand</c:v>
                </c:pt>
                <c:pt idx="28">
                  <c:v>Korea</c:v>
                </c:pt>
                <c:pt idx="29">
                  <c:v>Switzerland</c:v>
                </c:pt>
                <c:pt idx="30">
                  <c:v>Luxembourg</c:v>
                </c:pt>
                <c:pt idx="31">
                  <c:v>Poland</c:v>
                </c:pt>
                <c:pt idx="32">
                  <c:v>Norway</c:v>
                </c:pt>
              </c:strCache>
            </c:strRef>
          </c:cat>
          <c:val>
            <c:numRef>
              <c:f>'[190200211x1t008.xls]English'!$C$6:$C$38</c:f>
              <c:numCache>
                <c:formatCode>##0.0;\-##0.0;0.0;</c:formatCode>
                <c:ptCount val="33"/>
                <c:pt idx="0">
                  <c:v>-8.3514331972000004</c:v>
                </c:pt>
                <c:pt idx="1">
                  <c:v>-5.8358354438999998</c:v>
                </c:pt>
                <c:pt idx="2">
                  <c:v>-5.5356071416999999</c:v>
                </c:pt>
                <c:pt idx="3">
                  <c:v>-5.3259339043000002</c:v>
                </c:pt>
                <c:pt idx="4">
                  <c:v>-4.7078140779000002</c:v>
                </c:pt>
                <c:pt idx="5">
                  <c:v>-4.1327134892000004</c:v>
                </c:pt>
                <c:pt idx="6">
                  <c:v>-3.9512190466999999</c:v>
                </c:pt>
                <c:pt idx="7">
                  <c:v>-3.9338962883000002</c:v>
                </c:pt>
                <c:pt idx="8">
                  <c:v>-3.9268621637000001</c:v>
                </c:pt>
                <c:pt idx="9">
                  <c:v>-3.7736198276000001</c:v>
                </c:pt>
                <c:pt idx="10">
                  <c:v>-2.9147177575000001</c:v>
                </c:pt>
                <c:pt idx="11">
                  <c:v>-2.8196598177999999</c:v>
                </c:pt>
                <c:pt idx="12">
                  <c:v>-2.7401580037</c:v>
                </c:pt>
                <c:pt idx="13">
                  <c:v>-2.7191610416000001</c:v>
                </c:pt>
                <c:pt idx="14">
                  <c:v>-2.7101933815999999</c:v>
                </c:pt>
                <c:pt idx="15">
                  <c:v>-2.5366387990999999</c:v>
                </c:pt>
                <c:pt idx="16">
                  <c:v>-2.5159410961000002</c:v>
                </c:pt>
                <c:pt idx="17">
                  <c:v>-2.4904838100000002</c:v>
                </c:pt>
                <c:pt idx="18">
                  <c:v>-2.2079355539000001</c:v>
                </c:pt>
                <c:pt idx="19">
                  <c:v>-2.1389242687999999</c:v>
                </c:pt>
                <c:pt idx="20">
                  <c:v>-2.1030649489000002</c:v>
                </c:pt>
                <c:pt idx="21">
                  <c:v>-2.0683598555999998</c:v>
                </c:pt>
                <c:pt idx="22">
                  <c:v>-1.9704429748000001</c:v>
                </c:pt>
                <c:pt idx="23">
                  <c:v>-1.5416146388</c:v>
                </c:pt>
                <c:pt idx="24">
                  <c:v>-1.4832101043000001</c:v>
                </c:pt>
                <c:pt idx="25">
                  <c:v>-0.24441974929999999</c:v>
                </c:pt>
                <c:pt idx="26">
                  <c:v>-0.2356902934</c:v>
                </c:pt>
                <c:pt idx="27">
                  <c:v>5.14150731E-2</c:v>
                </c:pt>
                <c:pt idx="28">
                  <c:v>0.1413487729</c:v>
                </c:pt>
                <c:pt idx="29">
                  <c:v>0.1486326986</c:v>
                </c:pt>
                <c:pt idx="30">
                  <c:v>0.3031090769</c:v>
                </c:pt>
                <c:pt idx="31">
                  <c:v>5.6406296059000001</c:v>
                </c:pt>
                <c:pt idx="32">
                  <c:v>10.7106315861</c:v>
                </c:pt>
              </c:numCache>
            </c:numRef>
          </c:val>
        </c:ser>
        <c:dLbls>
          <c:showLegendKey val="0"/>
          <c:showVal val="0"/>
          <c:showCatName val="0"/>
          <c:showSerName val="0"/>
          <c:showPercent val="0"/>
          <c:showBubbleSize val="0"/>
        </c:dLbls>
        <c:gapWidth val="150"/>
        <c:axId val="81810176"/>
        <c:axId val="81811712"/>
      </c:barChart>
      <c:catAx>
        <c:axId val="81810176"/>
        <c:scaling>
          <c:orientation val="minMax"/>
        </c:scaling>
        <c:delete val="0"/>
        <c:axPos val="b"/>
        <c:majorTickMark val="out"/>
        <c:minorTickMark val="none"/>
        <c:tickLblPos val="nextTo"/>
        <c:crossAx val="81811712"/>
        <c:crosses val="autoZero"/>
        <c:auto val="1"/>
        <c:lblAlgn val="ctr"/>
        <c:lblOffset val="100"/>
        <c:noMultiLvlLbl val="0"/>
      </c:catAx>
      <c:valAx>
        <c:axId val="81811712"/>
        <c:scaling>
          <c:orientation val="minMax"/>
        </c:scaling>
        <c:delete val="0"/>
        <c:axPos val="l"/>
        <c:majorGridlines/>
        <c:numFmt formatCode="##0.0;\-##0.0;0.0;" sourceLinked="1"/>
        <c:majorTickMark val="out"/>
        <c:minorTickMark val="none"/>
        <c:tickLblPos val="nextTo"/>
        <c:crossAx val="81810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'[Eurostat_Table_teina225FlagNoDesc_c506d27e-9c56-4048-b13e-29438284fcf9.xls]Sheet0'!$A$1</c:f>
              <c:strCache>
                <c:ptCount val="1"/>
                <c:pt idx="0">
                  <c:v>General government gross debt 2014 % GDP</c:v>
                </c:pt>
              </c:strCache>
            </c:strRef>
          </c:tx>
          <c:invertIfNegative val="0"/>
          <c:dPt>
            <c:idx val="7"/>
            <c:invertIfNegative val="0"/>
            <c:bubble3D val="0"/>
            <c:spPr>
              <a:solidFill>
                <a:schemeClr val="accent2"/>
              </a:solidFill>
            </c:spPr>
          </c:dPt>
          <c:dPt>
            <c:idx val="20"/>
            <c:invertIfNegative val="0"/>
            <c:bubble3D val="0"/>
            <c:spPr>
              <a:solidFill>
                <a:schemeClr val="bg1">
                  <a:lumMod val="65000"/>
                </a:schemeClr>
              </a:solidFill>
            </c:spPr>
          </c:dPt>
          <c:cat>
            <c:strRef>
              <c:f>'[Eurostat_Table_teina225FlagNoDesc_c506d27e-9c56-4048-b13e-29438284fcf9.xls]Sheet0'!$A$4:$A$33</c:f>
              <c:strCache>
                <c:ptCount val="30"/>
                <c:pt idx="0">
                  <c:v>Estonia</c:v>
                </c:pt>
                <c:pt idx="1">
                  <c:v>Luxembourg</c:v>
                </c:pt>
                <c:pt idx="2">
                  <c:v>Norway</c:v>
                </c:pt>
                <c:pt idx="3">
                  <c:v>Bulgaria</c:v>
                </c:pt>
                <c:pt idx="4">
                  <c:v>Romania</c:v>
                </c:pt>
                <c:pt idx="5">
                  <c:v>Latvia</c:v>
                </c:pt>
                <c:pt idx="6">
                  <c:v>Lithuania</c:v>
                </c:pt>
                <c:pt idx="7">
                  <c:v>Czech Republic</c:v>
                </c:pt>
                <c:pt idx="8">
                  <c:v>Sweden</c:v>
                </c:pt>
                <c:pt idx="9">
                  <c:v>Denmark</c:v>
                </c:pt>
                <c:pt idx="10">
                  <c:v>Poland</c:v>
                </c:pt>
                <c:pt idx="11">
                  <c:v>Slovakia</c:v>
                </c:pt>
                <c:pt idx="12">
                  <c:v>Finland</c:v>
                </c:pt>
                <c:pt idx="13">
                  <c:v>Netherlands</c:v>
                </c:pt>
                <c:pt idx="14">
                  <c:v>Malta</c:v>
                </c:pt>
                <c:pt idx="15">
                  <c:v>Germany</c:v>
                </c:pt>
                <c:pt idx="16">
                  <c:v>Hungary</c:v>
                </c:pt>
                <c:pt idx="17">
                  <c:v>Slovenia</c:v>
                </c:pt>
                <c:pt idx="18">
                  <c:v>Austria</c:v>
                </c:pt>
                <c:pt idx="19">
                  <c:v>Croatia</c:v>
                </c:pt>
                <c:pt idx="20">
                  <c:v>EU (28 countries)</c:v>
                </c:pt>
                <c:pt idx="21">
                  <c:v>United Kingdom</c:v>
                </c:pt>
                <c:pt idx="22">
                  <c:v>France</c:v>
                </c:pt>
                <c:pt idx="23">
                  <c:v>Spain</c:v>
                </c:pt>
                <c:pt idx="24">
                  <c:v>Belgium</c:v>
                </c:pt>
                <c:pt idx="25">
                  <c:v>Ireland</c:v>
                </c:pt>
                <c:pt idx="26">
                  <c:v>Cyprus</c:v>
                </c:pt>
                <c:pt idx="27">
                  <c:v>Portugal</c:v>
                </c:pt>
                <c:pt idx="28">
                  <c:v>Italy</c:v>
                </c:pt>
                <c:pt idx="29">
                  <c:v>Greece</c:v>
                </c:pt>
              </c:strCache>
            </c:strRef>
          </c:cat>
          <c:val>
            <c:numRef>
              <c:f>'[Eurostat_Table_teina225FlagNoDesc_c506d27e-9c56-4048-b13e-29438284fcf9.xls]Sheet0'!$B$4:$B$33</c:f>
              <c:numCache>
                <c:formatCode>General</c:formatCode>
                <c:ptCount val="30"/>
                <c:pt idx="0">
                  <c:v>10.4</c:v>
                </c:pt>
                <c:pt idx="1">
                  <c:v>23</c:v>
                </c:pt>
                <c:pt idx="2">
                  <c:v>26.6</c:v>
                </c:pt>
                <c:pt idx="3">
                  <c:v>27</c:v>
                </c:pt>
                <c:pt idx="4">
                  <c:v>39.9</c:v>
                </c:pt>
                <c:pt idx="5">
                  <c:v>40.6</c:v>
                </c:pt>
                <c:pt idx="6">
                  <c:v>40.700000000000003</c:v>
                </c:pt>
                <c:pt idx="7">
                  <c:v>42.7</c:v>
                </c:pt>
                <c:pt idx="8">
                  <c:v>44.9</c:v>
                </c:pt>
                <c:pt idx="9">
                  <c:v>45.1</c:v>
                </c:pt>
                <c:pt idx="10">
                  <c:v>50.4</c:v>
                </c:pt>
                <c:pt idx="11">
                  <c:v>53.5</c:v>
                </c:pt>
                <c:pt idx="12">
                  <c:v>59.3</c:v>
                </c:pt>
                <c:pt idx="13">
                  <c:v>68.2</c:v>
                </c:pt>
                <c:pt idx="14">
                  <c:v>68.3</c:v>
                </c:pt>
                <c:pt idx="15">
                  <c:v>74.900000000000006</c:v>
                </c:pt>
                <c:pt idx="16">
                  <c:v>76.2</c:v>
                </c:pt>
                <c:pt idx="17">
                  <c:v>80.8</c:v>
                </c:pt>
                <c:pt idx="18">
                  <c:v>84.2</c:v>
                </c:pt>
                <c:pt idx="19">
                  <c:v>85.1</c:v>
                </c:pt>
                <c:pt idx="20">
                  <c:v>86.8</c:v>
                </c:pt>
                <c:pt idx="21">
                  <c:v>88.2</c:v>
                </c:pt>
                <c:pt idx="22">
                  <c:v>95.6</c:v>
                </c:pt>
                <c:pt idx="23">
                  <c:v>99.3</c:v>
                </c:pt>
                <c:pt idx="24">
                  <c:v>106.7</c:v>
                </c:pt>
                <c:pt idx="25">
                  <c:v>107.5</c:v>
                </c:pt>
                <c:pt idx="26">
                  <c:v>108.2</c:v>
                </c:pt>
                <c:pt idx="27">
                  <c:v>130.19999999999999</c:v>
                </c:pt>
                <c:pt idx="28">
                  <c:v>132.30000000000001</c:v>
                </c:pt>
                <c:pt idx="29">
                  <c:v>178.6</c:v>
                </c:pt>
              </c:numCache>
            </c:numRef>
          </c:val>
        </c:ser>
        <c:dLbls>
          <c:showLegendKey val="0"/>
          <c:showVal val="0"/>
          <c:showCatName val="0"/>
          <c:showSerName val="0"/>
          <c:showPercent val="0"/>
          <c:showBubbleSize val="0"/>
        </c:dLbls>
        <c:gapWidth val="150"/>
        <c:axId val="81842176"/>
        <c:axId val="81843712"/>
      </c:barChart>
      <c:catAx>
        <c:axId val="81842176"/>
        <c:scaling>
          <c:orientation val="minMax"/>
        </c:scaling>
        <c:delete val="0"/>
        <c:axPos val="b"/>
        <c:majorTickMark val="out"/>
        <c:minorTickMark val="none"/>
        <c:tickLblPos val="nextTo"/>
        <c:crossAx val="81843712"/>
        <c:crosses val="autoZero"/>
        <c:auto val="1"/>
        <c:lblAlgn val="ctr"/>
        <c:lblOffset val="100"/>
        <c:noMultiLvlLbl val="0"/>
      </c:catAx>
      <c:valAx>
        <c:axId val="81843712"/>
        <c:scaling>
          <c:orientation val="minMax"/>
        </c:scaling>
        <c:delete val="0"/>
        <c:axPos val="l"/>
        <c:majorGridlines/>
        <c:numFmt formatCode="General" sourceLinked="1"/>
        <c:majorTickMark val="out"/>
        <c:minorTickMark val="none"/>
        <c:tickLblPos val="nextTo"/>
        <c:crossAx val="81842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1205</Words>
  <Characters>7112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Cvičení č</vt:lpstr>
    </vt:vector>
  </TitlesOfParts>
  <Company>Ekonomicko-správní fakulta Masarykovy univerzity</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Cvičení č</dc:title>
  <dc:creator>Furova Lenka</dc:creator>
  <cp:lastModifiedBy>Hrůza Filip</cp:lastModifiedBy>
  <cp:revision>7</cp:revision>
  <dcterms:created xsi:type="dcterms:W3CDTF">2015-11-24T13:52:00Z</dcterms:created>
  <dcterms:modified xsi:type="dcterms:W3CDTF">2015-11-24T17:15:00Z</dcterms:modified>
</cp:coreProperties>
</file>