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7A" w:rsidRDefault="00183EDD" w:rsidP="002E167A">
      <w:pPr>
        <w:spacing w:before="240"/>
        <w:rPr>
          <w:rFonts w:ascii="Arial" w:hAnsi="Arial" w:cs="Arial"/>
          <w:b/>
          <w:sz w:val="28"/>
          <w:szCs w:val="28"/>
        </w:rPr>
      </w:pPr>
      <w:r>
        <w:rPr>
          <w:rFonts w:ascii="Arial" w:hAnsi="Arial" w:cs="Arial"/>
          <w:b/>
          <w:sz w:val="36"/>
          <w:szCs w:val="36"/>
        </w:rPr>
        <w:t xml:space="preserve">Cvičení č. </w:t>
      </w:r>
      <w:r w:rsidR="002E167A">
        <w:rPr>
          <w:rFonts w:ascii="Arial" w:hAnsi="Arial" w:cs="Arial"/>
          <w:b/>
          <w:sz w:val="36"/>
          <w:szCs w:val="36"/>
        </w:rPr>
        <w:t xml:space="preserve">3 - </w:t>
      </w:r>
      <w:r w:rsidR="00370F41">
        <w:rPr>
          <w:rFonts w:ascii="Arial" w:hAnsi="Arial" w:cs="Arial"/>
          <w:b/>
          <w:sz w:val="36"/>
          <w:szCs w:val="36"/>
        </w:rPr>
        <w:t>Veřejné výdaje, mandatorní výdaje</w:t>
      </w:r>
      <w:r w:rsidR="00370F41">
        <w:rPr>
          <w:rFonts w:ascii="Arial" w:hAnsi="Arial" w:cs="Arial"/>
          <w:b/>
          <w:sz w:val="36"/>
          <w:szCs w:val="36"/>
        </w:rPr>
        <w:br/>
      </w:r>
    </w:p>
    <w:p w:rsidR="00183EDD" w:rsidRPr="00183EDD" w:rsidRDefault="00546BD6" w:rsidP="00183EDD">
      <w:pPr>
        <w:pStyle w:val="Odstavecseseznamem"/>
        <w:numPr>
          <w:ilvl w:val="0"/>
          <w:numId w:val="3"/>
        </w:numPr>
        <w:spacing w:before="240"/>
        <w:ind w:left="426" w:hanging="426"/>
        <w:jc w:val="both"/>
        <w:rPr>
          <w:rFonts w:ascii="Arial" w:hAnsi="Arial" w:cs="Arial"/>
          <w:b/>
          <w:sz w:val="28"/>
          <w:szCs w:val="28"/>
        </w:rPr>
      </w:pPr>
      <w:r>
        <w:rPr>
          <w:rFonts w:ascii="Arial" w:hAnsi="Arial" w:cs="Arial"/>
          <w:b/>
          <w:sz w:val="28"/>
          <w:szCs w:val="28"/>
        </w:rPr>
        <w:t>Veřejné politiky jako</w:t>
      </w:r>
      <w:r w:rsidR="00370F41">
        <w:rPr>
          <w:rFonts w:ascii="Arial" w:hAnsi="Arial" w:cs="Arial"/>
          <w:b/>
          <w:sz w:val="28"/>
          <w:szCs w:val="28"/>
        </w:rPr>
        <w:t xml:space="preserve"> nástroj</w:t>
      </w:r>
      <w:r>
        <w:rPr>
          <w:rFonts w:ascii="Arial" w:hAnsi="Arial" w:cs="Arial"/>
          <w:b/>
          <w:sz w:val="28"/>
          <w:szCs w:val="28"/>
        </w:rPr>
        <w:t>e</w:t>
      </w:r>
      <w:r w:rsidR="00370F41">
        <w:rPr>
          <w:rFonts w:ascii="Arial" w:hAnsi="Arial" w:cs="Arial"/>
          <w:b/>
          <w:sz w:val="28"/>
          <w:szCs w:val="28"/>
        </w:rPr>
        <w:t xml:space="preserve"> vlády</w:t>
      </w:r>
    </w:p>
    <w:p w:rsidR="00D654C5" w:rsidRDefault="00D654C5" w:rsidP="00183EDD">
      <w:pPr>
        <w:pStyle w:val="Odstavecseseznamem"/>
        <w:numPr>
          <w:ilvl w:val="0"/>
          <w:numId w:val="5"/>
        </w:numPr>
        <w:spacing w:before="240"/>
        <w:jc w:val="both"/>
        <w:rPr>
          <w:rFonts w:ascii="Arial" w:hAnsi="Arial" w:cs="Arial"/>
          <w:sz w:val="24"/>
          <w:szCs w:val="24"/>
        </w:rPr>
      </w:pPr>
      <w:r>
        <w:rPr>
          <w:rFonts w:ascii="Arial" w:hAnsi="Arial" w:cs="Arial"/>
          <w:sz w:val="24"/>
          <w:szCs w:val="24"/>
        </w:rPr>
        <w:t>Jaké znáte funkce vlády (státu)?</w:t>
      </w:r>
    </w:p>
    <w:p w:rsidR="00183EDD" w:rsidRDefault="00370F41" w:rsidP="00183EDD">
      <w:pPr>
        <w:pStyle w:val="Odstavecseseznamem"/>
        <w:numPr>
          <w:ilvl w:val="0"/>
          <w:numId w:val="5"/>
        </w:numPr>
        <w:spacing w:before="240"/>
        <w:jc w:val="both"/>
        <w:rPr>
          <w:rFonts w:ascii="Arial" w:hAnsi="Arial" w:cs="Arial"/>
          <w:sz w:val="24"/>
          <w:szCs w:val="24"/>
        </w:rPr>
      </w:pPr>
      <w:r>
        <w:rPr>
          <w:rFonts w:ascii="Arial" w:hAnsi="Arial" w:cs="Arial"/>
          <w:sz w:val="24"/>
          <w:szCs w:val="24"/>
        </w:rPr>
        <w:t>Jaké veřejné politiky spojené s veřejnými výdaji znáte?</w:t>
      </w:r>
    </w:p>
    <w:p w:rsidR="00370F41" w:rsidRDefault="00370F41" w:rsidP="00183EDD">
      <w:pPr>
        <w:pStyle w:val="Odstavecseseznamem"/>
        <w:numPr>
          <w:ilvl w:val="0"/>
          <w:numId w:val="5"/>
        </w:numPr>
        <w:spacing w:before="240"/>
        <w:jc w:val="both"/>
        <w:rPr>
          <w:rFonts w:ascii="Arial" w:hAnsi="Arial" w:cs="Arial"/>
          <w:sz w:val="24"/>
          <w:szCs w:val="24"/>
        </w:rPr>
      </w:pPr>
      <w:r>
        <w:rPr>
          <w:rFonts w:ascii="Arial" w:hAnsi="Arial" w:cs="Arial"/>
          <w:sz w:val="24"/>
          <w:szCs w:val="24"/>
        </w:rPr>
        <w:t>Dokážete tyto veřejné politiky seřadit (např. dle funkcí v</w:t>
      </w:r>
      <w:r w:rsidR="00D654C5">
        <w:rPr>
          <w:rFonts w:ascii="Arial" w:hAnsi="Arial" w:cs="Arial"/>
          <w:sz w:val="24"/>
          <w:szCs w:val="24"/>
        </w:rPr>
        <w:t>l</w:t>
      </w:r>
      <w:r>
        <w:rPr>
          <w:rFonts w:ascii="Arial" w:hAnsi="Arial" w:cs="Arial"/>
          <w:sz w:val="24"/>
          <w:szCs w:val="24"/>
        </w:rPr>
        <w:t>ády)?</w:t>
      </w:r>
    </w:p>
    <w:p w:rsidR="00370F41" w:rsidRDefault="00370F41" w:rsidP="00370F41">
      <w:pPr>
        <w:pStyle w:val="Odstavecseseznamem"/>
        <w:numPr>
          <w:ilvl w:val="1"/>
          <w:numId w:val="5"/>
        </w:numPr>
        <w:spacing w:before="240"/>
        <w:jc w:val="both"/>
        <w:rPr>
          <w:rFonts w:ascii="Arial" w:hAnsi="Arial" w:cs="Arial"/>
          <w:sz w:val="24"/>
          <w:szCs w:val="24"/>
        </w:rPr>
      </w:pPr>
      <w:r>
        <w:rPr>
          <w:rFonts w:ascii="Arial" w:hAnsi="Arial" w:cs="Arial"/>
          <w:sz w:val="24"/>
          <w:szCs w:val="24"/>
        </w:rPr>
        <w:t>Pokud jste neměli MAKRO – v čem spočívá stabilizační funkce vlády?</w:t>
      </w:r>
    </w:p>
    <w:p w:rsidR="00370F41" w:rsidRDefault="00370F41" w:rsidP="00370F41">
      <w:pPr>
        <w:pStyle w:val="Odstavecseseznamem"/>
        <w:numPr>
          <w:ilvl w:val="1"/>
          <w:numId w:val="5"/>
        </w:numPr>
        <w:spacing w:before="240"/>
        <w:jc w:val="both"/>
        <w:rPr>
          <w:rFonts w:ascii="Arial" w:hAnsi="Arial" w:cs="Arial"/>
          <w:sz w:val="24"/>
          <w:szCs w:val="24"/>
        </w:rPr>
      </w:pPr>
      <w:r>
        <w:rPr>
          <w:rFonts w:ascii="Arial" w:hAnsi="Arial" w:cs="Arial"/>
          <w:sz w:val="24"/>
          <w:szCs w:val="24"/>
        </w:rPr>
        <w:t>Jsou výdaje na vysoké školství odrazem alokační nebo redistribuční funkce</w:t>
      </w:r>
      <w:r w:rsidR="002F472D">
        <w:rPr>
          <w:rFonts w:ascii="Arial" w:hAnsi="Arial" w:cs="Arial"/>
          <w:sz w:val="24"/>
          <w:szCs w:val="24"/>
        </w:rPr>
        <w:t xml:space="preserve"> vlády</w:t>
      </w:r>
      <w:r>
        <w:rPr>
          <w:rFonts w:ascii="Arial" w:hAnsi="Arial" w:cs="Arial"/>
          <w:sz w:val="24"/>
          <w:szCs w:val="24"/>
        </w:rPr>
        <w:t>?</w:t>
      </w:r>
    </w:p>
    <w:p w:rsidR="00370F41" w:rsidRDefault="00370F41" w:rsidP="00370F41">
      <w:pPr>
        <w:pStyle w:val="Odstavecseseznamem"/>
        <w:numPr>
          <w:ilvl w:val="1"/>
          <w:numId w:val="5"/>
        </w:numPr>
        <w:spacing w:before="240"/>
        <w:jc w:val="both"/>
        <w:rPr>
          <w:rFonts w:ascii="Arial" w:hAnsi="Arial" w:cs="Arial"/>
          <w:sz w:val="24"/>
          <w:szCs w:val="24"/>
        </w:rPr>
      </w:pPr>
      <w:r>
        <w:rPr>
          <w:rFonts w:ascii="Arial" w:hAnsi="Arial" w:cs="Arial"/>
          <w:sz w:val="24"/>
          <w:szCs w:val="24"/>
        </w:rPr>
        <w:t>Je dotace soukromému podniku (např. program „</w:t>
      </w:r>
      <w:proofErr w:type="spellStart"/>
      <w:r>
        <w:rPr>
          <w:rFonts w:ascii="Arial" w:hAnsi="Arial" w:cs="Arial"/>
          <w:sz w:val="24"/>
          <w:szCs w:val="24"/>
        </w:rPr>
        <w:t>Kurzarbeit</w:t>
      </w:r>
      <w:proofErr w:type="spellEnd"/>
      <w:r>
        <w:rPr>
          <w:rFonts w:ascii="Arial" w:hAnsi="Arial" w:cs="Arial"/>
          <w:sz w:val="24"/>
          <w:szCs w:val="24"/>
        </w:rPr>
        <w:t>“) odrazem redistribuční funkce vlády?</w:t>
      </w:r>
    </w:p>
    <w:p w:rsidR="00370F41" w:rsidRDefault="00370F41" w:rsidP="00183EDD">
      <w:pPr>
        <w:pStyle w:val="Odstavecseseznamem"/>
        <w:numPr>
          <w:ilvl w:val="0"/>
          <w:numId w:val="5"/>
        </w:numPr>
        <w:spacing w:before="240"/>
        <w:jc w:val="both"/>
        <w:rPr>
          <w:rFonts w:ascii="Arial" w:hAnsi="Arial" w:cs="Arial"/>
          <w:sz w:val="24"/>
          <w:szCs w:val="24"/>
        </w:rPr>
      </w:pPr>
      <w:r>
        <w:rPr>
          <w:rFonts w:ascii="Arial" w:hAnsi="Arial" w:cs="Arial"/>
          <w:sz w:val="24"/>
          <w:szCs w:val="24"/>
        </w:rPr>
        <w:t>Má vláda i jiné nástroje dosahovaní svých cílů než jenom veřejné výdaje? (např. regulace, daňové výdaje, …)</w:t>
      </w:r>
    </w:p>
    <w:p w:rsidR="001B56BA" w:rsidRDefault="001B56BA" w:rsidP="001B56BA">
      <w:pPr>
        <w:spacing w:before="240"/>
        <w:jc w:val="both"/>
        <w:rPr>
          <w:rFonts w:ascii="Arial" w:hAnsi="Arial" w:cs="Arial"/>
          <w:sz w:val="24"/>
          <w:szCs w:val="24"/>
        </w:rPr>
      </w:pPr>
    </w:p>
    <w:p w:rsidR="00EB20EF" w:rsidRPr="00EB20EF" w:rsidRDefault="00370F41" w:rsidP="00EB20EF">
      <w:pPr>
        <w:pStyle w:val="Odstavecseseznamem"/>
        <w:numPr>
          <w:ilvl w:val="0"/>
          <w:numId w:val="3"/>
        </w:numPr>
        <w:spacing w:before="240"/>
        <w:ind w:left="426" w:hanging="426"/>
        <w:jc w:val="both"/>
        <w:rPr>
          <w:rFonts w:ascii="Arial" w:hAnsi="Arial" w:cs="Arial"/>
          <w:b/>
          <w:sz w:val="24"/>
          <w:szCs w:val="24"/>
        </w:rPr>
      </w:pPr>
      <w:r>
        <w:rPr>
          <w:rFonts w:ascii="Arial" w:hAnsi="Arial" w:cs="Arial"/>
          <w:b/>
          <w:sz w:val="28"/>
          <w:szCs w:val="24"/>
        </w:rPr>
        <w:t>Jaká je cena veřejných politik (</w:t>
      </w:r>
      <w:r w:rsidRPr="00370F41">
        <w:rPr>
          <w:rFonts w:ascii="Arial" w:hAnsi="Arial" w:cs="Arial"/>
          <w:b/>
        </w:rPr>
        <w:t>zde ve smyslu přímých nákladů</w:t>
      </w:r>
      <w:r>
        <w:rPr>
          <w:rFonts w:ascii="Arial" w:hAnsi="Arial" w:cs="Arial"/>
          <w:b/>
        </w:rPr>
        <w:t xml:space="preserve"> VS</w:t>
      </w:r>
      <w:r w:rsidRPr="00370F41">
        <w:rPr>
          <w:rFonts w:ascii="Arial" w:hAnsi="Arial" w:cs="Arial"/>
          <w:b/>
        </w:rPr>
        <w:t>, nikoliv ve smyslu distorze chování</w:t>
      </w:r>
      <w:r>
        <w:rPr>
          <w:rFonts w:ascii="Arial" w:hAnsi="Arial" w:cs="Arial"/>
          <w:b/>
          <w:sz w:val="28"/>
          <w:szCs w:val="24"/>
        </w:rPr>
        <w:t>)</w:t>
      </w:r>
    </w:p>
    <w:p w:rsidR="005E511E" w:rsidRPr="00370F41" w:rsidRDefault="00370F41" w:rsidP="00EB20EF">
      <w:pPr>
        <w:pStyle w:val="Odstavecseseznamem"/>
        <w:numPr>
          <w:ilvl w:val="0"/>
          <w:numId w:val="6"/>
        </w:numPr>
        <w:spacing w:before="240"/>
        <w:jc w:val="both"/>
        <w:rPr>
          <w:rFonts w:ascii="Arial" w:hAnsi="Arial" w:cs="Arial"/>
          <w:b/>
          <w:sz w:val="24"/>
          <w:szCs w:val="24"/>
        </w:rPr>
      </w:pPr>
      <w:r>
        <w:rPr>
          <w:rFonts w:ascii="Arial" w:hAnsi="Arial" w:cs="Arial"/>
          <w:sz w:val="24"/>
          <w:szCs w:val="24"/>
        </w:rPr>
        <w:t xml:space="preserve">Jaká je </w:t>
      </w:r>
      <w:r w:rsidR="00C35586">
        <w:rPr>
          <w:rFonts w:ascii="Arial" w:hAnsi="Arial" w:cs="Arial"/>
          <w:sz w:val="24"/>
          <w:szCs w:val="24"/>
        </w:rPr>
        <w:t>„</w:t>
      </w:r>
      <w:r>
        <w:rPr>
          <w:rFonts w:ascii="Arial" w:hAnsi="Arial" w:cs="Arial"/>
          <w:sz w:val="24"/>
          <w:szCs w:val="24"/>
        </w:rPr>
        <w:t>cena</w:t>
      </w:r>
      <w:r w:rsidR="00C35586">
        <w:rPr>
          <w:rFonts w:ascii="Arial" w:hAnsi="Arial" w:cs="Arial"/>
          <w:sz w:val="24"/>
          <w:szCs w:val="24"/>
        </w:rPr>
        <w:t>“</w:t>
      </w:r>
      <w:r>
        <w:rPr>
          <w:rFonts w:ascii="Arial" w:hAnsi="Arial" w:cs="Arial"/>
          <w:sz w:val="24"/>
          <w:szCs w:val="24"/>
        </w:rPr>
        <w:t xml:space="preserve"> </w:t>
      </w:r>
      <w:bookmarkStart w:id="0" w:name="_GoBack"/>
      <w:bookmarkEnd w:id="0"/>
      <w:r>
        <w:rPr>
          <w:rFonts w:ascii="Arial" w:hAnsi="Arial" w:cs="Arial"/>
          <w:sz w:val="24"/>
          <w:szCs w:val="24"/>
        </w:rPr>
        <w:t>veřejných po</w:t>
      </w:r>
      <w:r w:rsidR="008F5AD8">
        <w:rPr>
          <w:rFonts w:ascii="Arial" w:hAnsi="Arial" w:cs="Arial"/>
          <w:sz w:val="24"/>
          <w:szCs w:val="24"/>
        </w:rPr>
        <w:t xml:space="preserve">litik v ČR </w:t>
      </w:r>
      <w:r w:rsidR="00524DFB">
        <w:rPr>
          <w:rFonts w:ascii="Arial" w:hAnsi="Arial" w:cs="Arial"/>
          <w:sz w:val="24"/>
          <w:szCs w:val="24"/>
        </w:rPr>
        <w:t xml:space="preserve">(srovnání) </w:t>
      </w:r>
      <w:r w:rsidR="009B299E">
        <w:rPr>
          <w:rFonts w:ascii="Arial" w:hAnsi="Arial" w:cs="Arial"/>
          <w:sz w:val="24"/>
          <w:szCs w:val="24"/>
        </w:rPr>
        <w:t xml:space="preserve">– viz. </w:t>
      </w:r>
      <w:proofErr w:type="spellStart"/>
      <w:r w:rsidR="009B299E">
        <w:rPr>
          <w:rFonts w:ascii="Arial" w:hAnsi="Arial" w:cs="Arial"/>
          <w:sz w:val="24"/>
          <w:szCs w:val="24"/>
        </w:rPr>
        <w:t>Eurostat</w:t>
      </w:r>
      <w:proofErr w:type="spellEnd"/>
      <w:r w:rsidR="009B299E">
        <w:rPr>
          <w:rFonts w:ascii="Arial" w:hAnsi="Arial" w:cs="Arial"/>
          <w:sz w:val="24"/>
          <w:szCs w:val="24"/>
        </w:rPr>
        <w:t xml:space="preserve"> (2014</w:t>
      </w:r>
      <w:r>
        <w:rPr>
          <w:rFonts w:ascii="Arial" w:hAnsi="Arial" w:cs="Arial"/>
          <w:sz w:val="24"/>
          <w:szCs w:val="24"/>
        </w:rPr>
        <w:t>)</w:t>
      </w:r>
    </w:p>
    <w:p w:rsidR="00524DFB" w:rsidRPr="00524DFB" w:rsidRDefault="00524DFB" w:rsidP="00BD0333">
      <w:pPr>
        <w:pStyle w:val="Odstavecseseznamem"/>
        <w:numPr>
          <w:ilvl w:val="0"/>
          <w:numId w:val="6"/>
        </w:numPr>
        <w:spacing w:before="240"/>
        <w:jc w:val="both"/>
        <w:rPr>
          <w:rFonts w:ascii="Arial" w:hAnsi="Arial" w:cs="Arial"/>
          <w:b/>
          <w:sz w:val="24"/>
          <w:szCs w:val="24"/>
        </w:rPr>
      </w:pPr>
      <w:r>
        <w:rPr>
          <w:rFonts w:ascii="Arial" w:hAnsi="Arial" w:cs="Arial"/>
          <w:sz w:val="24"/>
          <w:szCs w:val="24"/>
        </w:rPr>
        <w:t>Nominální náklady versus relativní vyjádření</w:t>
      </w:r>
    </w:p>
    <w:p w:rsidR="00370F41" w:rsidRPr="00BD0333" w:rsidRDefault="00BD0333" w:rsidP="00BD0333">
      <w:pPr>
        <w:pStyle w:val="Odstavecseseznamem"/>
        <w:numPr>
          <w:ilvl w:val="0"/>
          <w:numId w:val="6"/>
        </w:numPr>
        <w:spacing w:before="240"/>
        <w:jc w:val="both"/>
        <w:rPr>
          <w:rFonts w:ascii="Arial" w:hAnsi="Arial" w:cs="Arial"/>
          <w:b/>
          <w:sz w:val="24"/>
          <w:szCs w:val="24"/>
        </w:rPr>
      </w:pPr>
      <w:r>
        <w:rPr>
          <w:rFonts w:ascii="Arial" w:hAnsi="Arial" w:cs="Arial"/>
          <w:sz w:val="24"/>
          <w:szCs w:val="24"/>
        </w:rPr>
        <w:t xml:space="preserve">40 % HDP – co vypovídá tento ukazatel, </w:t>
      </w:r>
      <w:r w:rsidR="002F472D">
        <w:rPr>
          <w:rFonts w:ascii="Arial" w:hAnsi="Arial" w:cs="Arial"/>
          <w:sz w:val="24"/>
          <w:szCs w:val="24"/>
        </w:rPr>
        <w:t xml:space="preserve">proč je dobrý </w:t>
      </w:r>
      <w:r>
        <w:rPr>
          <w:rFonts w:ascii="Arial" w:hAnsi="Arial" w:cs="Arial"/>
          <w:sz w:val="24"/>
          <w:szCs w:val="24"/>
        </w:rPr>
        <w:t xml:space="preserve">a proč špatný </w:t>
      </w:r>
      <w:r w:rsidR="00895346">
        <w:rPr>
          <w:rFonts w:ascii="Arial" w:hAnsi="Arial" w:cs="Arial"/>
          <w:sz w:val="24"/>
          <w:szCs w:val="24"/>
        </w:rPr>
        <w:t xml:space="preserve">(viz minulý </w:t>
      </w:r>
      <w:r w:rsidR="002F472D">
        <w:rPr>
          <w:rFonts w:ascii="Arial" w:hAnsi="Arial" w:cs="Arial"/>
          <w:sz w:val="24"/>
          <w:szCs w:val="24"/>
        </w:rPr>
        <w:t>seminář)</w:t>
      </w:r>
      <w:r>
        <w:rPr>
          <w:rFonts w:ascii="Arial" w:hAnsi="Arial" w:cs="Arial"/>
          <w:sz w:val="24"/>
          <w:szCs w:val="24"/>
        </w:rPr>
        <w:t>, je to</w:t>
      </w:r>
      <w:r w:rsidR="002F472D" w:rsidRPr="00BD0333">
        <w:rPr>
          <w:rFonts w:ascii="Arial" w:hAnsi="Arial" w:cs="Arial"/>
          <w:sz w:val="24"/>
          <w:szCs w:val="24"/>
        </w:rPr>
        <w:t xml:space="preserve"> m</w:t>
      </w:r>
      <w:r w:rsidR="00370F41" w:rsidRPr="00BD0333">
        <w:rPr>
          <w:rFonts w:ascii="Arial" w:hAnsi="Arial" w:cs="Arial"/>
          <w:sz w:val="24"/>
          <w:szCs w:val="24"/>
        </w:rPr>
        <w:t>oc nebo málo?</w:t>
      </w:r>
      <w:r w:rsidR="002F472D" w:rsidRPr="00BD0333">
        <w:rPr>
          <w:rFonts w:ascii="Arial" w:hAnsi="Arial" w:cs="Arial"/>
          <w:sz w:val="24"/>
          <w:szCs w:val="24"/>
        </w:rPr>
        <w:t xml:space="preserve"> Co </w:t>
      </w:r>
      <w:r>
        <w:rPr>
          <w:rFonts w:ascii="Arial" w:hAnsi="Arial" w:cs="Arial"/>
          <w:sz w:val="24"/>
          <w:szCs w:val="24"/>
        </w:rPr>
        <w:t xml:space="preserve">srovnání s </w:t>
      </w:r>
      <w:r w:rsidR="002F472D" w:rsidRPr="00BD0333">
        <w:rPr>
          <w:rFonts w:ascii="Arial" w:hAnsi="Arial" w:cs="Arial"/>
          <w:sz w:val="24"/>
          <w:szCs w:val="24"/>
        </w:rPr>
        <w:t>ostatní</w:t>
      </w:r>
      <w:r>
        <w:rPr>
          <w:rFonts w:ascii="Arial" w:hAnsi="Arial" w:cs="Arial"/>
          <w:sz w:val="24"/>
          <w:szCs w:val="24"/>
        </w:rPr>
        <w:t>mi</w:t>
      </w:r>
      <w:r w:rsidR="002F472D" w:rsidRPr="00BD0333">
        <w:rPr>
          <w:rFonts w:ascii="Arial" w:hAnsi="Arial" w:cs="Arial"/>
          <w:sz w:val="24"/>
          <w:szCs w:val="24"/>
        </w:rPr>
        <w:t xml:space="preserve"> země</w:t>
      </w:r>
      <w:r>
        <w:rPr>
          <w:rFonts w:ascii="Arial" w:hAnsi="Arial" w:cs="Arial"/>
          <w:sz w:val="24"/>
          <w:szCs w:val="24"/>
        </w:rPr>
        <w:t>mi</w:t>
      </w:r>
      <w:r w:rsidR="002F472D" w:rsidRPr="00BD0333">
        <w:rPr>
          <w:rFonts w:ascii="Arial" w:hAnsi="Arial" w:cs="Arial"/>
          <w:sz w:val="24"/>
          <w:szCs w:val="24"/>
        </w:rPr>
        <w:t>?</w:t>
      </w:r>
      <w:r>
        <w:rPr>
          <w:rFonts w:ascii="Arial" w:hAnsi="Arial" w:cs="Arial"/>
          <w:sz w:val="24"/>
          <w:szCs w:val="24"/>
        </w:rPr>
        <w:t xml:space="preserve"> Existují nějaké limity či úskalí takových komparací?</w:t>
      </w:r>
    </w:p>
    <w:p w:rsidR="00B84E95" w:rsidRPr="00B84E95" w:rsidRDefault="002F472D" w:rsidP="00EB20EF">
      <w:pPr>
        <w:pStyle w:val="Odstavecseseznamem"/>
        <w:numPr>
          <w:ilvl w:val="0"/>
          <w:numId w:val="6"/>
        </w:numPr>
        <w:spacing w:before="240"/>
        <w:jc w:val="both"/>
        <w:rPr>
          <w:rFonts w:ascii="Arial" w:hAnsi="Arial" w:cs="Arial"/>
          <w:b/>
          <w:sz w:val="24"/>
          <w:szCs w:val="24"/>
        </w:rPr>
      </w:pPr>
      <w:r w:rsidRPr="002F472D">
        <w:rPr>
          <w:rFonts w:ascii="Arial" w:hAnsi="Arial" w:cs="Arial"/>
          <w:color w:val="FF0000"/>
          <w:sz w:val="24"/>
          <w:szCs w:val="24"/>
        </w:rPr>
        <w:t>(K)</w:t>
      </w:r>
      <w:r>
        <w:rPr>
          <w:rFonts w:ascii="Arial" w:hAnsi="Arial" w:cs="Arial"/>
          <w:sz w:val="24"/>
          <w:szCs w:val="24"/>
        </w:rPr>
        <w:t xml:space="preserve"> Historický vývoj</w:t>
      </w:r>
      <w:r w:rsidR="00B84E95">
        <w:rPr>
          <w:rFonts w:ascii="Arial" w:hAnsi="Arial" w:cs="Arial"/>
          <w:sz w:val="24"/>
          <w:szCs w:val="24"/>
        </w:rPr>
        <w:t xml:space="preserve"> veřejných výdajů</w:t>
      </w:r>
      <w:r>
        <w:rPr>
          <w:rFonts w:ascii="Arial" w:hAnsi="Arial" w:cs="Arial"/>
          <w:sz w:val="24"/>
          <w:szCs w:val="24"/>
        </w:rPr>
        <w:t xml:space="preserve"> </w:t>
      </w:r>
    </w:p>
    <w:p w:rsidR="002F472D" w:rsidRPr="00B84E95" w:rsidRDefault="002F472D" w:rsidP="00B84E95">
      <w:pPr>
        <w:pStyle w:val="Odstavecseseznamem"/>
        <w:numPr>
          <w:ilvl w:val="1"/>
          <w:numId w:val="6"/>
        </w:numPr>
        <w:spacing w:before="240"/>
        <w:jc w:val="both"/>
        <w:rPr>
          <w:rFonts w:ascii="Arial" w:hAnsi="Arial" w:cs="Arial"/>
          <w:b/>
          <w:sz w:val="24"/>
          <w:szCs w:val="24"/>
        </w:rPr>
      </w:pPr>
      <w:r>
        <w:rPr>
          <w:rFonts w:ascii="Arial" w:hAnsi="Arial" w:cs="Arial"/>
          <w:sz w:val="24"/>
          <w:szCs w:val="24"/>
        </w:rPr>
        <w:t>proč rostou (rostly)</w:t>
      </w:r>
    </w:p>
    <w:p w:rsidR="00B84E95" w:rsidRPr="005E511E" w:rsidRDefault="00B84E95" w:rsidP="00B84E95">
      <w:pPr>
        <w:pStyle w:val="Odstavecseseznamem"/>
        <w:numPr>
          <w:ilvl w:val="1"/>
          <w:numId w:val="6"/>
        </w:numPr>
        <w:spacing w:before="240"/>
        <w:jc w:val="both"/>
        <w:rPr>
          <w:rFonts w:ascii="Arial" w:hAnsi="Arial" w:cs="Arial"/>
          <w:b/>
          <w:sz w:val="24"/>
          <w:szCs w:val="24"/>
        </w:rPr>
      </w:pPr>
      <w:r>
        <w:rPr>
          <w:rFonts w:ascii="Arial" w:hAnsi="Arial" w:cs="Arial"/>
          <w:sz w:val="24"/>
          <w:szCs w:val="24"/>
        </w:rPr>
        <w:t>identifikace příčin a faktorů</w:t>
      </w:r>
    </w:p>
    <w:p w:rsidR="000C571B" w:rsidRPr="002F472D" w:rsidRDefault="00B84E95" w:rsidP="002F472D">
      <w:pPr>
        <w:pStyle w:val="Odstavecseseznamem"/>
        <w:numPr>
          <w:ilvl w:val="1"/>
          <w:numId w:val="6"/>
        </w:numPr>
        <w:spacing w:before="240"/>
        <w:jc w:val="both"/>
        <w:rPr>
          <w:rFonts w:ascii="Arial" w:hAnsi="Arial" w:cs="Arial"/>
          <w:sz w:val="24"/>
          <w:szCs w:val="24"/>
        </w:rPr>
      </w:pPr>
      <w:r>
        <w:rPr>
          <w:rFonts w:ascii="Arial" w:hAnsi="Arial" w:cs="Arial"/>
          <w:sz w:val="24"/>
          <w:szCs w:val="24"/>
        </w:rPr>
        <w:t>f</w:t>
      </w:r>
      <w:r w:rsidR="002F472D" w:rsidRPr="002F472D">
        <w:rPr>
          <w:rFonts w:ascii="Arial" w:hAnsi="Arial" w:cs="Arial"/>
          <w:sz w:val="24"/>
          <w:szCs w:val="24"/>
        </w:rPr>
        <w:t>aktor technologické změny</w:t>
      </w:r>
      <w:r w:rsidR="002F472D">
        <w:rPr>
          <w:rFonts w:ascii="Arial" w:hAnsi="Arial" w:cs="Arial"/>
          <w:sz w:val="24"/>
          <w:szCs w:val="24"/>
        </w:rPr>
        <w:t>, demonstrační efekt, teorie prahových efektů, fiskální iluze, …</w:t>
      </w:r>
    </w:p>
    <w:p w:rsidR="000C571B" w:rsidRPr="000C571B" w:rsidRDefault="000C571B" w:rsidP="000C571B">
      <w:pPr>
        <w:spacing w:before="240"/>
        <w:jc w:val="both"/>
        <w:rPr>
          <w:rFonts w:ascii="Arial" w:hAnsi="Arial" w:cs="Arial"/>
          <w:b/>
          <w:sz w:val="24"/>
          <w:szCs w:val="24"/>
        </w:rPr>
      </w:pPr>
    </w:p>
    <w:p w:rsidR="000C571B" w:rsidRDefault="005D5952" w:rsidP="000C571B">
      <w:pPr>
        <w:pStyle w:val="Odstavecseseznamem"/>
        <w:numPr>
          <w:ilvl w:val="0"/>
          <w:numId w:val="3"/>
        </w:numPr>
        <w:spacing w:before="240"/>
        <w:ind w:left="426" w:hanging="426"/>
        <w:jc w:val="both"/>
        <w:rPr>
          <w:rFonts w:ascii="Arial" w:hAnsi="Arial" w:cs="Arial"/>
          <w:b/>
          <w:sz w:val="28"/>
          <w:szCs w:val="24"/>
        </w:rPr>
      </w:pPr>
      <w:r>
        <w:rPr>
          <w:rFonts w:ascii="Arial" w:hAnsi="Arial" w:cs="Arial"/>
          <w:b/>
          <w:sz w:val="28"/>
          <w:szCs w:val="24"/>
        </w:rPr>
        <w:t>Jak můžeme třídit veřejné výdaje</w:t>
      </w:r>
      <w:r w:rsidR="00E758ED">
        <w:rPr>
          <w:rFonts w:ascii="Arial" w:hAnsi="Arial" w:cs="Arial"/>
          <w:b/>
          <w:sz w:val="28"/>
          <w:szCs w:val="24"/>
        </w:rPr>
        <w:t>?</w:t>
      </w:r>
    </w:p>
    <w:p w:rsidR="0032250F" w:rsidRPr="005D5952" w:rsidRDefault="005D5952" w:rsidP="0032250F">
      <w:pPr>
        <w:pStyle w:val="Odstavecseseznamem"/>
        <w:numPr>
          <w:ilvl w:val="0"/>
          <w:numId w:val="7"/>
        </w:numPr>
        <w:spacing w:before="240"/>
        <w:jc w:val="both"/>
        <w:rPr>
          <w:rFonts w:ascii="Arial" w:hAnsi="Arial" w:cs="Arial"/>
          <w:b/>
          <w:sz w:val="24"/>
          <w:szCs w:val="24"/>
        </w:rPr>
      </w:pPr>
      <w:r>
        <w:rPr>
          <w:rFonts w:ascii="Arial" w:hAnsi="Arial" w:cs="Arial"/>
          <w:sz w:val="24"/>
          <w:szCs w:val="24"/>
        </w:rPr>
        <w:t>Proč se zabývat jemnějším tříděním veřejných výdajů a nestačí nám pouze údaj o podílu VV na HDP?</w:t>
      </w:r>
    </w:p>
    <w:p w:rsidR="005D5952" w:rsidRPr="005D5952" w:rsidRDefault="005D5952" w:rsidP="0032250F">
      <w:pPr>
        <w:pStyle w:val="Odstavecseseznamem"/>
        <w:numPr>
          <w:ilvl w:val="0"/>
          <w:numId w:val="7"/>
        </w:numPr>
        <w:spacing w:before="240"/>
        <w:jc w:val="both"/>
        <w:rPr>
          <w:rFonts w:ascii="Arial" w:hAnsi="Arial" w:cs="Arial"/>
          <w:b/>
          <w:sz w:val="24"/>
          <w:szCs w:val="24"/>
        </w:rPr>
      </w:pPr>
      <w:r>
        <w:rPr>
          <w:rFonts w:ascii="Arial" w:hAnsi="Arial" w:cs="Arial"/>
          <w:sz w:val="24"/>
          <w:szCs w:val="24"/>
        </w:rPr>
        <w:t>Jaké možnosti třídění znáte nebo jste slyšeli?</w:t>
      </w:r>
    </w:p>
    <w:p w:rsidR="005D5952" w:rsidRPr="00D17C6E" w:rsidRDefault="005D5952" w:rsidP="005D5952">
      <w:pPr>
        <w:pStyle w:val="Odstavecseseznamem"/>
        <w:numPr>
          <w:ilvl w:val="1"/>
          <w:numId w:val="7"/>
        </w:numPr>
        <w:spacing w:before="240"/>
        <w:jc w:val="both"/>
        <w:rPr>
          <w:rFonts w:ascii="Arial" w:hAnsi="Arial" w:cs="Arial"/>
          <w:b/>
          <w:sz w:val="24"/>
          <w:szCs w:val="24"/>
        </w:rPr>
      </w:pPr>
      <w:r>
        <w:rPr>
          <w:rFonts w:ascii="Arial" w:hAnsi="Arial" w:cs="Arial"/>
          <w:sz w:val="24"/>
          <w:szCs w:val="24"/>
        </w:rPr>
        <w:t>Roz</w:t>
      </w:r>
      <w:r w:rsidR="009B299E">
        <w:rPr>
          <w:rFonts w:ascii="Arial" w:hAnsi="Arial" w:cs="Arial"/>
          <w:sz w:val="24"/>
          <w:szCs w:val="24"/>
        </w:rPr>
        <w:t>počtová skladba – viz MFCR (201</w:t>
      </w:r>
      <w:r w:rsidR="008F2A0D">
        <w:rPr>
          <w:rFonts w:ascii="Arial" w:hAnsi="Arial" w:cs="Arial"/>
          <w:sz w:val="24"/>
          <w:szCs w:val="24"/>
        </w:rPr>
        <w:t>5</w:t>
      </w:r>
      <w:r w:rsidR="0079571A">
        <w:rPr>
          <w:rFonts w:ascii="Arial" w:hAnsi="Arial" w:cs="Arial"/>
          <w:sz w:val="24"/>
          <w:szCs w:val="24"/>
        </w:rPr>
        <w:t>a</w:t>
      </w:r>
      <w:r>
        <w:rPr>
          <w:rFonts w:ascii="Arial" w:hAnsi="Arial" w:cs="Arial"/>
          <w:sz w:val="24"/>
          <w:szCs w:val="24"/>
        </w:rPr>
        <w:t>)</w:t>
      </w:r>
    </w:p>
    <w:p w:rsidR="00D17C6E" w:rsidRPr="00D17C6E" w:rsidRDefault="00D17C6E" w:rsidP="00D17C6E">
      <w:pPr>
        <w:pStyle w:val="Odstavecseseznamem"/>
        <w:numPr>
          <w:ilvl w:val="2"/>
          <w:numId w:val="7"/>
        </w:numPr>
        <w:spacing w:before="240"/>
        <w:jc w:val="both"/>
        <w:rPr>
          <w:rFonts w:ascii="Arial" w:hAnsi="Arial" w:cs="Arial"/>
          <w:b/>
          <w:sz w:val="24"/>
          <w:szCs w:val="24"/>
        </w:rPr>
      </w:pPr>
      <w:r>
        <w:rPr>
          <w:rFonts w:ascii="Arial" w:hAnsi="Arial" w:cs="Arial"/>
          <w:sz w:val="24"/>
          <w:szCs w:val="24"/>
        </w:rPr>
        <w:t xml:space="preserve">Typy / druhy členění </w:t>
      </w:r>
    </w:p>
    <w:p w:rsidR="00D17C6E" w:rsidRPr="005D5952" w:rsidRDefault="00D17C6E" w:rsidP="00D17C6E">
      <w:pPr>
        <w:pStyle w:val="Odstavecseseznamem"/>
        <w:numPr>
          <w:ilvl w:val="2"/>
          <w:numId w:val="7"/>
        </w:numPr>
        <w:spacing w:before="240"/>
        <w:jc w:val="both"/>
        <w:rPr>
          <w:rFonts w:ascii="Arial" w:hAnsi="Arial" w:cs="Arial"/>
          <w:b/>
          <w:sz w:val="24"/>
          <w:szCs w:val="24"/>
        </w:rPr>
      </w:pPr>
      <w:r>
        <w:rPr>
          <w:rFonts w:ascii="Arial" w:hAnsi="Arial" w:cs="Arial"/>
          <w:sz w:val="24"/>
          <w:szCs w:val="24"/>
        </w:rPr>
        <w:t>Příklady: které kapitoly znáte, které jsou největší, které druhy výdajů dominují, na které odvětví jde nejvíce veřejných výdajů</w:t>
      </w:r>
    </w:p>
    <w:p w:rsidR="005D5952" w:rsidRPr="00E758ED" w:rsidRDefault="00E758ED" w:rsidP="005D5952">
      <w:pPr>
        <w:pStyle w:val="Odstavecseseznamem"/>
        <w:numPr>
          <w:ilvl w:val="1"/>
          <w:numId w:val="7"/>
        </w:numPr>
        <w:spacing w:before="240"/>
        <w:jc w:val="both"/>
        <w:rPr>
          <w:rFonts w:ascii="Arial" w:hAnsi="Arial" w:cs="Arial"/>
          <w:b/>
          <w:sz w:val="24"/>
          <w:szCs w:val="24"/>
        </w:rPr>
      </w:pPr>
      <w:r>
        <w:rPr>
          <w:rFonts w:ascii="Arial" w:hAnsi="Arial" w:cs="Arial"/>
          <w:sz w:val="24"/>
          <w:szCs w:val="24"/>
        </w:rPr>
        <w:t>ESA95 X GFS 2001 – otázka akruálního principu</w:t>
      </w:r>
    </w:p>
    <w:p w:rsidR="00E758ED" w:rsidRPr="00E758ED" w:rsidRDefault="00E758ED" w:rsidP="005D5952">
      <w:pPr>
        <w:pStyle w:val="Odstavecseseznamem"/>
        <w:numPr>
          <w:ilvl w:val="1"/>
          <w:numId w:val="7"/>
        </w:numPr>
        <w:spacing w:before="240"/>
        <w:jc w:val="both"/>
        <w:rPr>
          <w:rFonts w:ascii="Arial" w:hAnsi="Arial" w:cs="Arial"/>
          <w:b/>
          <w:sz w:val="24"/>
          <w:szCs w:val="24"/>
        </w:rPr>
      </w:pPr>
      <w:r>
        <w:rPr>
          <w:rFonts w:ascii="Arial" w:hAnsi="Arial" w:cs="Arial"/>
          <w:sz w:val="24"/>
          <w:szCs w:val="24"/>
        </w:rPr>
        <w:t>Úroveň vlády – viz Konsolidační třídění dle rozpočtové skladby</w:t>
      </w:r>
    </w:p>
    <w:p w:rsidR="00E758ED" w:rsidRPr="00E758ED" w:rsidRDefault="009B299E" w:rsidP="00E758ED">
      <w:pPr>
        <w:pStyle w:val="Odstavecseseznamem"/>
        <w:numPr>
          <w:ilvl w:val="1"/>
          <w:numId w:val="7"/>
        </w:numPr>
        <w:spacing w:before="240"/>
        <w:jc w:val="both"/>
        <w:rPr>
          <w:rFonts w:ascii="Arial" w:hAnsi="Arial" w:cs="Arial"/>
          <w:b/>
          <w:sz w:val="24"/>
          <w:szCs w:val="24"/>
        </w:rPr>
      </w:pPr>
      <w:r>
        <w:rPr>
          <w:rFonts w:ascii="Arial" w:hAnsi="Arial" w:cs="Arial"/>
          <w:sz w:val="24"/>
          <w:szCs w:val="24"/>
        </w:rPr>
        <w:lastRenderedPageBreak/>
        <w:t>COFOG – viz ČSÚ (201</w:t>
      </w:r>
      <w:r w:rsidR="00E96435">
        <w:rPr>
          <w:rFonts w:ascii="Arial" w:hAnsi="Arial" w:cs="Arial"/>
          <w:sz w:val="24"/>
          <w:szCs w:val="24"/>
        </w:rPr>
        <w:t>5</w:t>
      </w:r>
      <w:r w:rsidR="00E758ED">
        <w:rPr>
          <w:rFonts w:ascii="Arial" w:hAnsi="Arial" w:cs="Arial"/>
          <w:sz w:val="24"/>
          <w:szCs w:val="24"/>
        </w:rPr>
        <w:t>), obdoba o</w:t>
      </w:r>
      <w:r w:rsidR="00E758ED" w:rsidRPr="00E758ED">
        <w:rPr>
          <w:rFonts w:ascii="Arial" w:hAnsi="Arial" w:cs="Arial"/>
          <w:sz w:val="24"/>
          <w:szCs w:val="24"/>
        </w:rPr>
        <w:t>dvětvové</w:t>
      </w:r>
      <w:r w:rsidR="00E758ED">
        <w:rPr>
          <w:rFonts w:ascii="Arial" w:hAnsi="Arial" w:cs="Arial"/>
          <w:sz w:val="24"/>
          <w:szCs w:val="24"/>
        </w:rPr>
        <w:t>ho</w:t>
      </w:r>
      <w:r w:rsidR="00E758ED" w:rsidRPr="00E758ED">
        <w:rPr>
          <w:rFonts w:ascii="Arial" w:hAnsi="Arial" w:cs="Arial"/>
          <w:sz w:val="24"/>
          <w:szCs w:val="24"/>
        </w:rPr>
        <w:t xml:space="preserve"> třídění </w:t>
      </w:r>
      <w:r w:rsidR="00E758ED">
        <w:rPr>
          <w:rFonts w:ascii="Arial" w:hAnsi="Arial" w:cs="Arial"/>
          <w:sz w:val="24"/>
          <w:szCs w:val="24"/>
        </w:rPr>
        <w:t xml:space="preserve">dle </w:t>
      </w:r>
      <w:r w:rsidR="00E758ED" w:rsidRPr="00E758ED">
        <w:rPr>
          <w:rFonts w:ascii="Arial" w:hAnsi="Arial" w:cs="Arial"/>
          <w:sz w:val="24"/>
          <w:szCs w:val="24"/>
        </w:rPr>
        <w:t>rozpočtové skladby</w:t>
      </w:r>
    </w:p>
    <w:p w:rsidR="00E758ED" w:rsidRPr="00D41CCE" w:rsidRDefault="00E758ED" w:rsidP="00E758ED">
      <w:pPr>
        <w:pStyle w:val="Odstavecseseznamem"/>
        <w:numPr>
          <w:ilvl w:val="1"/>
          <w:numId w:val="7"/>
        </w:numPr>
        <w:spacing w:before="240"/>
        <w:jc w:val="both"/>
        <w:rPr>
          <w:rFonts w:ascii="Arial" w:hAnsi="Arial" w:cs="Arial"/>
          <w:b/>
          <w:sz w:val="24"/>
          <w:szCs w:val="24"/>
        </w:rPr>
      </w:pPr>
      <w:r>
        <w:rPr>
          <w:rFonts w:ascii="Arial" w:hAnsi="Arial" w:cs="Arial"/>
          <w:sz w:val="24"/>
          <w:szCs w:val="24"/>
        </w:rPr>
        <w:t>Mandatorní X nemandatorní výdaje</w:t>
      </w:r>
    </w:p>
    <w:p w:rsidR="005D5952" w:rsidRPr="00A77051" w:rsidRDefault="008F2A0D" w:rsidP="005D5952">
      <w:pPr>
        <w:pStyle w:val="Odstavecseseznamem"/>
        <w:numPr>
          <w:ilvl w:val="0"/>
          <w:numId w:val="7"/>
        </w:numPr>
        <w:spacing w:before="240"/>
        <w:jc w:val="both"/>
        <w:rPr>
          <w:rFonts w:ascii="Arial" w:hAnsi="Arial" w:cs="Arial"/>
          <w:b/>
          <w:sz w:val="24"/>
          <w:szCs w:val="24"/>
        </w:rPr>
      </w:pPr>
      <w:r>
        <w:rPr>
          <w:rFonts w:ascii="Arial" w:hAnsi="Arial" w:cs="Arial"/>
          <w:sz w:val="24"/>
          <w:szCs w:val="24"/>
        </w:rPr>
        <w:t>Datová část – viz MFCR (2015</w:t>
      </w:r>
      <w:r w:rsidR="00D41CCE">
        <w:rPr>
          <w:rFonts w:ascii="Arial" w:hAnsi="Arial" w:cs="Arial"/>
          <w:sz w:val="24"/>
          <w:szCs w:val="24"/>
        </w:rPr>
        <w:t>b)</w:t>
      </w:r>
    </w:p>
    <w:p w:rsidR="00E758ED" w:rsidRDefault="00E758ED" w:rsidP="005D5952">
      <w:pPr>
        <w:spacing w:before="240"/>
        <w:jc w:val="both"/>
        <w:rPr>
          <w:rFonts w:ascii="Arial" w:hAnsi="Arial" w:cs="Arial"/>
          <w:b/>
          <w:sz w:val="24"/>
          <w:szCs w:val="24"/>
        </w:rPr>
      </w:pPr>
    </w:p>
    <w:p w:rsidR="00E758ED" w:rsidRDefault="00E758ED" w:rsidP="00E758ED">
      <w:pPr>
        <w:pStyle w:val="Odstavecseseznamem"/>
        <w:numPr>
          <w:ilvl w:val="0"/>
          <w:numId w:val="3"/>
        </w:numPr>
        <w:spacing w:before="240"/>
        <w:ind w:left="426" w:hanging="426"/>
        <w:jc w:val="both"/>
        <w:rPr>
          <w:rFonts w:ascii="Arial" w:hAnsi="Arial" w:cs="Arial"/>
          <w:b/>
          <w:sz w:val="28"/>
          <w:szCs w:val="24"/>
        </w:rPr>
      </w:pPr>
      <w:r>
        <w:rPr>
          <w:rFonts w:ascii="Arial" w:hAnsi="Arial" w:cs="Arial"/>
          <w:b/>
          <w:sz w:val="28"/>
          <w:szCs w:val="24"/>
        </w:rPr>
        <w:t>Proč se zabývat mandatorními výdaji?</w:t>
      </w:r>
    </w:p>
    <w:p w:rsidR="00D13394" w:rsidRPr="00D13394" w:rsidRDefault="00D13394" w:rsidP="00E758ED">
      <w:pPr>
        <w:pStyle w:val="Odstavecseseznamem"/>
        <w:numPr>
          <w:ilvl w:val="0"/>
          <w:numId w:val="7"/>
        </w:numPr>
        <w:spacing w:before="240"/>
        <w:jc w:val="both"/>
        <w:rPr>
          <w:rFonts w:ascii="Arial" w:hAnsi="Arial" w:cs="Arial"/>
          <w:b/>
          <w:sz w:val="24"/>
          <w:szCs w:val="24"/>
        </w:rPr>
      </w:pPr>
      <w:r>
        <w:rPr>
          <w:rFonts w:ascii="Arial" w:hAnsi="Arial" w:cs="Arial"/>
          <w:sz w:val="24"/>
          <w:szCs w:val="24"/>
        </w:rPr>
        <w:t>Co jsou to mandatorní výdaje obecně, proč se vyjadřují, proč se začaly sledovat? Které veřejné výdaje byste hledali mezi mandatorními výdaji?</w:t>
      </w:r>
    </w:p>
    <w:p w:rsidR="00E758ED" w:rsidRPr="00E758ED" w:rsidRDefault="00E758ED" w:rsidP="00E758ED">
      <w:pPr>
        <w:pStyle w:val="Odstavecseseznamem"/>
        <w:numPr>
          <w:ilvl w:val="0"/>
          <w:numId w:val="7"/>
        </w:numPr>
        <w:spacing w:before="240"/>
        <w:jc w:val="both"/>
        <w:rPr>
          <w:rFonts w:ascii="Arial" w:hAnsi="Arial" w:cs="Arial"/>
          <w:b/>
          <w:sz w:val="24"/>
          <w:szCs w:val="24"/>
        </w:rPr>
      </w:pPr>
      <w:r>
        <w:rPr>
          <w:rFonts w:ascii="Arial" w:hAnsi="Arial" w:cs="Arial"/>
          <w:sz w:val="24"/>
          <w:szCs w:val="24"/>
        </w:rPr>
        <w:t>Proč se vládám nedaří rychle snížit vládní deficit, co jim brání dramaticky snížit z roku na rok vládní výdaje? (odpověď na otázku není jednoduchá, nemá jenom jednu vrstvu, kterou chceme prezentovat. Opět viz první přednáška, kdy nabízíme možné odpovědi, se kterými nemusíte souhlasit, ale musíte být schopni zaujmout k nim stanoviska a obhájit si je)</w:t>
      </w:r>
    </w:p>
    <w:p w:rsidR="00E758ED" w:rsidRPr="0079571A" w:rsidRDefault="00E758ED" w:rsidP="00E758ED">
      <w:pPr>
        <w:pStyle w:val="Odstavecseseznamem"/>
        <w:numPr>
          <w:ilvl w:val="1"/>
          <w:numId w:val="7"/>
        </w:numPr>
        <w:spacing w:before="240"/>
        <w:jc w:val="both"/>
        <w:rPr>
          <w:rFonts w:ascii="Arial" w:hAnsi="Arial" w:cs="Arial"/>
          <w:b/>
          <w:sz w:val="24"/>
          <w:szCs w:val="24"/>
        </w:rPr>
      </w:pPr>
      <w:r>
        <w:rPr>
          <w:rFonts w:ascii="Arial" w:hAnsi="Arial" w:cs="Arial"/>
          <w:sz w:val="24"/>
          <w:szCs w:val="24"/>
        </w:rPr>
        <w:t xml:space="preserve">Provázanost vládních agend – obtížně se </w:t>
      </w:r>
      <w:r w:rsidR="0079571A">
        <w:rPr>
          <w:rFonts w:ascii="Arial" w:hAnsi="Arial" w:cs="Arial"/>
          <w:sz w:val="24"/>
          <w:szCs w:val="24"/>
        </w:rPr>
        <w:t>škrtá</w:t>
      </w:r>
    </w:p>
    <w:p w:rsidR="0079571A" w:rsidRPr="0079571A" w:rsidRDefault="0079571A" w:rsidP="00E758ED">
      <w:pPr>
        <w:pStyle w:val="Odstavecseseznamem"/>
        <w:numPr>
          <w:ilvl w:val="1"/>
          <w:numId w:val="7"/>
        </w:numPr>
        <w:spacing w:before="240"/>
        <w:jc w:val="both"/>
        <w:rPr>
          <w:rFonts w:ascii="Arial" w:hAnsi="Arial" w:cs="Arial"/>
          <w:b/>
          <w:sz w:val="24"/>
          <w:szCs w:val="24"/>
        </w:rPr>
      </w:pPr>
      <w:r>
        <w:rPr>
          <w:rFonts w:ascii="Arial" w:hAnsi="Arial" w:cs="Arial"/>
          <w:sz w:val="24"/>
          <w:szCs w:val="24"/>
        </w:rPr>
        <w:t>Vliv mezinárodních závazků a závazků plynoucích z národní legislativy</w:t>
      </w:r>
    </w:p>
    <w:p w:rsidR="0079571A" w:rsidRPr="0079571A" w:rsidRDefault="0079571A" w:rsidP="0079571A">
      <w:pPr>
        <w:pStyle w:val="Odstavecseseznamem"/>
        <w:numPr>
          <w:ilvl w:val="0"/>
          <w:numId w:val="7"/>
        </w:numPr>
        <w:spacing w:before="240"/>
        <w:jc w:val="both"/>
        <w:rPr>
          <w:rFonts w:ascii="Arial" w:hAnsi="Arial" w:cs="Arial"/>
          <w:b/>
          <w:sz w:val="24"/>
          <w:szCs w:val="24"/>
        </w:rPr>
      </w:pPr>
      <w:r>
        <w:rPr>
          <w:rFonts w:ascii="Arial" w:hAnsi="Arial" w:cs="Arial"/>
          <w:sz w:val="24"/>
          <w:szCs w:val="24"/>
        </w:rPr>
        <w:t>Zajímají nás dva aspekty u mandatorních výdajů</w:t>
      </w:r>
    </w:p>
    <w:p w:rsidR="0079571A" w:rsidRPr="0079571A" w:rsidRDefault="0079571A" w:rsidP="0079571A">
      <w:pPr>
        <w:pStyle w:val="Odstavecseseznamem"/>
        <w:numPr>
          <w:ilvl w:val="1"/>
          <w:numId w:val="7"/>
        </w:numPr>
        <w:spacing w:before="240"/>
        <w:jc w:val="both"/>
        <w:rPr>
          <w:rFonts w:ascii="Arial" w:hAnsi="Arial" w:cs="Arial"/>
          <w:b/>
          <w:sz w:val="24"/>
          <w:szCs w:val="24"/>
        </w:rPr>
      </w:pPr>
      <w:r>
        <w:rPr>
          <w:rFonts w:ascii="Arial" w:hAnsi="Arial" w:cs="Arial"/>
          <w:sz w:val="24"/>
          <w:szCs w:val="24"/>
        </w:rPr>
        <w:t>Jejich současná výše – ideálně v poměru k celkovým výdajům nebo příjmům</w:t>
      </w:r>
    </w:p>
    <w:p w:rsidR="0079571A" w:rsidRPr="0079571A" w:rsidRDefault="0079571A" w:rsidP="0079571A">
      <w:pPr>
        <w:pStyle w:val="Odstavecseseznamem"/>
        <w:numPr>
          <w:ilvl w:val="1"/>
          <w:numId w:val="7"/>
        </w:numPr>
        <w:spacing w:before="240"/>
        <w:jc w:val="both"/>
        <w:rPr>
          <w:rFonts w:ascii="Arial" w:hAnsi="Arial" w:cs="Arial"/>
          <w:b/>
          <w:sz w:val="24"/>
          <w:szCs w:val="24"/>
        </w:rPr>
      </w:pPr>
      <w:r>
        <w:rPr>
          <w:rFonts w:ascii="Arial" w:hAnsi="Arial" w:cs="Arial"/>
          <w:sz w:val="24"/>
          <w:szCs w:val="24"/>
        </w:rPr>
        <w:t>Vývoj tohoto podílu v čase – pokud se dlouhodobě snižuje, nemusí být problém</w:t>
      </w:r>
    </w:p>
    <w:p w:rsidR="0079571A" w:rsidRPr="0079571A" w:rsidRDefault="0079571A" w:rsidP="0079571A">
      <w:pPr>
        <w:pStyle w:val="Odstavecseseznamem"/>
        <w:numPr>
          <w:ilvl w:val="0"/>
          <w:numId w:val="7"/>
        </w:numPr>
        <w:spacing w:before="240"/>
        <w:jc w:val="both"/>
        <w:rPr>
          <w:rFonts w:ascii="Arial" w:hAnsi="Arial" w:cs="Arial"/>
          <w:b/>
          <w:sz w:val="24"/>
          <w:szCs w:val="24"/>
        </w:rPr>
      </w:pPr>
      <w:r>
        <w:rPr>
          <w:rFonts w:ascii="Arial" w:hAnsi="Arial" w:cs="Arial"/>
          <w:sz w:val="24"/>
          <w:szCs w:val="24"/>
        </w:rPr>
        <w:t>V čem je problém, pokud mandatorní výdaje dosahují např. 75 % veřejných příjmů a pokud tento podíl v čase roste?</w:t>
      </w:r>
      <w:r w:rsidR="00D13394">
        <w:rPr>
          <w:rFonts w:ascii="Arial" w:hAnsi="Arial" w:cs="Arial"/>
          <w:sz w:val="24"/>
          <w:szCs w:val="24"/>
        </w:rPr>
        <w:t xml:space="preserve"> Pokuste se identifikovat </w:t>
      </w:r>
      <w:r w:rsidR="006F37C4">
        <w:rPr>
          <w:rFonts w:ascii="Arial" w:hAnsi="Arial" w:cs="Arial"/>
          <w:sz w:val="24"/>
          <w:szCs w:val="24"/>
        </w:rPr>
        <w:t>následky</w:t>
      </w:r>
      <w:r w:rsidR="00866A83">
        <w:rPr>
          <w:rFonts w:ascii="Arial" w:hAnsi="Arial" w:cs="Arial"/>
          <w:sz w:val="24"/>
          <w:szCs w:val="24"/>
        </w:rPr>
        <w:t xml:space="preserve"> vyplývající z této situace.</w:t>
      </w:r>
      <w:r w:rsidR="00895346">
        <w:rPr>
          <w:rFonts w:ascii="Arial" w:hAnsi="Arial" w:cs="Arial"/>
          <w:sz w:val="24"/>
          <w:szCs w:val="24"/>
        </w:rPr>
        <w:t xml:space="preserve"> Jak byste postupovali, pokud by podíl MV vůči VP byl příliš vysoký?</w:t>
      </w:r>
    </w:p>
    <w:p w:rsidR="0079571A" w:rsidRPr="0079571A" w:rsidRDefault="0079571A" w:rsidP="0079571A">
      <w:pPr>
        <w:pStyle w:val="Odstavecseseznamem"/>
        <w:numPr>
          <w:ilvl w:val="0"/>
          <w:numId w:val="7"/>
        </w:numPr>
        <w:spacing w:before="240"/>
        <w:jc w:val="both"/>
        <w:rPr>
          <w:rFonts w:ascii="Arial" w:hAnsi="Arial" w:cs="Arial"/>
          <w:b/>
          <w:sz w:val="24"/>
          <w:szCs w:val="24"/>
        </w:rPr>
      </w:pPr>
      <w:r>
        <w:rPr>
          <w:rFonts w:ascii="Arial" w:hAnsi="Arial" w:cs="Arial"/>
          <w:sz w:val="24"/>
          <w:szCs w:val="24"/>
        </w:rPr>
        <w:t>Podívejte do tabulky mandatorních výdajů n</w:t>
      </w:r>
      <w:r w:rsidR="00F523FD">
        <w:rPr>
          <w:rFonts w:ascii="Arial" w:hAnsi="Arial" w:cs="Arial"/>
          <w:sz w:val="24"/>
          <w:szCs w:val="24"/>
        </w:rPr>
        <w:t>a jejic</w:t>
      </w:r>
      <w:r w:rsidR="008F2A0D">
        <w:rPr>
          <w:rFonts w:ascii="Arial" w:hAnsi="Arial" w:cs="Arial"/>
          <w:sz w:val="24"/>
          <w:szCs w:val="24"/>
        </w:rPr>
        <w:t>h jednotlivé položky (MFCR (2015</w:t>
      </w:r>
      <w:r w:rsidR="00D41CCE">
        <w:rPr>
          <w:rFonts w:ascii="Arial" w:hAnsi="Arial" w:cs="Arial"/>
          <w:sz w:val="24"/>
          <w:szCs w:val="24"/>
        </w:rPr>
        <w:t>c</w:t>
      </w:r>
      <w:r>
        <w:rPr>
          <w:rFonts w:ascii="Arial" w:hAnsi="Arial" w:cs="Arial"/>
          <w:sz w:val="24"/>
          <w:szCs w:val="24"/>
        </w:rPr>
        <w:t>) a diskutujte</w:t>
      </w:r>
      <w:r w:rsidR="00D41CCE">
        <w:rPr>
          <w:rFonts w:ascii="Arial" w:hAnsi="Arial" w:cs="Arial"/>
          <w:sz w:val="24"/>
          <w:szCs w:val="24"/>
        </w:rPr>
        <w:t>,</w:t>
      </w:r>
      <w:r>
        <w:rPr>
          <w:rFonts w:ascii="Arial" w:hAnsi="Arial" w:cs="Arial"/>
          <w:sz w:val="24"/>
          <w:szCs w:val="24"/>
        </w:rPr>
        <w:t xml:space="preserve"> jak rozumíte jejich nejvýznamnějším položkám</w:t>
      </w:r>
      <w:r w:rsidR="007B62EB">
        <w:rPr>
          <w:rFonts w:ascii="Arial" w:hAnsi="Arial" w:cs="Arial"/>
          <w:sz w:val="24"/>
          <w:szCs w:val="24"/>
        </w:rPr>
        <w:t>.</w:t>
      </w:r>
    </w:p>
    <w:p w:rsidR="00A436FF" w:rsidRPr="00895346" w:rsidRDefault="00A436FF" w:rsidP="00895346">
      <w:pPr>
        <w:spacing w:before="240"/>
        <w:jc w:val="both"/>
        <w:rPr>
          <w:rFonts w:ascii="Arial" w:hAnsi="Arial" w:cs="Arial"/>
          <w:sz w:val="24"/>
          <w:szCs w:val="24"/>
        </w:rPr>
      </w:pPr>
    </w:p>
    <w:p w:rsidR="00895346" w:rsidRPr="00895346" w:rsidRDefault="00895346" w:rsidP="00895346">
      <w:pPr>
        <w:pStyle w:val="Odstavecseseznamem"/>
        <w:numPr>
          <w:ilvl w:val="0"/>
          <w:numId w:val="3"/>
        </w:numPr>
        <w:spacing w:before="240"/>
        <w:ind w:left="426" w:hanging="426"/>
        <w:jc w:val="both"/>
        <w:rPr>
          <w:rFonts w:ascii="Arial" w:hAnsi="Arial" w:cs="Arial"/>
          <w:b/>
          <w:sz w:val="28"/>
          <w:szCs w:val="24"/>
        </w:rPr>
      </w:pPr>
      <w:r w:rsidRPr="00895346">
        <w:rPr>
          <w:rFonts w:ascii="Arial" w:hAnsi="Arial" w:cs="Arial"/>
          <w:b/>
          <w:sz w:val="28"/>
          <w:szCs w:val="24"/>
        </w:rPr>
        <w:t xml:space="preserve">Referát: </w:t>
      </w:r>
      <w:r w:rsidRPr="00895346">
        <w:rPr>
          <w:rFonts w:ascii="Arial" w:hAnsi="Arial" w:cs="Arial"/>
          <w:b/>
          <w:color w:val="FF0000"/>
          <w:sz w:val="28"/>
          <w:szCs w:val="24"/>
        </w:rPr>
        <w:t>Vliv pořádání OH na veřejné finance organizátorské země</w:t>
      </w:r>
    </w:p>
    <w:p w:rsidR="00895346" w:rsidRPr="00895346" w:rsidRDefault="00895346" w:rsidP="00895346">
      <w:pPr>
        <w:pStyle w:val="Odstavecseseznamem"/>
        <w:numPr>
          <w:ilvl w:val="0"/>
          <w:numId w:val="7"/>
        </w:numPr>
        <w:spacing w:before="240"/>
        <w:jc w:val="both"/>
        <w:rPr>
          <w:rFonts w:ascii="Arial" w:hAnsi="Arial" w:cs="Arial"/>
          <w:sz w:val="24"/>
          <w:szCs w:val="24"/>
        </w:rPr>
      </w:pPr>
      <w:r w:rsidRPr="00895346">
        <w:rPr>
          <w:rFonts w:ascii="Arial" w:hAnsi="Arial" w:cs="Arial"/>
          <w:sz w:val="24"/>
          <w:szCs w:val="24"/>
        </w:rPr>
        <w:t>Na základě ekonomických dat analyzujte dopady organizace OH (Londýn, Soči)</w:t>
      </w:r>
    </w:p>
    <w:p w:rsidR="00895346" w:rsidRPr="00895346" w:rsidRDefault="00895346" w:rsidP="00895346">
      <w:pPr>
        <w:pStyle w:val="Odstavecseseznamem"/>
        <w:numPr>
          <w:ilvl w:val="0"/>
          <w:numId w:val="7"/>
        </w:numPr>
        <w:spacing w:before="240"/>
        <w:jc w:val="both"/>
        <w:rPr>
          <w:rFonts w:ascii="Arial" w:hAnsi="Arial" w:cs="Arial"/>
          <w:sz w:val="24"/>
          <w:szCs w:val="24"/>
        </w:rPr>
      </w:pPr>
      <w:r w:rsidRPr="00895346">
        <w:rPr>
          <w:rFonts w:ascii="Arial" w:hAnsi="Arial" w:cs="Arial"/>
          <w:sz w:val="24"/>
          <w:szCs w:val="24"/>
        </w:rPr>
        <w:t>Vyhodnoťte ekonomickou návratnost investic, vliv organizace OH na VEFI daných zemí v kontextu fáze ekonomického cyklu, ve kterém se země nacházela</w:t>
      </w:r>
    </w:p>
    <w:p w:rsidR="00895346" w:rsidRPr="00895346" w:rsidRDefault="00895346" w:rsidP="00895346">
      <w:pPr>
        <w:pStyle w:val="Odstavecseseznamem"/>
        <w:numPr>
          <w:ilvl w:val="0"/>
          <w:numId w:val="7"/>
        </w:numPr>
        <w:spacing w:before="240"/>
        <w:jc w:val="both"/>
        <w:rPr>
          <w:rFonts w:ascii="Arial" w:hAnsi="Arial" w:cs="Arial"/>
          <w:sz w:val="24"/>
          <w:szCs w:val="24"/>
        </w:rPr>
      </w:pPr>
      <w:r w:rsidRPr="00895346">
        <w:rPr>
          <w:rFonts w:ascii="Arial" w:hAnsi="Arial" w:cs="Arial"/>
          <w:sz w:val="24"/>
          <w:szCs w:val="24"/>
        </w:rPr>
        <w:t>Jaké bylo zapojení soukromých investorů do projektu</w:t>
      </w:r>
    </w:p>
    <w:p w:rsidR="00895346" w:rsidRPr="00895346" w:rsidRDefault="00895346" w:rsidP="00895346">
      <w:pPr>
        <w:pStyle w:val="Odstavecseseznamem"/>
        <w:numPr>
          <w:ilvl w:val="0"/>
          <w:numId w:val="7"/>
        </w:numPr>
        <w:spacing w:before="240"/>
        <w:jc w:val="both"/>
        <w:rPr>
          <w:rFonts w:ascii="Arial" w:hAnsi="Arial" w:cs="Arial"/>
          <w:sz w:val="24"/>
          <w:szCs w:val="24"/>
        </w:rPr>
      </w:pPr>
      <w:r w:rsidRPr="00895346">
        <w:rPr>
          <w:rFonts w:ascii="Arial" w:hAnsi="Arial" w:cs="Arial"/>
          <w:sz w:val="24"/>
          <w:szCs w:val="24"/>
        </w:rPr>
        <w:t>Identifikuje strategické cíle přínosů organizace OH a jejich naplnění</w:t>
      </w:r>
    </w:p>
    <w:p w:rsidR="00895346" w:rsidRPr="00895346" w:rsidRDefault="00895346" w:rsidP="00895346">
      <w:pPr>
        <w:pStyle w:val="Odstavecseseznamem"/>
        <w:numPr>
          <w:ilvl w:val="0"/>
          <w:numId w:val="7"/>
        </w:numPr>
        <w:spacing w:before="240"/>
        <w:jc w:val="both"/>
        <w:rPr>
          <w:rFonts w:ascii="Arial" w:hAnsi="Arial" w:cs="Arial"/>
          <w:sz w:val="24"/>
          <w:szCs w:val="24"/>
        </w:rPr>
      </w:pPr>
      <w:r w:rsidRPr="00895346">
        <w:rPr>
          <w:rFonts w:ascii="Arial" w:hAnsi="Arial" w:cs="Arial"/>
          <w:sz w:val="24"/>
          <w:szCs w:val="24"/>
        </w:rPr>
        <w:t>Definujte hlavní prvky přínosů a hrozeb organizace OH pro danou zemi z hlediska VEFI</w:t>
      </w:r>
    </w:p>
    <w:p w:rsidR="00A436FF" w:rsidRDefault="00A436FF" w:rsidP="005D5952">
      <w:pPr>
        <w:spacing w:before="240"/>
        <w:jc w:val="both"/>
        <w:rPr>
          <w:rFonts w:ascii="Arial" w:hAnsi="Arial" w:cs="Arial"/>
          <w:b/>
          <w:sz w:val="24"/>
          <w:szCs w:val="24"/>
        </w:rPr>
      </w:pPr>
    </w:p>
    <w:p w:rsidR="00D41CCE" w:rsidRDefault="00834DB9" w:rsidP="00D41CCE">
      <w:pPr>
        <w:pStyle w:val="Odstavecseseznamem"/>
        <w:numPr>
          <w:ilvl w:val="0"/>
          <w:numId w:val="3"/>
        </w:numPr>
        <w:spacing w:before="240"/>
        <w:ind w:left="426" w:hanging="426"/>
        <w:jc w:val="both"/>
        <w:rPr>
          <w:rFonts w:ascii="Arial" w:hAnsi="Arial" w:cs="Arial"/>
          <w:b/>
          <w:sz w:val="28"/>
          <w:szCs w:val="24"/>
        </w:rPr>
      </w:pPr>
      <w:r w:rsidRPr="00834DB9">
        <w:rPr>
          <w:rFonts w:ascii="Arial" w:hAnsi="Arial" w:cs="Arial"/>
          <w:b/>
          <w:color w:val="FF0000"/>
          <w:sz w:val="28"/>
          <w:szCs w:val="24"/>
        </w:rPr>
        <w:lastRenderedPageBreak/>
        <w:t>(K)</w:t>
      </w:r>
      <w:r>
        <w:rPr>
          <w:rFonts w:ascii="Arial" w:hAnsi="Arial" w:cs="Arial"/>
          <w:b/>
          <w:sz w:val="28"/>
          <w:szCs w:val="24"/>
        </w:rPr>
        <w:t xml:space="preserve"> </w:t>
      </w:r>
      <w:r w:rsidR="00D41CCE">
        <w:rPr>
          <w:rFonts w:ascii="Arial" w:hAnsi="Arial" w:cs="Arial"/>
          <w:b/>
          <w:sz w:val="28"/>
          <w:szCs w:val="24"/>
        </w:rPr>
        <w:t>Jak nejlépe podpořit rodinu s nezaopatřenými dětmi</w:t>
      </w:r>
      <w:r>
        <w:rPr>
          <w:rFonts w:ascii="Arial" w:hAnsi="Arial" w:cs="Arial"/>
          <w:b/>
          <w:sz w:val="28"/>
          <w:szCs w:val="24"/>
        </w:rPr>
        <w:t>?</w:t>
      </w:r>
    </w:p>
    <w:p w:rsidR="00834DB9" w:rsidRDefault="00834DB9" w:rsidP="00D41CCE">
      <w:pPr>
        <w:pStyle w:val="Odstavecseseznamem"/>
        <w:numPr>
          <w:ilvl w:val="0"/>
          <w:numId w:val="7"/>
        </w:numPr>
        <w:spacing w:before="240"/>
        <w:jc w:val="both"/>
        <w:rPr>
          <w:rFonts w:ascii="Arial" w:hAnsi="Arial" w:cs="Arial"/>
          <w:sz w:val="24"/>
          <w:szCs w:val="24"/>
        </w:rPr>
      </w:pPr>
      <w:r>
        <w:rPr>
          <w:rFonts w:ascii="Arial" w:hAnsi="Arial" w:cs="Arial"/>
          <w:sz w:val="24"/>
          <w:szCs w:val="24"/>
        </w:rPr>
        <w:t>A proč ji vlastně podporovat?</w:t>
      </w:r>
    </w:p>
    <w:p w:rsidR="00D41CCE" w:rsidRPr="00D41CCE" w:rsidRDefault="00834DB9" w:rsidP="00D41CCE">
      <w:pPr>
        <w:pStyle w:val="Odstavecseseznamem"/>
        <w:numPr>
          <w:ilvl w:val="0"/>
          <w:numId w:val="7"/>
        </w:numPr>
        <w:spacing w:before="240"/>
        <w:jc w:val="both"/>
        <w:rPr>
          <w:rFonts w:ascii="Arial" w:hAnsi="Arial" w:cs="Arial"/>
          <w:sz w:val="24"/>
          <w:szCs w:val="24"/>
        </w:rPr>
      </w:pPr>
      <w:r>
        <w:rPr>
          <w:rFonts w:ascii="Arial" w:hAnsi="Arial" w:cs="Arial"/>
          <w:sz w:val="24"/>
          <w:szCs w:val="24"/>
        </w:rPr>
        <w:t>OK, chceme podpořit, m</w:t>
      </w:r>
      <w:r w:rsidR="00D41CCE" w:rsidRPr="00D41CCE">
        <w:rPr>
          <w:rFonts w:ascii="Arial" w:hAnsi="Arial" w:cs="Arial"/>
          <w:sz w:val="24"/>
          <w:szCs w:val="24"/>
        </w:rPr>
        <w:t>ožnosti, které se nabízejí:</w:t>
      </w:r>
    </w:p>
    <w:p w:rsidR="00D41CCE" w:rsidRPr="00D41CCE" w:rsidRDefault="00D41CCE" w:rsidP="00834DB9">
      <w:pPr>
        <w:pStyle w:val="Odstavecseseznamem"/>
        <w:numPr>
          <w:ilvl w:val="1"/>
          <w:numId w:val="7"/>
        </w:numPr>
        <w:spacing w:before="240"/>
        <w:jc w:val="both"/>
        <w:rPr>
          <w:rFonts w:ascii="Arial" w:hAnsi="Arial" w:cs="Arial"/>
          <w:sz w:val="24"/>
          <w:szCs w:val="24"/>
        </w:rPr>
      </w:pPr>
      <w:r w:rsidRPr="00D41CCE">
        <w:rPr>
          <w:rFonts w:ascii="Arial" w:hAnsi="Arial" w:cs="Arial"/>
          <w:sz w:val="24"/>
          <w:szCs w:val="24"/>
        </w:rPr>
        <w:t>Daňová forma podpory (odečitatelná položka ze základu daně nebo daňová sleva)</w:t>
      </w:r>
    </w:p>
    <w:p w:rsidR="00D41CCE" w:rsidRPr="00D41CCE" w:rsidRDefault="00D41CCE" w:rsidP="00834DB9">
      <w:pPr>
        <w:pStyle w:val="Odstavecseseznamem"/>
        <w:numPr>
          <w:ilvl w:val="1"/>
          <w:numId w:val="7"/>
        </w:numPr>
        <w:spacing w:before="240"/>
        <w:jc w:val="both"/>
        <w:rPr>
          <w:rFonts w:ascii="Arial" w:hAnsi="Arial" w:cs="Arial"/>
          <w:sz w:val="24"/>
          <w:szCs w:val="24"/>
        </w:rPr>
      </w:pPr>
      <w:r w:rsidRPr="00D41CCE">
        <w:rPr>
          <w:rFonts w:ascii="Arial" w:hAnsi="Arial" w:cs="Arial"/>
          <w:sz w:val="24"/>
          <w:szCs w:val="24"/>
        </w:rPr>
        <w:t>Dávková forma podpory (univerzální nebo selektivní přídavek na dítě)</w:t>
      </w:r>
    </w:p>
    <w:p w:rsidR="00D41CCE" w:rsidRPr="00D41CCE" w:rsidRDefault="00D41CCE" w:rsidP="00834DB9">
      <w:pPr>
        <w:pStyle w:val="Odstavecseseznamem"/>
        <w:numPr>
          <w:ilvl w:val="1"/>
          <w:numId w:val="7"/>
        </w:numPr>
        <w:spacing w:before="240"/>
        <w:jc w:val="both"/>
        <w:rPr>
          <w:rFonts w:ascii="Arial" w:hAnsi="Arial" w:cs="Arial"/>
          <w:sz w:val="24"/>
          <w:szCs w:val="24"/>
        </w:rPr>
      </w:pPr>
      <w:r w:rsidRPr="00D41CCE">
        <w:rPr>
          <w:rFonts w:ascii="Arial" w:hAnsi="Arial" w:cs="Arial"/>
          <w:sz w:val="24"/>
          <w:szCs w:val="24"/>
        </w:rPr>
        <w:t>Poukázka (stravenky na potraviny</w:t>
      </w:r>
      <w:r w:rsidR="00834DB9">
        <w:rPr>
          <w:rFonts w:ascii="Arial" w:hAnsi="Arial" w:cs="Arial"/>
          <w:sz w:val="24"/>
          <w:szCs w:val="24"/>
        </w:rPr>
        <w:t>, oblečení, …</w:t>
      </w:r>
      <w:r w:rsidRPr="00D41CCE">
        <w:rPr>
          <w:rFonts w:ascii="Arial" w:hAnsi="Arial" w:cs="Arial"/>
          <w:sz w:val="24"/>
          <w:szCs w:val="24"/>
        </w:rPr>
        <w:t xml:space="preserve"> nebo </w:t>
      </w:r>
      <w:r w:rsidR="00834DB9">
        <w:rPr>
          <w:rFonts w:ascii="Arial" w:hAnsi="Arial" w:cs="Arial"/>
          <w:sz w:val="24"/>
          <w:szCs w:val="24"/>
        </w:rPr>
        <w:t xml:space="preserve">(modernější) </w:t>
      </w:r>
      <w:proofErr w:type="spellStart"/>
      <w:r w:rsidRPr="00D41CCE">
        <w:rPr>
          <w:rFonts w:ascii="Arial" w:hAnsi="Arial" w:cs="Arial"/>
          <w:sz w:val="24"/>
          <w:szCs w:val="24"/>
        </w:rPr>
        <w:t>pre-paid</w:t>
      </w:r>
      <w:proofErr w:type="spellEnd"/>
      <w:r w:rsidRPr="00D41CCE">
        <w:rPr>
          <w:rFonts w:ascii="Arial" w:hAnsi="Arial" w:cs="Arial"/>
          <w:sz w:val="24"/>
          <w:szCs w:val="24"/>
        </w:rPr>
        <w:t xml:space="preserve"> kreditní karta)</w:t>
      </w:r>
    </w:p>
    <w:p w:rsidR="00D41CCE" w:rsidRPr="00D41CCE" w:rsidRDefault="00D41CCE" w:rsidP="00D41CCE">
      <w:pPr>
        <w:pStyle w:val="Odstavecseseznamem"/>
        <w:numPr>
          <w:ilvl w:val="0"/>
          <w:numId w:val="7"/>
        </w:numPr>
        <w:spacing w:before="240"/>
        <w:jc w:val="both"/>
        <w:rPr>
          <w:rFonts w:ascii="Arial" w:hAnsi="Arial" w:cs="Arial"/>
          <w:sz w:val="24"/>
          <w:szCs w:val="24"/>
        </w:rPr>
      </w:pPr>
      <w:r w:rsidRPr="00D41CCE">
        <w:rPr>
          <w:rFonts w:ascii="Arial" w:hAnsi="Arial" w:cs="Arial"/>
          <w:sz w:val="24"/>
          <w:szCs w:val="24"/>
        </w:rPr>
        <w:t>Diskutujte jaké výhody a nevýhody jsou spojeny s jednotlivými nástroji (klidně široce), v kterých situacích byste podpořili ten který nástroj</w:t>
      </w:r>
    </w:p>
    <w:p w:rsidR="0079571A" w:rsidRPr="005D5952" w:rsidRDefault="0079571A" w:rsidP="005D5952">
      <w:pPr>
        <w:spacing w:before="240"/>
        <w:jc w:val="both"/>
        <w:rPr>
          <w:rFonts w:ascii="Arial" w:hAnsi="Arial" w:cs="Arial"/>
          <w:b/>
          <w:sz w:val="24"/>
          <w:szCs w:val="24"/>
        </w:rPr>
      </w:pPr>
    </w:p>
    <w:p w:rsidR="009676BA" w:rsidRDefault="00834DB9" w:rsidP="00834DB9">
      <w:pPr>
        <w:pStyle w:val="Odstavecseseznamem"/>
        <w:numPr>
          <w:ilvl w:val="0"/>
          <w:numId w:val="3"/>
        </w:numPr>
        <w:spacing w:before="240"/>
        <w:ind w:left="426" w:hanging="426"/>
        <w:jc w:val="both"/>
        <w:rPr>
          <w:rFonts w:ascii="Arial" w:hAnsi="Arial" w:cs="Arial"/>
          <w:b/>
          <w:sz w:val="28"/>
          <w:szCs w:val="24"/>
        </w:rPr>
      </w:pPr>
      <w:r>
        <w:rPr>
          <w:rFonts w:ascii="Arial" w:hAnsi="Arial" w:cs="Arial"/>
          <w:b/>
          <w:sz w:val="28"/>
          <w:szCs w:val="24"/>
        </w:rPr>
        <w:t>D</w:t>
      </w:r>
      <w:r w:rsidR="00624CC6">
        <w:rPr>
          <w:rFonts w:ascii="Arial" w:hAnsi="Arial" w:cs="Arial"/>
          <w:b/>
          <w:sz w:val="28"/>
          <w:szCs w:val="24"/>
        </w:rPr>
        <w:t>oporučená literatura</w:t>
      </w:r>
    </w:p>
    <w:p w:rsidR="00D41CCE" w:rsidRPr="00C35586" w:rsidRDefault="00E96435" w:rsidP="00C35586">
      <w:pPr>
        <w:pStyle w:val="Odstavecseseznamem"/>
        <w:numPr>
          <w:ilvl w:val="0"/>
          <w:numId w:val="8"/>
        </w:numPr>
        <w:spacing w:before="240"/>
        <w:jc w:val="both"/>
        <w:rPr>
          <w:rFonts w:ascii="Arial" w:hAnsi="Arial" w:cs="Arial"/>
          <w:sz w:val="24"/>
          <w:szCs w:val="24"/>
        </w:rPr>
      </w:pPr>
      <w:r>
        <w:rPr>
          <w:rFonts w:ascii="Arial" w:hAnsi="Arial" w:cs="Arial"/>
          <w:sz w:val="24"/>
          <w:szCs w:val="24"/>
        </w:rPr>
        <w:t>ČSÚ (2015</w:t>
      </w:r>
      <w:r w:rsidR="00D41CCE">
        <w:rPr>
          <w:rFonts w:ascii="Arial" w:hAnsi="Arial" w:cs="Arial"/>
          <w:sz w:val="24"/>
          <w:szCs w:val="24"/>
        </w:rPr>
        <w:t xml:space="preserve">) </w:t>
      </w:r>
      <w:r w:rsidR="00D41CCE" w:rsidRPr="00E758ED">
        <w:rPr>
          <w:rFonts w:ascii="Arial" w:hAnsi="Arial" w:cs="Arial"/>
          <w:sz w:val="24"/>
          <w:szCs w:val="24"/>
        </w:rPr>
        <w:t>Výdaje vlády podle funkcí (COFOG)</w:t>
      </w:r>
      <w:r w:rsidR="00D41CCE">
        <w:rPr>
          <w:rFonts w:ascii="Arial" w:hAnsi="Arial" w:cs="Arial"/>
          <w:sz w:val="24"/>
          <w:szCs w:val="24"/>
        </w:rPr>
        <w:t>.</w:t>
      </w:r>
      <w:r w:rsidR="00C35586">
        <w:rPr>
          <w:rFonts w:ascii="Arial" w:hAnsi="Arial" w:cs="Arial"/>
          <w:sz w:val="24"/>
          <w:szCs w:val="24"/>
        </w:rPr>
        <w:t xml:space="preserve"> </w:t>
      </w:r>
      <w:r w:rsidR="00C35586" w:rsidRPr="00C35586">
        <w:rPr>
          <w:rFonts w:ascii="Arial" w:hAnsi="Arial" w:cs="Arial"/>
          <w:sz w:val="24"/>
          <w:szCs w:val="24"/>
        </w:rPr>
        <w:t>[online]. Dostupné z:</w:t>
      </w:r>
      <w:r w:rsidR="00C35586">
        <w:rPr>
          <w:rFonts w:ascii="Arial" w:hAnsi="Arial" w:cs="Arial"/>
          <w:sz w:val="24"/>
          <w:szCs w:val="24"/>
        </w:rPr>
        <w:t xml:space="preserve"> </w:t>
      </w:r>
      <w:r w:rsidR="00D41CCE" w:rsidRPr="00C35586">
        <w:rPr>
          <w:rFonts w:ascii="Arial" w:hAnsi="Arial" w:cs="Arial"/>
          <w:sz w:val="24"/>
          <w:szCs w:val="24"/>
        </w:rPr>
        <w:t>&lt;</w:t>
      </w:r>
      <w:hyperlink r:id="rId9" w:history="1">
        <w:r w:rsidR="00C35586" w:rsidRPr="00450DA2">
          <w:rPr>
            <w:rStyle w:val="Hypertextovodkaz"/>
            <w:rFonts w:ascii="Arial" w:hAnsi="Arial" w:cs="Arial"/>
            <w:sz w:val="24"/>
            <w:szCs w:val="24"/>
          </w:rPr>
          <w:t>http://apl.czso.cz/pll/rocenka/rocenkavyber.gov_c</w:t>
        </w:r>
      </w:hyperlink>
      <w:r w:rsidR="00D41CCE" w:rsidRPr="00C35586">
        <w:rPr>
          <w:rFonts w:ascii="Arial" w:hAnsi="Arial" w:cs="Arial"/>
          <w:sz w:val="24"/>
          <w:szCs w:val="24"/>
        </w:rPr>
        <w:t>&gt;</w:t>
      </w:r>
    </w:p>
    <w:p w:rsidR="00643888" w:rsidRPr="00643888" w:rsidRDefault="008F5AD8" w:rsidP="00643888">
      <w:pPr>
        <w:pStyle w:val="Odstavecseseznamem"/>
        <w:numPr>
          <w:ilvl w:val="0"/>
          <w:numId w:val="8"/>
        </w:numPr>
        <w:spacing w:before="240"/>
        <w:jc w:val="both"/>
        <w:rPr>
          <w:rFonts w:ascii="Arial" w:hAnsi="Arial" w:cs="Arial"/>
          <w:sz w:val="20"/>
          <w:szCs w:val="20"/>
        </w:rPr>
      </w:pPr>
      <w:proofErr w:type="spellStart"/>
      <w:r w:rsidRPr="00643888">
        <w:rPr>
          <w:rFonts w:ascii="Arial" w:hAnsi="Arial" w:cs="Arial"/>
          <w:sz w:val="24"/>
          <w:szCs w:val="24"/>
        </w:rPr>
        <w:t>Eurostat</w:t>
      </w:r>
      <w:proofErr w:type="spellEnd"/>
      <w:r w:rsidRPr="00643888">
        <w:rPr>
          <w:rFonts w:ascii="Arial" w:hAnsi="Arial" w:cs="Arial"/>
          <w:sz w:val="24"/>
          <w:szCs w:val="24"/>
        </w:rPr>
        <w:t xml:space="preserve"> (20</w:t>
      </w:r>
      <w:r w:rsidR="009B299E">
        <w:rPr>
          <w:rFonts w:ascii="Arial" w:hAnsi="Arial" w:cs="Arial"/>
          <w:sz w:val="24"/>
          <w:szCs w:val="24"/>
        </w:rPr>
        <w:t>14</w:t>
      </w:r>
      <w:r w:rsidR="00370F41" w:rsidRPr="00643888">
        <w:rPr>
          <w:rFonts w:ascii="Arial" w:hAnsi="Arial" w:cs="Arial"/>
          <w:sz w:val="24"/>
          <w:szCs w:val="24"/>
        </w:rPr>
        <w:t xml:space="preserve">) </w:t>
      </w:r>
      <w:proofErr w:type="spellStart"/>
      <w:r w:rsidR="002F472D" w:rsidRPr="00643888">
        <w:rPr>
          <w:rFonts w:ascii="Arial" w:hAnsi="Arial" w:cs="Arial"/>
          <w:sz w:val="24"/>
          <w:szCs w:val="24"/>
        </w:rPr>
        <w:t>Total</w:t>
      </w:r>
      <w:proofErr w:type="spellEnd"/>
      <w:r w:rsidR="002F472D" w:rsidRPr="00643888">
        <w:rPr>
          <w:rFonts w:ascii="Arial" w:hAnsi="Arial" w:cs="Arial"/>
          <w:sz w:val="24"/>
          <w:szCs w:val="24"/>
        </w:rPr>
        <w:t xml:space="preserve"> </w:t>
      </w:r>
      <w:proofErr w:type="spellStart"/>
      <w:r w:rsidR="002F472D" w:rsidRPr="00643888">
        <w:rPr>
          <w:rFonts w:ascii="Arial" w:hAnsi="Arial" w:cs="Arial"/>
          <w:sz w:val="24"/>
          <w:szCs w:val="24"/>
        </w:rPr>
        <w:t>general</w:t>
      </w:r>
      <w:proofErr w:type="spellEnd"/>
      <w:r w:rsidR="002F472D" w:rsidRPr="00643888">
        <w:rPr>
          <w:rFonts w:ascii="Arial" w:hAnsi="Arial" w:cs="Arial"/>
          <w:sz w:val="24"/>
          <w:szCs w:val="24"/>
        </w:rPr>
        <w:t xml:space="preserve"> </w:t>
      </w:r>
      <w:proofErr w:type="spellStart"/>
      <w:r w:rsidR="002F472D" w:rsidRPr="00643888">
        <w:rPr>
          <w:rFonts w:ascii="Arial" w:hAnsi="Arial" w:cs="Arial"/>
          <w:sz w:val="24"/>
          <w:szCs w:val="24"/>
        </w:rPr>
        <w:t>government</w:t>
      </w:r>
      <w:proofErr w:type="spellEnd"/>
      <w:r w:rsidR="002F472D" w:rsidRPr="00643888">
        <w:rPr>
          <w:rFonts w:ascii="Arial" w:hAnsi="Arial" w:cs="Arial"/>
          <w:sz w:val="24"/>
          <w:szCs w:val="24"/>
        </w:rPr>
        <w:t xml:space="preserve"> </w:t>
      </w:r>
      <w:proofErr w:type="spellStart"/>
      <w:r w:rsidR="002F472D" w:rsidRPr="00643888">
        <w:rPr>
          <w:rFonts w:ascii="Arial" w:hAnsi="Arial" w:cs="Arial"/>
          <w:sz w:val="24"/>
          <w:szCs w:val="24"/>
        </w:rPr>
        <w:t>expenditure</w:t>
      </w:r>
      <w:proofErr w:type="spellEnd"/>
      <w:r w:rsidR="002F472D" w:rsidRPr="00643888">
        <w:rPr>
          <w:rFonts w:ascii="Arial" w:hAnsi="Arial" w:cs="Arial"/>
          <w:sz w:val="24"/>
          <w:szCs w:val="24"/>
        </w:rPr>
        <w:t xml:space="preserve"> (tec00023). </w:t>
      </w:r>
      <w:r w:rsidR="00467B2F">
        <w:rPr>
          <w:rFonts w:ascii="Arial" w:hAnsi="Arial" w:cs="Arial"/>
          <w:sz w:val="24"/>
          <w:szCs w:val="24"/>
        </w:rPr>
        <w:t>O</w:t>
      </w:r>
      <w:r w:rsidR="002F472D" w:rsidRPr="00643888">
        <w:rPr>
          <w:rFonts w:ascii="Arial" w:hAnsi="Arial" w:cs="Arial"/>
          <w:sz w:val="24"/>
          <w:szCs w:val="24"/>
        </w:rPr>
        <w:t>nline &lt;</w:t>
      </w:r>
      <w:hyperlink r:id="rId10" w:history="1">
        <w:r w:rsidR="00E96435" w:rsidRPr="00450DA2">
          <w:rPr>
            <w:rStyle w:val="Hypertextovodkaz"/>
            <w:rFonts w:ascii="Arial" w:hAnsi="Arial" w:cs="Arial"/>
            <w:sz w:val="20"/>
            <w:szCs w:val="20"/>
          </w:rPr>
          <w:t>http://epp.eurostat.ec.europa.eu/tgm/table.do?tab=table&amp;init=1&amp;language=en&amp;pcode=tec00023&amp;plugin=1</w:t>
        </w:r>
      </w:hyperlink>
      <w:r w:rsidR="00643888">
        <w:rPr>
          <w:rFonts w:ascii="Arial" w:hAnsi="Arial" w:cs="Arial"/>
          <w:sz w:val="20"/>
          <w:szCs w:val="20"/>
        </w:rPr>
        <w:t>&gt;</w:t>
      </w:r>
      <w:r w:rsidR="00643888" w:rsidRPr="00643888">
        <w:rPr>
          <w:rFonts w:ascii="Arial" w:hAnsi="Arial" w:cs="Arial"/>
          <w:sz w:val="20"/>
          <w:szCs w:val="20"/>
        </w:rPr>
        <w:t xml:space="preserve"> </w:t>
      </w:r>
    </w:p>
    <w:p w:rsidR="00BD1737" w:rsidRPr="00BD1737" w:rsidRDefault="00B038AF" w:rsidP="00BD1737">
      <w:pPr>
        <w:pStyle w:val="Odstavecseseznamem"/>
        <w:numPr>
          <w:ilvl w:val="0"/>
          <w:numId w:val="8"/>
        </w:numPr>
        <w:spacing w:before="240"/>
        <w:jc w:val="both"/>
        <w:rPr>
          <w:rFonts w:ascii="Arial" w:hAnsi="Arial" w:cs="Arial"/>
          <w:sz w:val="24"/>
          <w:szCs w:val="24"/>
        </w:rPr>
      </w:pPr>
      <w:r>
        <w:rPr>
          <w:rFonts w:ascii="Arial" w:hAnsi="Arial" w:cs="Arial"/>
          <w:sz w:val="24"/>
          <w:szCs w:val="24"/>
        </w:rPr>
        <w:t>MF</w:t>
      </w:r>
      <w:r w:rsidR="00FD1626">
        <w:rPr>
          <w:rFonts w:ascii="Arial" w:hAnsi="Arial" w:cs="Arial"/>
          <w:sz w:val="24"/>
          <w:szCs w:val="24"/>
        </w:rPr>
        <w:t xml:space="preserve"> </w:t>
      </w:r>
      <w:r w:rsidR="009B299E">
        <w:rPr>
          <w:rFonts w:ascii="Arial" w:hAnsi="Arial" w:cs="Arial"/>
          <w:sz w:val="24"/>
          <w:szCs w:val="24"/>
        </w:rPr>
        <w:t>ČR (201</w:t>
      </w:r>
      <w:r w:rsidR="008F2A0D">
        <w:rPr>
          <w:rFonts w:ascii="Arial" w:hAnsi="Arial" w:cs="Arial"/>
          <w:sz w:val="24"/>
          <w:szCs w:val="24"/>
        </w:rPr>
        <w:t>5</w:t>
      </w:r>
      <w:r w:rsidR="00FC463B">
        <w:rPr>
          <w:rFonts w:ascii="Arial" w:hAnsi="Arial" w:cs="Arial"/>
          <w:sz w:val="24"/>
          <w:szCs w:val="24"/>
        </w:rPr>
        <w:t>a</w:t>
      </w:r>
      <w:r w:rsidR="005D5952" w:rsidRPr="005D5952">
        <w:rPr>
          <w:rFonts w:ascii="Arial" w:hAnsi="Arial" w:cs="Arial"/>
          <w:sz w:val="24"/>
          <w:szCs w:val="24"/>
        </w:rPr>
        <w:t>) Příloha k vyhlášce č. 323/2002 Sb. -</w:t>
      </w:r>
      <w:r w:rsidR="009B299E">
        <w:rPr>
          <w:rFonts w:ascii="Arial" w:hAnsi="Arial" w:cs="Arial"/>
          <w:sz w:val="24"/>
          <w:szCs w:val="24"/>
        </w:rPr>
        <w:t xml:space="preserve"> Rozpočtová skladba pro rok 2014 - (s účinností od 1. ledna 2014</w:t>
      </w:r>
      <w:r w:rsidR="005D5952" w:rsidRPr="005D5952">
        <w:rPr>
          <w:rFonts w:ascii="Arial" w:hAnsi="Arial" w:cs="Arial"/>
          <w:sz w:val="24"/>
          <w:szCs w:val="24"/>
        </w:rPr>
        <w:t>)</w:t>
      </w:r>
      <w:r w:rsidR="005D5952">
        <w:rPr>
          <w:rFonts w:ascii="Arial" w:hAnsi="Arial" w:cs="Arial"/>
          <w:sz w:val="24"/>
          <w:szCs w:val="24"/>
        </w:rPr>
        <w:t>. Online &lt;</w:t>
      </w:r>
      <w:hyperlink r:id="rId11" w:history="1">
        <w:r w:rsidR="00BD1737" w:rsidRPr="00BD1737">
          <w:rPr>
            <w:rStyle w:val="Hypertextovodkaz"/>
            <w:rFonts w:ascii="Arial" w:hAnsi="Arial" w:cs="Arial"/>
            <w:sz w:val="20"/>
            <w:szCs w:val="20"/>
          </w:rPr>
          <w:t>http://www.mfcr.cz/cs/legislativa/legislativni-dokumenty/2002/vyhlaska-c-323-2002-sb-3461</w:t>
        </w:r>
      </w:hyperlink>
      <w:r w:rsidR="00BD1737">
        <w:rPr>
          <w:rFonts w:ascii="Arial" w:hAnsi="Arial" w:cs="Arial"/>
          <w:sz w:val="24"/>
          <w:szCs w:val="24"/>
        </w:rPr>
        <w:t>&gt;</w:t>
      </w:r>
    </w:p>
    <w:p w:rsidR="009B299E" w:rsidRPr="009B299E" w:rsidRDefault="00756D70" w:rsidP="008F2A0D">
      <w:pPr>
        <w:pStyle w:val="Odstavecseseznamem"/>
        <w:numPr>
          <w:ilvl w:val="0"/>
          <w:numId w:val="8"/>
        </w:numPr>
        <w:spacing w:before="240"/>
        <w:jc w:val="both"/>
        <w:rPr>
          <w:rFonts w:ascii="Arial" w:hAnsi="Arial" w:cs="Arial"/>
          <w:sz w:val="24"/>
          <w:szCs w:val="24"/>
        </w:rPr>
      </w:pPr>
      <w:r w:rsidRPr="007E1B0C">
        <w:rPr>
          <w:rFonts w:ascii="Arial" w:hAnsi="Arial" w:cs="Arial"/>
          <w:sz w:val="24"/>
          <w:szCs w:val="24"/>
        </w:rPr>
        <w:t>MF</w:t>
      </w:r>
      <w:r w:rsidR="00FD1626">
        <w:rPr>
          <w:rFonts w:ascii="Arial" w:hAnsi="Arial" w:cs="Arial"/>
          <w:sz w:val="24"/>
          <w:szCs w:val="24"/>
        </w:rPr>
        <w:t xml:space="preserve"> </w:t>
      </w:r>
      <w:r w:rsidRPr="007E1B0C">
        <w:rPr>
          <w:rFonts w:ascii="Arial" w:hAnsi="Arial" w:cs="Arial"/>
          <w:sz w:val="24"/>
          <w:szCs w:val="24"/>
        </w:rPr>
        <w:t>Č</w:t>
      </w:r>
      <w:r w:rsidR="008F2A0D">
        <w:rPr>
          <w:rFonts w:ascii="Arial" w:hAnsi="Arial" w:cs="Arial"/>
          <w:sz w:val="24"/>
          <w:szCs w:val="24"/>
        </w:rPr>
        <w:t>R (2015</w:t>
      </w:r>
      <w:r w:rsidR="00FC463B">
        <w:rPr>
          <w:rFonts w:ascii="Arial" w:hAnsi="Arial" w:cs="Arial"/>
          <w:sz w:val="24"/>
          <w:szCs w:val="24"/>
        </w:rPr>
        <w:t>b</w:t>
      </w:r>
      <w:r w:rsidR="00D41CCE" w:rsidRPr="007E1B0C">
        <w:rPr>
          <w:rFonts w:ascii="Arial" w:hAnsi="Arial" w:cs="Arial"/>
          <w:sz w:val="24"/>
          <w:szCs w:val="24"/>
        </w:rPr>
        <w:t>) Příloha č. 1-3 k vládnímu návrhu zákona o</w:t>
      </w:r>
      <w:r w:rsidR="008F2A0D">
        <w:rPr>
          <w:rFonts w:ascii="Arial" w:hAnsi="Arial" w:cs="Arial"/>
          <w:sz w:val="24"/>
          <w:szCs w:val="24"/>
        </w:rPr>
        <w:t xml:space="preserve"> státním rozpočtu ČR na rok 2015</w:t>
      </w:r>
      <w:r w:rsidR="00D41CCE" w:rsidRPr="007E1B0C">
        <w:rPr>
          <w:rFonts w:ascii="Arial" w:hAnsi="Arial" w:cs="Arial"/>
          <w:sz w:val="24"/>
          <w:szCs w:val="24"/>
        </w:rPr>
        <w:t>. Dokument je součástí důvodové zprávy k vládnímu návrhu zákona o státním roz</w:t>
      </w:r>
      <w:r w:rsidR="009B299E">
        <w:rPr>
          <w:rFonts w:ascii="Arial" w:hAnsi="Arial" w:cs="Arial"/>
          <w:sz w:val="24"/>
          <w:szCs w:val="24"/>
        </w:rPr>
        <w:t>p</w:t>
      </w:r>
      <w:r w:rsidR="008F2A0D">
        <w:rPr>
          <w:rFonts w:ascii="Arial" w:hAnsi="Arial" w:cs="Arial"/>
          <w:sz w:val="24"/>
          <w:szCs w:val="24"/>
        </w:rPr>
        <w:t>očtu ČR na rok 2015</w:t>
      </w:r>
      <w:r w:rsidR="00D41CCE" w:rsidRPr="007E1B0C">
        <w:rPr>
          <w:rFonts w:ascii="Arial" w:hAnsi="Arial" w:cs="Arial"/>
          <w:sz w:val="24"/>
          <w:szCs w:val="24"/>
        </w:rPr>
        <w:t xml:space="preserve"> – více zde</w:t>
      </w:r>
      <w:r w:rsidR="00D41CCE" w:rsidRPr="007E1B0C">
        <w:rPr>
          <w:rFonts w:ascii="Arial" w:hAnsi="Arial" w:cs="Arial"/>
          <w:sz w:val="20"/>
          <w:szCs w:val="20"/>
        </w:rPr>
        <w:t xml:space="preserve"> </w:t>
      </w:r>
      <w:r w:rsidR="009B299E">
        <w:rPr>
          <w:rFonts w:ascii="Arial" w:hAnsi="Arial" w:cs="Arial"/>
          <w:sz w:val="20"/>
          <w:szCs w:val="20"/>
        </w:rPr>
        <w:t>&lt;</w:t>
      </w:r>
      <w:hyperlink r:id="rId12" w:history="1">
        <w:r w:rsidR="008F2A0D" w:rsidRPr="00450DA2">
          <w:rPr>
            <w:rStyle w:val="Hypertextovodkaz"/>
            <w:rFonts w:ascii="Arial" w:hAnsi="Arial" w:cs="Arial"/>
            <w:sz w:val="20"/>
            <w:szCs w:val="20"/>
          </w:rPr>
          <w:t>http://www.psp.cz/sqw/text/tiskt.sqw?O=7&amp;CT=331&amp;CT1=0</w:t>
        </w:r>
      </w:hyperlink>
      <w:r w:rsidR="009B299E">
        <w:rPr>
          <w:rFonts w:ascii="Arial" w:hAnsi="Arial" w:cs="Arial"/>
          <w:sz w:val="20"/>
          <w:szCs w:val="20"/>
        </w:rPr>
        <w:t>&gt;</w:t>
      </w:r>
    </w:p>
    <w:p w:rsidR="007E1B0C" w:rsidRDefault="007E1B0C" w:rsidP="007E1B0C">
      <w:pPr>
        <w:pStyle w:val="Odstavecseseznamem"/>
        <w:numPr>
          <w:ilvl w:val="1"/>
          <w:numId w:val="8"/>
        </w:numPr>
        <w:spacing w:before="240"/>
        <w:jc w:val="both"/>
        <w:rPr>
          <w:rFonts w:ascii="Arial" w:hAnsi="Arial" w:cs="Arial"/>
          <w:sz w:val="24"/>
          <w:szCs w:val="24"/>
        </w:rPr>
      </w:pPr>
      <w:r>
        <w:rPr>
          <w:rFonts w:ascii="Arial" w:hAnsi="Arial" w:cs="Arial"/>
          <w:sz w:val="24"/>
          <w:szCs w:val="24"/>
        </w:rPr>
        <w:t xml:space="preserve">Příloha </w:t>
      </w:r>
      <w:proofErr w:type="gramStart"/>
      <w:r>
        <w:rPr>
          <w:rFonts w:ascii="Arial" w:hAnsi="Arial" w:cs="Arial"/>
          <w:sz w:val="24"/>
          <w:szCs w:val="24"/>
        </w:rPr>
        <w:t>č.1 – Úhrnná</w:t>
      </w:r>
      <w:proofErr w:type="gramEnd"/>
      <w:r>
        <w:rPr>
          <w:rFonts w:ascii="Arial" w:hAnsi="Arial" w:cs="Arial"/>
          <w:sz w:val="24"/>
          <w:szCs w:val="24"/>
        </w:rPr>
        <w:t xml:space="preserve"> bilance příjmů a výdajů SR; Celkový přehled výdajů podle kapitol SR</w:t>
      </w:r>
    </w:p>
    <w:p w:rsidR="00CA5B5B" w:rsidRPr="00CA5B5B" w:rsidRDefault="00FC463B" w:rsidP="00CA5B5B">
      <w:pPr>
        <w:pStyle w:val="Odstavecseseznamem"/>
        <w:numPr>
          <w:ilvl w:val="1"/>
          <w:numId w:val="8"/>
        </w:numPr>
        <w:spacing w:before="240"/>
        <w:jc w:val="both"/>
        <w:rPr>
          <w:rFonts w:ascii="Arial" w:hAnsi="Arial" w:cs="Arial"/>
          <w:sz w:val="24"/>
          <w:szCs w:val="24"/>
        </w:rPr>
      </w:pPr>
      <w:r>
        <w:rPr>
          <w:rFonts w:ascii="Arial" w:hAnsi="Arial" w:cs="Arial"/>
          <w:sz w:val="24"/>
          <w:szCs w:val="24"/>
        </w:rPr>
        <w:t>Příloha č. 2 – Ukazatele pro jednotlivé kapitoly SR</w:t>
      </w:r>
    </w:p>
    <w:p w:rsidR="00370F41" w:rsidRPr="00A77051" w:rsidRDefault="0079571A" w:rsidP="00A77051">
      <w:pPr>
        <w:pStyle w:val="Odstavecseseznamem"/>
        <w:numPr>
          <w:ilvl w:val="0"/>
          <w:numId w:val="8"/>
        </w:numPr>
        <w:spacing w:before="240"/>
        <w:jc w:val="both"/>
        <w:rPr>
          <w:rFonts w:ascii="Arial" w:hAnsi="Arial" w:cs="Arial"/>
          <w:sz w:val="24"/>
          <w:szCs w:val="24"/>
        </w:rPr>
      </w:pPr>
      <w:r w:rsidRPr="00C2263C">
        <w:rPr>
          <w:rFonts w:ascii="Arial" w:hAnsi="Arial" w:cs="Arial"/>
          <w:sz w:val="24"/>
          <w:szCs w:val="24"/>
        </w:rPr>
        <w:t>MF</w:t>
      </w:r>
      <w:r w:rsidR="00FD1626">
        <w:rPr>
          <w:rFonts w:ascii="Arial" w:hAnsi="Arial" w:cs="Arial"/>
          <w:sz w:val="24"/>
          <w:szCs w:val="24"/>
        </w:rPr>
        <w:t xml:space="preserve"> Č</w:t>
      </w:r>
      <w:r w:rsidRPr="00C2263C">
        <w:rPr>
          <w:rFonts w:ascii="Arial" w:hAnsi="Arial" w:cs="Arial"/>
          <w:sz w:val="24"/>
          <w:szCs w:val="24"/>
        </w:rPr>
        <w:t>R (201</w:t>
      </w:r>
      <w:r w:rsidR="008F2A0D">
        <w:rPr>
          <w:rFonts w:ascii="Arial" w:hAnsi="Arial" w:cs="Arial"/>
          <w:sz w:val="24"/>
          <w:szCs w:val="24"/>
        </w:rPr>
        <w:t>5</w:t>
      </w:r>
      <w:r w:rsidR="008D4574" w:rsidRPr="00C2263C">
        <w:rPr>
          <w:rFonts w:ascii="Arial" w:hAnsi="Arial" w:cs="Arial"/>
          <w:sz w:val="24"/>
          <w:szCs w:val="24"/>
        </w:rPr>
        <w:t>c</w:t>
      </w:r>
      <w:r w:rsidRPr="00C2263C">
        <w:rPr>
          <w:rFonts w:ascii="Arial" w:hAnsi="Arial" w:cs="Arial"/>
          <w:sz w:val="24"/>
          <w:szCs w:val="24"/>
        </w:rPr>
        <w:t>) Vývoj mandatorních výdajů. Online &lt;</w:t>
      </w:r>
      <w:hyperlink r:id="rId13" w:history="1">
        <w:r w:rsidR="008F2A0D" w:rsidRPr="00450DA2">
          <w:rPr>
            <w:rStyle w:val="Hypertextovodkaz"/>
          </w:rPr>
          <w:t>www.psp.cz/sqw/text/orig2.sqw?idd=111372</w:t>
        </w:r>
      </w:hyperlink>
      <w:r w:rsidR="008D4574" w:rsidRPr="00C2263C">
        <w:rPr>
          <w:rStyle w:val="CittHTML"/>
          <w:i w:val="0"/>
        </w:rPr>
        <w:t xml:space="preserve">&gt; </w:t>
      </w:r>
      <w:r w:rsidR="008D4574" w:rsidRPr="00A77051">
        <w:rPr>
          <w:rStyle w:val="CittHTML"/>
          <w:i w:val="0"/>
        </w:rPr>
        <w:br/>
        <w:t xml:space="preserve"> </w:t>
      </w:r>
      <w:r w:rsidRPr="00A77051">
        <w:rPr>
          <w:rFonts w:ascii="Arial" w:hAnsi="Arial" w:cs="Arial"/>
          <w:sz w:val="24"/>
          <w:szCs w:val="24"/>
        </w:rPr>
        <w:t xml:space="preserve"> </w:t>
      </w:r>
    </w:p>
    <w:p w:rsidR="00624CC6" w:rsidRPr="008D4574" w:rsidRDefault="00624CC6" w:rsidP="00D41CCE">
      <w:pPr>
        <w:pStyle w:val="Odstavecseseznamem"/>
        <w:numPr>
          <w:ilvl w:val="0"/>
          <w:numId w:val="3"/>
        </w:numPr>
        <w:spacing w:before="240"/>
        <w:ind w:left="426" w:hanging="426"/>
        <w:jc w:val="both"/>
        <w:rPr>
          <w:rFonts w:ascii="Arial" w:hAnsi="Arial" w:cs="Arial"/>
          <w:b/>
          <w:sz w:val="28"/>
          <w:szCs w:val="24"/>
        </w:rPr>
      </w:pPr>
      <w:r>
        <w:rPr>
          <w:rFonts w:ascii="Arial" w:hAnsi="Arial" w:cs="Arial"/>
          <w:b/>
          <w:sz w:val="28"/>
          <w:szCs w:val="24"/>
        </w:rPr>
        <w:t>O</w:t>
      </w:r>
      <w:r w:rsidRPr="009676BA">
        <w:rPr>
          <w:rFonts w:ascii="Arial" w:hAnsi="Arial" w:cs="Arial"/>
          <w:b/>
          <w:sz w:val="28"/>
          <w:szCs w:val="24"/>
        </w:rPr>
        <w:t>dkazy</w:t>
      </w:r>
      <w:r>
        <w:rPr>
          <w:rFonts w:ascii="Arial" w:hAnsi="Arial" w:cs="Arial"/>
          <w:b/>
          <w:sz w:val="28"/>
          <w:szCs w:val="24"/>
        </w:rPr>
        <w:t xml:space="preserve"> k prozkoumání</w:t>
      </w:r>
    </w:p>
    <w:p w:rsidR="0066554B" w:rsidRDefault="00E96435" w:rsidP="009B299E">
      <w:pPr>
        <w:pStyle w:val="Odstavecseseznamem"/>
        <w:numPr>
          <w:ilvl w:val="0"/>
          <w:numId w:val="10"/>
        </w:numPr>
        <w:spacing w:before="240" w:after="0" w:line="240" w:lineRule="auto"/>
        <w:jc w:val="both"/>
        <w:rPr>
          <w:rFonts w:ascii="Arial" w:hAnsi="Arial" w:cs="Arial"/>
          <w:sz w:val="24"/>
          <w:szCs w:val="24"/>
        </w:rPr>
      </w:pPr>
      <w:r>
        <w:rPr>
          <w:rFonts w:ascii="Arial" w:hAnsi="Arial" w:cs="Arial"/>
          <w:sz w:val="24"/>
          <w:szCs w:val="24"/>
        </w:rPr>
        <w:t>PSP ČR (2015</w:t>
      </w:r>
      <w:r w:rsidR="0066554B" w:rsidRPr="00467B2F">
        <w:rPr>
          <w:rFonts w:ascii="Arial" w:hAnsi="Arial" w:cs="Arial"/>
          <w:sz w:val="24"/>
          <w:szCs w:val="24"/>
        </w:rPr>
        <w:t xml:space="preserve">) Zpráva k návrhu zákona o </w:t>
      </w:r>
      <w:r w:rsidR="00A77051">
        <w:rPr>
          <w:rFonts w:ascii="Arial" w:hAnsi="Arial" w:cs="Arial"/>
          <w:sz w:val="24"/>
          <w:szCs w:val="24"/>
        </w:rPr>
        <w:t xml:space="preserve">státním rozpočtu </w:t>
      </w:r>
      <w:r>
        <w:rPr>
          <w:rFonts w:ascii="Arial" w:hAnsi="Arial" w:cs="Arial"/>
          <w:sz w:val="24"/>
          <w:szCs w:val="24"/>
        </w:rPr>
        <w:t>ČR na rok 2015</w:t>
      </w:r>
      <w:r w:rsidR="00467B2F" w:rsidRPr="00467B2F">
        <w:rPr>
          <w:rFonts w:ascii="Arial" w:hAnsi="Arial" w:cs="Arial"/>
          <w:sz w:val="24"/>
          <w:szCs w:val="24"/>
        </w:rPr>
        <w:t>.</w:t>
      </w:r>
      <w:r w:rsidR="00467B2F">
        <w:rPr>
          <w:rFonts w:ascii="Arial" w:hAnsi="Arial" w:cs="Arial"/>
          <w:sz w:val="24"/>
          <w:szCs w:val="24"/>
        </w:rPr>
        <w:t xml:space="preserve"> </w:t>
      </w:r>
      <w:r w:rsidR="0066554B" w:rsidRPr="00467B2F">
        <w:rPr>
          <w:rFonts w:ascii="Arial" w:hAnsi="Arial" w:cs="Arial"/>
          <w:sz w:val="24"/>
          <w:szCs w:val="24"/>
        </w:rPr>
        <w:t xml:space="preserve">Online </w:t>
      </w:r>
      <w:r w:rsidR="00A77051">
        <w:rPr>
          <w:rFonts w:ascii="Arial" w:hAnsi="Arial" w:cs="Arial"/>
          <w:sz w:val="24"/>
          <w:szCs w:val="24"/>
        </w:rPr>
        <w:t>&lt;</w:t>
      </w:r>
      <w:r w:rsidRPr="00E96435">
        <w:rPr>
          <w:rStyle w:val="Zhlav"/>
        </w:rPr>
        <w:t xml:space="preserve"> </w:t>
      </w:r>
      <w:hyperlink r:id="rId14" w:history="1">
        <w:r w:rsidR="008F2A0D" w:rsidRPr="00450DA2">
          <w:rPr>
            <w:rStyle w:val="Hypertextovodkaz"/>
          </w:rPr>
          <w:t>www.psp.cz/sqw/text/orig2.sqw?idd=111342</w:t>
        </w:r>
      </w:hyperlink>
      <w:r w:rsidR="00A77051">
        <w:t>&gt;</w:t>
      </w:r>
    </w:p>
    <w:p w:rsidR="00A77051" w:rsidRPr="00467B2F" w:rsidRDefault="00A77051" w:rsidP="00A77051">
      <w:pPr>
        <w:pStyle w:val="Odstavecseseznamem"/>
        <w:spacing w:before="240" w:after="0" w:line="240" w:lineRule="auto"/>
        <w:jc w:val="both"/>
        <w:rPr>
          <w:rFonts w:ascii="Arial" w:hAnsi="Arial" w:cs="Arial"/>
          <w:sz w:val="24"/>
          <w:szCs w:val="24"/>
        </w:rPr>
      </w:pPr>
    </w:p>
    <w:p w:rsidR="0066554B" w:rsidRDefault="0066554B" w:rsidP="00D41CCE">
      <w:pPr>
        <w:spacing w:before="240"/>
        <w:jc w:val="both"/>
        <w:rPr>
          <w:rFonts w:ascii="Arial" w:hAnsi="Arial" w:cs="Arial"/>
          <w:sz w:val="24"/>
          <w:szCs w:val="24"/>
        </w:rPr>
      </w:pPr>
    </w:p>
    <w:p w:rsidR="00D41CCE" w:rsidRDefault="00D41CCE" w:rsidP="00D41CCE">
      <w:pPr>
        <w:spacing w:before="240"/>
        <w:jc w:val="both"/>
        <w:rPr>
          <w:rFonts w:ascii="Arial" w:hAnsi="Arial" w:cs="Arial"/>
          <w:sz w:val="24"/>
          <w:szCs w:val="24"/>
        </w:rPr>
      </w:pPr>
    </w:p>
    <w:sectPr w:rsidR="00D41CCE">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03" w:rsidRDefault="00047503" w:rsidP="00183EDD">
      <w:pPr>
        <w:spacing w:after="0" w:line="240" w:lineRule="auto"/>
      </w:pPr>
      <w:r>
        <w:separator/>
      </w:r>
    </w:p>
  </w:endnote>
  <w:endnote w:type="continuationSeparator" w:id="0">
    <w:p w:rsidR="00047503" w:rsidRDefault="00047503" w:rsidP="0018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03" w:rsidRDefault="00047503" w:rsidP="00183EDD">
      <w:pPr>
        <w:spacing w:after="0" w:line="240" w:lineRule="auto"/>
      </w:pPr>
      <w:r>
        <w:separator/>
      </w:r>
    </w:p>
  </w:footnote>
  <w:footnote w:type="continuationSeparator" w:id="0">
    <w:p w:rsidR="00047503" w:rsidRDefault="00047503" w:rsidP="00183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DD" w:rsidRPr="00183EDD" w:rsidRDefault="00183EDD" w:rsidP="00183EDD">
    <w:pPr>
      <w:pStyle w:val="Zhlav"/>
      <w:jc w:val="center"/>
      <w:rPr>
        <w:rFonts w:ascii="Arial" w:hAnsi="Arial" w:cs="Arial"/>
        <w:sz w:val="32"/>
        <w:szCs w:val="32"/>
      </w:rPr>
    </w:pPr>
    <w:r w:rsidRPr="00183EDD">
      <w:rPr>
        <w:rFonts w:ascii="Arial" w:hAnsi="Arial" w:cs="Arial"/>
        <w:sz w:val="32"/>
        <w:szCs w:val="32"/>
      </w:rPr>
      <w:t>Základy veřejných financí a veřejné správy – osnova cvičení</w:t>
    </w:r>
  </w:p>
  <w:p w:rsidR="00183EDD" w:rsidRDefault="00183E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E23"/>
    <w:multiLevelType w:val="multilevel"/>
    <w:tmpl w:val="2966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D171B"/>
    <w:multiLevelType w:val="hybridMultilevel"/>
    <w:tmpl w:val="2488F3EA"/>
    <w:lvl w:ilvl="0" w:tplc="DD909D90">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CB6996"/>
    <w:multiLevelType w:val="hybridMultilevel"/>
    <w:tmpl w:val="9170D8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FD1B0B"/>
    <w:multiLevelType w:val="hybridMultilevel"/>
    <w:tmpl w:val="3208B8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5A637CA"/>
    <w:multiLevelType w:val="hybridMultilevel"/>
    <w:tmpl w:val="F81AA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876901"/>
    <w:multiLevelType w:val="hybridMultilevel"/>
    <w:tmpl w:val="4984A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DC621C"/>
    <w:multiLevelType w:val="hybridMultilevel"/>
    <w:tmpl w:val="09963C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EE92376"/>
    <w:multiLevelType w:val="hybridMultilevel"/>
    <w:tmpl w:val="58DEAB40"/>
    <w:lvl w:ilvl="0" w:tplc="19867A5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2045CC1"/>
    <w:multiLevelType w:val="hybridMultilevel"/>
    <w:tmpl w:val="A5820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DC0715"/>
    <w:multiLevelType w:val="hybridMultilevel"/>
    <w:tmpl w:val="DAD00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2"/>
  </w:num>
  <w:num w:numId="6">
    <w:abstractNumId w:val="9"/>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DD"/>
    <w:rsid w:val="00047503"/>
    <w:rsid w:val="000A6B3F"/>
    <w:rsid w:val="000C571B"/>
    <w:rsid w:val="00183EDD"/>
    <w:rsid w:val="001B56BA"/>
    <w:rsid w:val="002A2452"/>
    <w:rsid w:val="002E167A"/>
    <w:rsid w:val="002F472D"/>
    <w:rsid w:val="0032250F"/>
    <w:rsid w:val="00370F41"/>
    <w:rsid w:val="00383CAD"/>
    <w:rsid w:val="003D7093"/>
    <w:rsid w:val="00416E59"/>
    <w:rsid w:val="00467B2F"/>
    <w:rsid w:val="00510622"/>
    <w:rsid w:val="00524DFB"/>
    <w:rsid w:val="00546BD6"/>
    <w:rsid w:val="005D5952"/>
    <w:rsid w:val="005E511E"/>
    <w:rsid w:val="00624CC6"/>
    <w:rsid w:val="00643888"/>
    <w:rsid w:val="0066554B"/>
    <w:rsid w:val="006C4107"/>
    <w:rsid w:val="006F37C4"/>
    <w:rsid w:val="00714A6E"/>
    <w:rsid w:val="00756D70"/>
    <w:rsid w:val="00791DBA"/>
    <w:rsid w:val="0079571A"/>
    <w:rsid w:val="007B62EB"/>
    <w:rsid w:val="007E1B0C"/>
    <w:rsid w:val="007F5412"/>
    <w:rsid w:val="00815C02"/>
    <w:rsid w:val="00834DB9"/>
    <w:rsid w:val="00866A83"/>
    <w:rsid w:val="00893EBA"/>
    <w:rsid w:val="00895346"/>
    <w:rsid w:val="008D4574"/>
    <w:rsid w:val="008F2A0D"/>
    <w:rsid w:val="008F3432"/>
    <w:rsid w:val="008F5AD8"/>
    <w:rsid w:val="00965A9E"/>
    <w:rsid w:val="009676BA"/>
    <w:rsid w:val="00992465"/>
    <w:rsid w:val="0099351D"/>
    <w:rsid w:val="009B299E"/>
    <w:rsid w:val="009C3FE7"/>
    <w:rsid w:val="00A436FF"/>
    <w:rsid w:val="00A77051"/>
    <w:rsid w:val="00A92F2E"/>
    <w:rsid w:val="00AA4D00"/>
    <w:rsid w:val="00AC2238"/>
    <w:rsid w:val="00B038AF"/>
    <w:rsid w:val="00B84E95"/>
    <w:rsid w:val="00BD0333"/>
    <w:rsid w:val="00BD1737"/>
    <w:rsid w:val="00C2263C"/>
    <w:rsid w:val="00C35586"/>
    <w:rsid w:val="00CA5B5B"/>
    <w:rsid w:val="00CE4B71"/>
    <w:rsid w:val="00D13394"/>
    <w:rsid w:val="00D17C6E"/>
    <w:rsid w:val="00D30334"/>
    <w:rsid w:val="00D41CCE"/>
    <w:rsid w:val="00D654C5"/>
    <w:rsid w:val="00E758ED"/>
    <w:rsid w:val="00E96435"/>
    <w:rsid w:val="00EB20EF"/>
    <w:rsid w:val="00F05132"/>
    <w:rsid w:val="00F523FD"/>
    <w:rsid w:val="00FC463B"/>
    <w:rsid w:val="00FD1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436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3E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3EDD"/>
  </w:style>
  <w:style w:type="paragraph" w:styleId="Zpat">
    <w:name w:val="footer"/>
    <w:basedOn w:val="Normln"/>
    <w:link w:val="ZpatChar"/>
    <w:unhideWhenUsed/>
    <w:rsid w:val="00183E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EDD"/>
  </w:style>
  <w:style w:type="paragraph" w:styleId="Textbubliny">
    <w:name w:val="Balloon Text"/>
    <w:basedOn w:val="Normln"/>
    <w:link w:val="TextbublinyChar"/>
    <w:uiPriority w:val="99"/>
    <w:semiHidden/>
    <w:unhideWhenUsed/>
    <w:rsid w:val="00183E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EDD"/>
    <w:rPr>
      <w:rFonts w:ascii="Tahoma" w:hAnsi="Tahoma" w:cs="Tahoma"/>
      <w:sz w:val="16"/>
      <w:szCs w:val="16"/>
    </w:rPr>
  </w:style>
  <w:style w:type="paragraph" w:styleId="Odstavecseseznamem">
    <w:name w:val="List Paragraph"/>
    <w:basedOn w:val="Normln"/>
    <w:uiPriority w:val="34"/>
    <w:qFormat/>
    <w:rsid w:val="00183EDD"/>
    <w:pPr>
      <w:ind w:left="720"/>
      <w:contextualSpacing/>
    </w:pPr>
  </w:style>
  <w:style w:type="character" w:styleId="Hypertextovodkaz">
    <w:name w:val="Hyperlink"/>
    <w:basedOn w:val="Standardnpsmoodstavce"/>
    <w:uiPriority w:val="99"/>
    <w:unhideWhenUsed/>
    <w:rsid w:val="009676BA"/>
    <w:rPr>
      <w:color w:val="0000FF" w:themeColor="hyperlink"/>
      <w:u w:val="single"/>
    </w:rPr>
  </w:style>
  <w:style w:type="character" w:customStyle="1" w:styleId="Nadpis3Char">
    <w:name w:val="Nadpis 3 Char"/>
    <w:basedOn w:val="Standardnpsmoodstavce"/>
    <w:link w:val="Nadpis3"/>
    <w:uiPriority w:val="9"/>
    <w:rsid w:val="00A436F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436FF"/>
    <w:rPr>
      <w:b/>
      <w:bCs/>
    </w:rPr>
  </w:style>
  <w:style w:type="character" w:styleId="slostrnky">
    <w:name w:val="page number"/>
    <w:basedOn w:val="Standardnpsmoodstavce"/>
    <w:rsid w:val="0066554B"/>
  </w:style>
  <w:style w:type="character" w:styleId="CittHTML">
    <w:name w:val="HTML Cite"/>
    <w:basedOn w:val="Standardnpsmoodstavce"/>
    <w:uiPriority w:val="99"/>
    <w:semiHidden/>
    <w:unhideWhenUsed/>
    <w:rsid w:val="00467B2F"/>
    <w:rPr>
      <w:i/>
      <w:iCs/>
    </w:rPr>
  </w:style>
  <w:style w:type="character" w:styleId="Sledovanodkaz">
    <w:name w:val="FollowedHyperlink"/>
    <w:basedOn w:val="Standardnpsmoodstavce"/>
    <w:uiPriority w:val="99"/>
    <w:semiHidden/>
    <w:unhideWhenUsed/>
    <w:rsid w:val="009B29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436F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3E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3EDD"/>
  </w:style>
  <w:style w:type="paragraph" w:styleId="Zpat">
    <w:name w:val="footer"/>
    <w:basedOn w:val="Normln"/>
    <w:link w:val="ZpatChar"/>
    <w:unhideWhenUsed/>
    <w:rsid w:val="00183E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EDD"/>
  </w:style>
  <w:style w:type="paragraph" w:styleId="Textbubliny">
    <w:name w:val="Balloon Text"/>
    <w:basedOn w:val="Normln"/>
    <w:link w:val="TextbublinyChar"/>
    <w:uiPriority w:val="99"/>
    <w:semiHidden/>
    <w:unhideWhenUsed/>
    <w:rsid w:val="00183E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EDD"/>
    <w:rPr>
      <w:rFonts w:ascii="Tahoma" w:hAnsi="Tahoma" w:cs="Tahoma"/>
      <w:sz w:val="16"/>
      <w:szCs w:val="16"/>
    </w:rPr>
  </w:style>
  <w:style w:type="paragraph" w:styleId="Odstavecseseznamem">
    <w:name w:val="List Paragraph"/>
    <w:basedOn w:val="Normln"/>
    <w:uiPriority w:val="34"/>
    <w:qFormat/>
    <w:rsid w:val="00183EDD"/>
    <w:pPr>
      <w:ind w:left="720"/>
      <w:contextualSpacing/>
    </w:pPr>
  </w:style>
  <w:style w:type="character" w:styleId="Hypertextovodkaz">
    <w:name w:val="Hyperlink"/>
    <w:basedOn w:val="Standardnpsmoodstavce"/>
    <w:uiPriority w:val="99"/>
    <w:unhideWhenUsed/>
    <w:rsid w:val="009676BA"/>
    <w:rPr>
      <w:color w:val="0000FF" w:themeColor="hyperlink"/>
      <w:u w:val="single"/>
    </w:rPr>
  </w:style>
  <w:style w:type="character" w:customStyle="1" w:styleId="Nadpis3Char">
    <w:name w:val="Nadpis 3 Char"/>
    <w:basedOn w:val="Standardnpsmoodstavce"/>
    <w:link w:val="Nadpis3"/>
    <w:uiPriority w:val="9"/>
    <w:rsid w:val="00A436F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436FF"/>
    <w:rPr>
      <w:b/>
      <w:bCs/>
    </w:rPr>
  </w:style>
  <w:style w:type="character" w:styleId="slostrnky">
    <w:name w:val="page number"/>
    <w:basedOn w:val="Standardnpsmoodstavce"/>
    <w:rsid w:val="0066554B"/>
  </w:style>
  <w:style w:type="character" w:styleId="CittHTML">
    <w:name w:val="HTML Cite"/>
    <w:basedOn w:val="Standardnpsmoodstavce"/>
    <w:uiPriority w:val="99"/>
    <w:semiHidden/>
    <w:unhideWhenUsed/>
    <w:rsid w:val="00467B2F"/>
    <w:rPr>
      <w:i/>
      <w:iCs/>
    </w:rPr>
  </w:style>
  <w:style w:type="character" w:styleId="Sledovanodkaz">
    <w:name w:val="FollowedHyperlink"/>
    <w:basedOn w:val="Standardnpsmoodstavce"/>
    <w:uiPriority w:val="99"/>
    <w:semiHidden/>
    <w:unhideWhenUsed/>
    <w:rsid w:val="009B2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4147">
      <w:bodyDiv w:val="1"/>
      <w:marLeft w:val="0"/>
      <w:marRight w:val="0"/>
      <w:marTop w:val="0"/>
      <w:marBottom w:val="0"/>
      <w:divBdr>
        <w:top w:val="none" w:sz="0" w:space="0" w:color="auto"/>
        <w:left w:val="none" w:sz="0" w:space="0" w:color="auto"/>
        <w:bottom w:val="none" w:sz="0" w:space="0" w:color="auto"/>
        <w:right w:val="none" w:sz="0" w:space="0" w:color="auto"/>
      </w:divBdr>
    </w:div>
    <w:div w:id="1006134682">
      <w:bodyDiv w:val="1"/>
      <w:marLeft w:val="0"/>
      <w:marRight w:val="0"/>
      <w:marTop w:val="0"/>
      <w:marBottom w:val="0"/>
      <w:divBdr>
        <w:top w:val="none" w:sz="0" w:space="0" w:color="auto"/>
        <w:left w:val="none" w:sz="0" w:space="0" w:color="auto"/>
        <w:bottom w:val="none" w:sz="0" w:space="0" w:color="auto"/>
        <w:right w:val="none" w:sz="0" w:space="0" w:color="auto"/>
      </w:divBdr>
      <w:divsChild>
        <w:div w:id="280839436">
          <w:marLeft w:val="0"/>
          <w:marRight w:val="0"/>
          <w:marTop w:val="0"/>
          <w:marBottom w:val="0"/>
          <w:divBdr>
            <w:top w:val="none" w:sz="0" w:space="0" w:color="auto"/>
            <w:left w:val="none" w:sz="0" w:space="0" w:color="auto"/>
            <w:bottom w:val="none" w:sz="0" w:space="0" w:color="auto"/>
            <w:right w:val="none" w:sz="0" w:space="0" w:color="auto"/>
          </w:divBdr>
        </w:div>
        <w:div w:id="2105035535">
          <w:marLeft w:val="0"/>
          <w:marRight w:val="0"/>
          <w:marTop w:val="0"/>
          <w:marBottom w:val="0"/>
          <w:divBdr>
            <w:top w:val="none" w:sz="0" w:space="0" w:color="auto"/>
            <w:left w:val="none" w:sz="0" w:space="0" w:color="auto"/>
            <w:bottom w:val="none" w:sz="0" w:space="0" w:color="auto"/>
            <w:right w:val="none" w:sz="0" w:space="0" w:color="auto"/>
          </w:divBdr>
        </w:div>
        <w:div w:id="222527212">
          <w:marLeft w:val="0"/>
          <w:marRight w:val="0"/>
          <w:marTop w:val="0"/>
          <w:marBottom w:val="0"/>
          <w:divBdr>
            <w:top w:val="none" w:sz="0" w:space="0" w:color="auto"/>
            <w:left w:val="none" w:sz="0" w:space="0" w:color="auto"/>
            <w:bottom w:val="none" w:sz="0" w:space="0" w:color="auto"/>
            <w:right w:val="none" w:sz="0" w:space="0" w:color="auto"/>
          </w:divBdr>
        </w:div>
        <w:div w:id="1659849181">
          <w:marLeft w:val="0"/>
          <w:marRight w:val="0"/>
          <w:marTop w:val="0"/>
          <w:marBottom w:val="0"/>
          <w:divBdr>
            <w:top w:val="none" w:sz="0" w:space="0" w:color="auto"/>
            <w:left w:val="none" w:sz="0" w:space="0" w:color="auto"/>
            <w:bottom w:val="none" w:sz="0" w:space="0" w:color="auto"/>
            <w:right w:val="none" w:sz="0" w:space="0" w:color="auto"/>
          </w:divBdr>
        </w:div>
        <w:div w:id="1170408638">
          <w:marLeft w:val="0"/>
          <w:marRight w:val="0"/>
          <w:marTop w:val="0"/>
          <w:marBottom w:val="0"/>
          <w:divBdr>
            <w:top w:val="none" w:sz="0" w:space="0" w:color="auto"/>
            <w:left w:val="none" w:sz="0" w:space="0" w:color="auto"/>
            <w:bottom w:val="none" w:sz="0" w:space="0" w:color="auto"/>
            <w:right w:val="none" w:sz="0" w:space="0" w:color="auto"/>
          </w:divBdr>
        </w:div>
        <w:div w:id="1760177550">
          <w:marLeft w:val="0"/>
          <w:marRight w:val="0"/>
          <w:marTop w:val="0"/>
          <w:marBottom w:val="0"/>
          <w:divBdr>
            <w:top w:val="none" w:sz="0" w:space="0" w:color="auto"/>
            <w:left w:val="none" w:sz="0" w:space="0" w:color="auto"/>
            <w:bottom w:val="none" w:sz="0" w:space="0" w:color="auto"/>
            <w:right w:val="none" w:sz="0" w:space="0" w:color="auto"/>
          </w:divBdr>
        </w:div>
        <w:div w:id="1107122109">
          <w:marLeft w:val="0"/>
          <w:marRight w:val="0"/>
          <w:marTop w:val="0"/>
          <w:marBottom w:val="0"/>
          <w:divBdr>
            <w:top w:val="none" w:sz="0" w:space="0" w:color="auto"/>
            <w:left w:val="none" w:sz="0" w:space="0" w:color="auto"/>
            <w:bottom w:val="none" w:sz="0" w:space="0" w:color="auto"/>
            <w:right w:val="none" w:sz="0" w:space="0" w:color="auto"/>
          </w:divBdr>
        </w:div>
        <w:div w:id="371349261">
          <w:marLeft w:val="0"/>
          <w:marRight w:val="0"/>
          <w:marTop w:val="0"/>
          <w:marBottom w:val="0"/>
          <w:divBdr>
            <w:top w:val="none" w:sz="0" w:space="0" w:color="auto"/>
            <w:left w:val="none" w:sz="0" w:space="0" w:color="auto"/>
            <w:bottom w:val="none" w:sz="0" w:space="0" w:color="auto"/>
            <w:right w:val="none" w:sz="0" w:space="0" w:color="auto"/>
          </w:divBdr>
        </w:div>
        <w:div w:id="538737414">
          <w:marLeft w:val="0"/>
          <w:marRight w:val="0"/>
          <w:marTop w:val="0"/>
          <w:marBottom w:val="0"/>
          <w:divBdr>
            <w:top w:val="none" w:sz="0" w:space="0" w:color="auto"/>
            <w:left w:val="none" w:sz="0" w:space="0" w:color="auto"/>
            <w:bottom w:val="none" w:sz="0" w:space="0" w:color="auto"/>
            <w:right w:val="none" w:sz="0" w:space="0" w:color="auto"/>
          </w:divBdr>
        </w:div>
        <w:div w:id="1050155311">
          <w:marLeft w:val="0"/>
          <w:marRight w:val="0"/>
          <w:marTop w:val="0"/>
          <w:marBottom w:val="0"/>
          <w:divBdr>
            <w:top w:val="none" w:sz="0" w:space="0" w:color="auto"/>
            <w:left w:val="none" w:sz="0" w:space="0" w:color="auto"/>
            <w:bottom w:val="none" w:sz="0" w:space="0" w:color="auto"/>
            <w:right w:val="none" w:sz="0" w:space="0" w:color="auto"/>
          </w:divBdr>
        </w:div>
        <w:div w:id="864755319">
          <w:marLeft w:val="0"/>
          <w:marRight w:val="0"/>
          <w:marTop w:val="0"/>
          <w:marBottom w:val="0"/>
          <w:divBdr>
            <w:top w:val="none" w:sz="0" w:space="0" w:color="auto"/>
            <w:left w:val="none" w:sz="0" w:space="0" w:color="auto"/>
            <w:bottom w:val="none" w:sz="0" w:space="0" w:color="auto"/>
            <w:right w:val="none" w:sz="0" w:space="0" w:color="auto"/>
          </w:divBdr>
        </w:div>
        <w:div w:id="1189371500">
          <w:marLeft w:val="0"/>
          <w:marRight w:val="0"/>
          <w:marTop w:val="0"/>
          <w:marBottom w:val="0"/>
          <w:divBdr>
            <w:top w:val="none" w:sz="0" w:space="0" w:color="auto"/>
            <w:left w:val="none" w:sz="0" w:space="0" w:color="auto"/>
            <w:bottom w:val="none" w:sz="0" w:space="0" w:color="auto"/>
            <w:right w:val="none" w:sz="0" w:space="0" w:color="auto"/>
          </w:divBdr>
        </w:div>
        <w:div w:id="55128977">
          <w:marLeft w:val="0"/>
          <w:marRight w:val="0"/>
          <w:marTop w:val="0"/>
          <w:marBottom w:val="0"/>
          <w:divBdr>
            <w:top w:val="none" w:sz="0" w:space="0" w:color="auto"/>
            <w:left w:val="none" w:sz="0" w:space="0" w:color="auto"/>
            <w:bottom w:val="none" w:sz="0" w:space="0" w:color="auto"/>
            <w:right w:val="none" w:sz="0" w:space="0" w:color="auto"/>
          </w:divBdr>
        </w:div>
        <w:div w:id="1383140968">
          <w:marLeft w:val="0"/>
          <w:marRight w:val="0"/>
          <w:marTop w:val="0"/>
          <w:marBottom w:val="0"/>
          <w:divBdr>
            <w:top w:val="none" w:sz="0" w:space="0" w:color="auto"/>
            <w:left w:val="none" w:sz="0" w:space="0" w:color="auto"/>
            <w:bottom w:val="none" w:sz="0" w:space="0" w:color="auto"/>
            <w:right w:val="none" w:sz="0" w:space="0" w:color="auto"/>
          </w:divBdr>
        </w:div>
        <w:div w:id="866719680">
          <w:marLeft w:val="0"/>
          <w:marRight w:val="0"/>
          <w:marTop w:val="0"/>
          <w:marBottom w:val="0"/>
          <w:divBdr>
            <w:top w:val="none" w:sz="0" w:space="0" w:color="auto"/>
            <w:left w:val="none" w:sz="0" w:space="0" w:color="auto"/>
            <w:bottom w:val="none" w:sz="0" w:space="0" w:color="auto"/>
            <w:right w:val="none" w:sz="0" w:space="0" w:color="auto"/>
          </w:divBdr>
        </w:div>
      </w:divsChild>
    </w:div>
    <w:div w:id="1113474922">
      <w:bodyDiv w:val="1"/>
      <w:marLeft w:val="0"/>
      <w:marRight w:val="0"/>
      <w:marTop w:val="0"/>
      <w:marBottom w:val="0"/>
      <w:divBdr>
        <w:top w:val="none" w:sz="0" w:space="0" w:color="auto"/>
        <w:left w:val="none" w:sz="0" w:space="0" w:color="auto"/>
        <w:bottom w:val="none" w:sz="0" w:space="0" w:color="auto"/>
        <w:right w:val="none" w:sz="0" w:space="0" w:color="auto"/>
      </w:divBdr>
      <w:divsChild>
        <w:div w:id="2095080254">
          <w:marLeft w:val="0"/>
          <w:marRight w:val="0"/>
          <w:marTop w:val="0"/>
          <w:marBottom w:val="0"/>
          <w:divBdr>
            <w:top w:val="none" w:sz="0" w:space="0" w:color="auto"/>
            <w:left w:val="none" w:sz="0" w:space="0" w:color="auto"/>
            <w:bottom w:val="none" w:sz="0" w:space="0" w:color="auto"/>
            <w:right w:val="none" w:sz="0" w:space="0" w:color="auto"/>
          </w:divBdr>
        </w:div>
        <w:div w:id="1541436760">
          <w:marLeft w:val="0"/>
          <w:marRight w:val="0"/>
          <w:marTop w:val="0"/>
          <w:marBottom w:val="0"/>
          <w:divBdr>
            <w:top w:val="none" w:sz="0" w:space="0" w:color="auto"/>
            <w:left w:val="none" w:sz="0" w:space="0" w:color="auto"/>
            <w:bottom w:val="none" w:sz="0" w:space="0" w:color="auto"/>
            <w:right w:val="none" w:sz="0" w:space="0" w:color="auto"/>
          </w:divBdr>
        </w:div>
        <w:div w:id="1249772592">
          <w:marLeft w:val="0"/>
          <w:marRight w:val="0"/>
          <w:marTop w:val="0"/>
          <w:marBottom w:val="0"/>
          <w:divBdr>
            <w:top w:val="none" w:sz="0" w:space="0" w:color="auto"/>
            <w:left w:val="none" w:sz="0" w:space="0" w:color="auto"/>
            <w:bottom w:val="none" w:sz="0" w:space="0" w:color="auto"/>
            <w:right w:val="none" w:sz="0" w:space="0" w:color="auto"/>
          </w:divBdr>
        </w:div>
        <w:div w:id="789974335">
          <w:marLeft w:val="0"/>
          <w:marRight w:val="0"/>
          <w:marTop w:val="0"/>
          <w:marBottom w:val="0"/>
          <w:divBdr>
            <w:top w:val="none" w:sz="0" w:space="0" w:color="auto"/>
            <w:left w:val="none" w:sz="0" w:space="0" w:color="auto"/>
            <w:bottom w:val="none" w:sz="0" w:space="0" w:color="auto"/>
            <w:right w:val="none" w:sz="0" w:space="0" w:color="auto"/>
          </w:divBdr>
        </w:div>
      </w:divsChild>
    </w:div>
    <w:div w:id="17602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p.cz/sqw/text/orig2.sqw?idd=1113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p.cz/sqw/text/tiskt.sqw?O=7&amp;CT=331&amp;CT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r.cz/cs/legislativa/legislativni-dokumenty/2002/vyhlaska-c-323-2002-sb-346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pp.eurostat.ec.europa.eu/tgm/table.do?tab=table&amp;init=1&amp;language=en&amp;pcode=tec00023&amp;plugin=1" TargetMode="External"/><Relationship Id="rId4" Type="http://schemas.microsoft.com/office/2007/relationships/stylesWithEffects" Target="stylesWithEffects.xml"/><Relationship Id="rId9" Type="http://schemas.openxmlformats.org/officeDocument/2006/relationships/hyperlink" Target="http://apl.czso.cz/pll/rocenka/rocenkavyber.gov_c" TargetMode="External"/><Relationship Id="rId14" Type="http://schemas.openxmlformats.org/officeDocument/2006/relationships/hyperlink" Target="http://www.psp.cz/sqw/text/orig2.sqw?idd=11134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F8CF-8489-4D07-83A1-973693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825</Words>
  <Characters>4870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Furova Lenka</dc:creator>
  <cp:lastModifiedBy>Hrůza Filip</cp:lastModifiedBy>
  <cp:revision>5</cp:revision>
  <dcterms:created xsi:type="dcterms:W3CDTF">2015-09-29T11:52:00Z</dcterms:created>
  <dcterms:modified xsi:type="dcterms:W3CDTF">2015-09-29T12:06:00Z</dcterms:modified>
</cp:coreProperties>
</file>