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DD" w:rsidRPr="00183EDD" w:rsidRDefault="00C15F4E" w:rsidP="00183EDD">
      <w:pPr>
        <w:spacing w:before="24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Cvičení č. 5</w:t>
      </w:r>
      <w:r w:rsidR="00183EDD">
        <w:rPr>
          <w:rFonts w:ascii="Arial" w:hAnsi="Arial" w:cs="Arial"/>
          <w:b/>
          <w:sz w:val="36"/>
          <w:szCs w:val="36"/>
        </w:rPr>
        <w:t xml:space="preserve"> - </w:t>
      </w:r>
      <w:r w:rsidR="00AF13DD" w:rsidRPr="00AF13DD">
        <w:rPr>
          <w:rFonts w:ascii="Arial" w:hAnsi="Arial" w:cs="Arial"/>
          <w:b/>
          <w:sz w:val="36"/>
          <w:szCs w:val="36"/>
        </w:rPr>
        <w:t>Důchodový systém</w:t>
      </w:r>
    </w:p>
    <w:p w:rsidR="00183EDD" w:rsidRPr="00AF13DD" w:rsidRDefault="00AF13DD" w:rsidP="00AF13DD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  <w:b/>
          <w:sz w:val="28"/>
          <w:szCs w:val="24"/>
        </w:rPr>
      </w:pPr>
      <w:r w:rsidRPr="00AF13DD">
        <w:rPr>
          <w:rFonts w:ascii="Arial" w:hAnsi="Arial" w:cs="Arial"/>
          <w:b/>
          <w:sz w:val="28"/>
          <w:szCs w:val="24"/>
        </w:rPr>
        <w:t>Základní přehled důchodových systémů</w:t>
      </w:r>
    </w:p>
    <w:p w:rsidR="00AF13DD" w:rsidRDefault="005825D2" w:rsidP="00AF13DD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 je cílem </w:t>
      </w:r>
      <w:r w:rsidR="00AF13DD">
        <w:rPr>
          <w:rFonts w:ascii="Arial" w:hAnsi="Arial" w:cs="Arial"/>
          <w:sz w:val="24"/>
          <w:szCs w:val="24"/>
        </w:rPr>
        <w:t xml:space="preserve">důchodového systému? </w:t>
      </w:r>
      <w:r w:rsidR="00761CFD">
        <w:rPr>
          <w:rFonts w:ascii="Arial" w:hAnsi="Arial" w:cs="Arial"/>
          <w:sz w:val="24"/>
          <w:szCs w:val="24"/>
        </w:rPr>
        <w:t>Lze vůbec a případně j</w:t>
      </w:r>
      <w:r w:rsidR="00AF13DD">
        <w:rPr>
          <w:rFonts w:ascii="Arial" w:hAnsi="Arial" w:cs="Arial"/>
          <w:sz w:val="24"/>
          <w:szCs w:val="24"/>
        </w:rPr>
        <w:t>ak to můžeme měřit?</w:t>
      </w:r>
    </w:p>
    <w:p w:rsidR="00AF13DD" w:rsidRDefault="007810B8" w:rsidP="00C15F4E">
      <w:pPr>
        <w:pStyle w:val="Odstavecseseznamem"/>
        <w:numPr>
          <w:ilvl w:val="0"/>
          <w:numId w:val="5"/>
        </w:numPr>
        <w:spacing w:before="240"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</w:t>
      </w:r>
      <w:r w:rsidR="00EA004E">
        <w:rPr>
          <w:rFonts w:ascii="Arial" w:hAnsi="Arial" w:cs="Arial"/>
          <w:sz w:val="24"/>
          <w:szCs w:val="24"/>
        </w:rPr>
        <w:t xml:space="preserve"> </w:t>
      </w:r>
      <w:r w:rsidR="00761CFD"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z w:val="24"/>
          <w:szCs w:val="24"/>
        </w:rPr>
        <w:t xml:space="preserve">měl </w:t>
      </w:r>
      <w:r w:rsidR="00761CFD">
        <w:rPr>
          <w:rFonts w:ascii="Arial" w:hAnsi="Arial" w:cs="Arial"/>
          <w:sz w:val="24"/>
          <w:szCs w:val="24"/>
        </w:rPr>
        <w:t xml:space="preserve">podle vás </w:t>
      </w:r>
      <w:r>
        <w:rPr>
          <w:rFonts w:ascii="Arial" w:hAnsi="Arial" w:cs="Arial"/>
          <w:sz w:val="24"/>
          <w:szCs w:val="24"/>
        </w:rPr>
        <w:t>vypadat</w:t>
      </w:r>
      <w:r w:rsidR="00761CFD">
        <w:rPr>
          <w:rFonts w:ascii="Arial" w:hAnsi="Arial" w:cs="Arial"/>
          <w:sz w:val="24"/>
          <w:szCs w:val="24"/>
        </w:rPr>
        <w:t xml:space="preserve"> </w:t>
      </w:r>
      <w:r w:rsidR="00EA004E">
        <w:rPr>
          <w:rFonts w:ascii="Arial" w:hAnsi="Arial" w:cs="Arial"/>
          <w:sz w:val="24"/>
          <w:szCs w:val="24"/>
        </w:rPr>
        <w:t>spravedlivý důchodový systém?</w:t>
      </w:r>
      <w:r w:rsidR="00761CFD">
        <w:rPr>
          <w:rFonts w:ascii="Arial" w:hAnsi="Arial" w:cs="Arial"/>
          <w:sz w:val="24"/>
          <w:szCs w:val="24"/>
        </w:rPr>
        <w:t xml:space="preserve"> Jaké by měl mít charakteristiky a principy?</w:t>
      </w:r>
    </w:p>
    <w:p w:rsidR="00C15F4E" w:rsidRPr="00C15F4E" w:rsidRDefault="00C15F4E" w:rsidP="005825D2">
      <w:pPr>
        <w:pStyle w:val="Odstavecseseznamem"/>
        <w:spacing w:before="240" w:after="120"/>
        <w:ind w:left="714"/>
        <w:jc w:val="both"/>
        <w:rPr>
          <w:rFonts w:ascii="Arial" w:hAnsi="Arial" w:cs="Arial"/>
          <w:sz w:val="24"/>
          <w:szCs w:val="24"/>
        </w:rPr>
      </w:pPr>
    </w:p>
    <w:p w:rsidR="006B770F" w:rsidRDefault="006B770F" w:rsidP="006B770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Typy </w:t>
      </w:r>
      <w:r w:rsidR="00667295">
        <w:rPr>
          <w:rFonts w:ascii="Arial" w:hAnsi="Arial" w:cs="Arial"/>
          <w:sz w:val="24"/>
          <w:szCs w:val="24"/>
        </w:rPr>
        <w:t>důchodových systémů</w:t>
      </w:r>
    </w:p>
    <w:p w:rsidR="00C15F4E" w:rsidRPr="00C15F4E" w:rsidRDefault="00C15F4E" w:rsidP="00C15F4E">
      <w:pPr>
        <w:spacing w:before="240"/>
        <w:ind w:left="360"/>
        <w:jc w:val="center"/>
        <w:rPr>
          <w:rFonts w:ascii="Arial" w:hAnsi="Arial" w:cs="Arial"/>
          <w:sz w:val="24"/>
          <w:szCs w:val="24"/>
        </w:rPr>
      </w:pPr>
      <w:r w:rsidRPr="00C15F4E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79EA504B" wp14:editId="2D17491B">
            <wp:extent cx="4943475" cy="211645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9" cy="211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B770F" w:rsidRDefault="006B770F" w:rsidP="00EA004E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537188">
        <w:rPr>
          <w:rFonts w:ascii="Arial" w:hAnsi="Arial" w:cs="Arial"/>
          <w:sz w:val="24"/>
          <w:szCs w:val="24"/>
        </w:rPr>
        <w:t>působ</w:t>
      </w:r>
      <w:r w:rsidR="005825D2">
        <w:rPr>
          <w:rFonts w:ascii="Arial" w:hAnsi="Arial" w:cs="Arial"/>
          <w:sz w:val="24"/>
          <w:szCs w:val="24"/>
        </w:rPr>
        <w:t xml:space="preserve"> financován</w:t>
      </w:r>
      <w:r w:rsidR="00537188">
        <w:rPr>
          <w:rFonts w:ascii="Arial" w:hAnsi="Arial" w:cs="Arial"/>
          <w:sz w:val="24"/>
          <w:szCs w:val="24"/>
        </w:rPr>
        <w:t xml:space="preserve"> </w:t>
      </w:r>
    </w:p>
    <w:p w:rsidR="006B770F" w:rsidRDefault="00537188" w:rsidP="006B770F">
      <w:pPr>
        <w:pStyle w:val="Odstavecseseznamem"/>
        <w:numPr>
          <w:ilvl w:val="2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průběžné </w:t>
      </w:r>
      <w:r w:rsidR="00173434">
        <w:rPr>
          <w:rFonts w:ascii="Arial" w:hAnsi="Arial" w:cs="Arial"/>
          <w:sz w:val="24"/>
          <w:szCs w:val="24"/>
        </w:rPr>
        <w:t>(mezigeneračn</w:t>
      </w:r>
      <w:r w:rsidR="006B770F">
        <w:rPr>
          <w:rFonts w:ascii="Arial" w:hAnsi="Arial" w:cs="Arial"/>
          <w:sz w:val="24"/>
          <w:szCs w:val="24"/>
        </w:rPr>
        <w:t>í solidarita) – označovaný PAYG</w:t>
      </w:r>
    </w:p>
    <w:p w:rsidR="006B770F" w:rsidRDefault="00537188" w:rsidP="006B770F">
      <w:pPr>
        <w:pStyle w:val="Odstavecseseznamem"/>
        <w:numPr>
          <w:ilvl w:val="2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fondové</w:t>
      </w:r>
      <w:r w:rsidR="00173434">
        <w:rPr>
          <w:rFonts w:ascii="Arial" w:hAnsi="Arial" w:cs="Arial"/>
          <w:sz w:val="24"/>
          <w:szCs w:val="24"/>
        </w:rPr>
        <w:t xml:space="preserve"> (spořím si na svůj důchod)</w:t>
      </w:r>
    </w:p>
    <w:p w:rsidR="006B770F" w:rsidRDefault="006B770F" w:rsidP="006B770F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537188" w:rsidRPr="006B770F">
        <w:rPr>
          <w:rFonts w:ascii="Arial" w:hAnsi="Arial" w:cs="Arial"/>
          <w:sz w:val="24"/>
          <w:szCs w:val="24"/>
        </w:rPr>
        <w:t>působ</w:t>
      </w:r>
      <w:r>
        <w:rPr>
          <w:rFonts w:ascii="Arial" w:hAnsi="Arial" w:cs="Arial"/>
          <w:sz w:val="24"/>
          <w:szCs w:val="24"/>
        </w:rPr>
        <w:t xml:space="preserve"> výpočtu důchodu</w:t>
      </w:r>
      <w:r w:rsidR="00537188" w:rsidRPr="006B770F">
        <w:rPr>
          <w:rFonts w:ascii="Arial" w:hAnsi="Arial" w:cs="Arial"/>
          <w:sz w:val="24"/>
          <w:szCs w:val="24"/>
        </w:rPr>
        <w:t xml:space="preserve"> </w:t>
      </w:r>
    </w:p>
    <w:p w:rsidR="006B770F" w:rsidRDefault="00537188" w:rsidP="006B770F">
      <w:pPr>
        <w:pStyle w:val="Odstavecseseznamem"/>
        <w:numPr>
          <w:ilvl w:val="2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6B770F">
        <w:rPr>
          <w:rFonts w:ascii="Arial" w:hAnsi="Arial" w:cs="Arial"/>
          <w:sz w:val="24"/>
          <w:szCs w:val="24"/>
        </w:rPr>
        <w:t>DC (zásluhový v závislosti</w:t>
      </w:r>
      <w:r w:rsidR="006B770F">
        <w:rPr>
          <w:rFonts w:ascii="Arial" w:hAnsi="Arial" w:cs="Arial"/>
          <w:sz w:val="24"/>
          <w:szCs w:val="24"/>
        </w:rPr>
        <w:t xml:space="preserve"> na mých předchozích platbách) </w:t>
      </w:r>
      <w:r w:rsidRPr="006B770F">
        <w:rPr>
          <w:rFonts w:ascii="Arial" w:hAnsi="Arial" w:cs="Arial"/>
          <w:sz w:val="24"/>
          <w:szCs w:val="24"/>
        </w:rPr>
        <w:t xml:space="preserve"> </w:t>
      </w:r>
    </w:p>
    <w:p w:rsidR="005825D2" w:rsidRDefault="00537188" w:rsidP="005825D2">
      <w:pPr>
        <w:pStyle w:val="Odstavecseseznamem"/>
        <w:numPr>
          <w:ilvl w:val="2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6B770F">
        <w:rPr>
          <w:rFonts w:ascii="Arial" w:hAnsi="Arial" w:cs="Arial"/>
          <w:sz w:val="24"/>
          <w:szCs w:val="24"/>
        </w:rPr>
        <w:t xml:space="preserve">DB (vzoreček zohledňující více faktorů </w:t>
      </w:r>
      <w:r w:rsidR="00173434" w:rsidRPr="00173434">
        <w:sym w:font="Wingdings" w:char="F0E0"/>
      </w:r>
      <w:r w:rsidRPr="006B770F">
        <w:rPr>
          <w:rFonts w:ascii="Arial" w:hAnsi="Arial" w:cs="Arial"/>
          <w:sz w:val="24"/>
          <w:szCs w:val="24"/>
        </w:rPr>
        <w:t xml:space="preserve"> „politické“ rozhodnutí)</w:t>
      </w:r>
    </w:p>
    <w:p w:rsidR="005825D2" w:rsidRPr="005825D2" w:rsidRDefault="005825D2" w:rsidP="005825D2">
      <w:pPr>
        <w:pStyle w:val="Odstavecseseznamem"/>
        <w:spacing w:before="240"/>
        <w:ind w:left="2160"/>
        <w:jc w:val="both"/>
        <w:rPr>
          <w:rFonts w:ascii="Arial" w:hAnsi="Arial" w:cs="Arial"/>
          <w:sz w:val="24"/>
          <w:szCs w:val="24"/>
        </w:rPr>
      </w:pPr>
    </w:p>
    <w:p w:rsidR="006B770F" w:rsidRPr="006B770F" w:rsidRDefault="006B770F" w:rsidP="006B770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Formy důchodových systémů:</w:t>
      </w:r>
    </w:p>
    <w:p w:rsidR="00173434" w:rsidRDefault="00173434" w:rsidP="00EA004E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PAYG DB </w:t>
      </w:r>
      <w:r w:rsidRPr="00173434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český první pilíř; důchod počítán z předchozích výdělků a délky pojištění; v systému může být (viz ČR) příjmová redistribuce</w:t>
      </w:r>
    </w:p>
    <w:p w:rsidR="00173434" w:rsidRDefault="00173434" w:rsidP="00EA004E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NDC </w:t>
      </w:r>
      <w:r w:rsidRPr="00173434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průběžný systém, ale důchod záleží na mém předchozím příjmu (zásluhový systém)</w:t>
      </w:r>
    </w:p>
    <w:p w:rsidR="00173434" w:rsidRDefault="00173434" w:rsidP="00EA004E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FDC </w:t>
      </w:r>
      <w:r w:rsidRPr="00173434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obdoba klasického životního pojištění; český druhý a třetí pilíř; trpí méně na demografické šoky než PAYG; umožňuje více zohlednit přání pojištěnce</w:t>
      </w:r>
    </w:p>
    <w:p w:rsidR="001B56BA" w:rsidRDefault="00173434" w:rsidP="008B2AA4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všech evropských státech najdeme </w:t>
      </w:r>
      <w:proofErr w:type="spellStart"/>
      <w:r>
        <w:rPr>
          <w:rFonts w:ascii="Arial" w:hAnsi="Arial" w:cs="Arial"/>
          <w:sz w:val="24"/>
          <w:szCs w:val="24"/>
        </w:rPr>
        <w:t>multi</w:t>
      </w:r>
      <w:proofErr w:type="spellEnd"/>
      <w:r>
        <w:rPr>
          <w:rFonts w:ascii="Arial" w:hAnsi="Arial" w:cs="Arial"/>
          <w:sz w:val="24"/>
          <w:szCs w:val="24"/>
        </w:rPr>
        <w:t xml:space="preserve">-pilířové uspořádání, kde každý pilíř má svůj vlastní cíl; </w:t>
      </w:r>
      <w:proofErr w:type="spellStart"/>
      <w:r>
        <w:rPr>
          <w:rFonts w:ascii="Arial" w:hAnsi="Arial" w:cs="Arial"/>
          <w:sz w:val="24"/>
          <w:szCs w:val="24"/>
        </w:rPr>
        <w:t>multipilířové</w:t>
      </w:r>
      <w:proofErr w:type="spellEnd"/>
      <w:r>
        <w:rPr>
          <w:rFonts w:ascii="Arial" w:hAnsi="Arial" w:cs="Arial"/>
          <w:sz w:val="24"/>
          <w:szCs w:val="24"/>
        </w:rPr>
        <w:t xml:space="preserve"> uspořádání je v zemích na západ od nás dáno historickým vývojem (státní pilíř většinou garantuje </w:t>
      </w:r>
      <w:r w:rsidR="00F36938">
        <w:rPr>
          <w:rFonts w:ascii="Arial" w:hAnsi="Arial" w:cs="Arial"/>
          <w:sz w:val="24"/>
          <w:szCs w:val="24"/>
        </w:rPr>
        <w:t>životní standard v určité výši</w:t>
      </w:r>
      <w:r>
        <w:rPr>
          <w:rFonts w:ascii="Arial" w:hAnsi="Arial" w:cs="Arial"/>
          <w:sz w:val="24"/>
          <w:szCs w:val="24"/>
        </w:rPr>
        <w:t>, kdežto „zaměstnanecké schéma“ poskytuje „</w:t>
      </w:r>
      <w:proofErr w:type="spellStart"/>
      <w:r>
        <w:rPr>
          <w:rFonts w:ascii="Arial" w:hAnsi="Arial" w:cs="Arial"/>
          <w:sz w:val="24"/>
          <w:szCs w:val="24"/>
        </w:rPr>
        <w:t>earnings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related</w:t>
      </w:r>
      <w:proofErr w:type="spellEnd"/>
      <w:r>
        <w:rPr>
          <w:rFonts w:ascii="Arial" w:hAnsi="Arial" w:cs="Arial"/>
          <w:sz w:val="24"/>
          <w:szCs w:val="24"/>
        </w:rPr>
        <w:t xml:space="preserve"> pension“)</w:t>
      </w:r>
    </w:p>
    <w:p w:rsidR="00C94C38" w:rsidRDefault="008B2AA4" w:rsidP="00C94C38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</w:t>
      </w:r>
      <w:r w:rsidR="00C94C38">
        <w:rPr>
          <w:rFonts w:ascii="Arial" w:hAnsi="Arial" w:cs="Arial"/>
          <w:sz w:val="24"/>
          <w:szCs w:val="24"/>
        </w:rPr>
        <w:t>aká pozitiva a negativa se pojí s jednotlivými, výše uve</w:t>
      </w:r>
      <w:r>
        <w:rPr>
          <w:rFonts w:ascii="Arial" w:hAnsi="Arial" w:cs="Arial"/>
          <w:sz w:val="24"/>
          <w:szCs w:val="24"/>
        </w:rPr>
        <w:t>denými, variantami uspořádání důchodových systémů?</w:t>
      </w:r>
    </w:p>
    <w:p w:rsidR="005825D2" w:rsidRPr="005825D2" w:rsidRDefault="005825D2" w:rsidP="005825D2">
      <w:pPr>
        <w:spacing w:before="240"/>
        <w:ind w:left="360"/>
        <w:jc w:val="both"/>
        <w:rPr>
          <w:rFonts w:ascii="Arial" w:hAnsi="Arial" w:cs="Arial"/>
          <w:sz w:val="24"/>
          <w:szCs w:val="24"/>
        </w:rPr>
      </w:pPr>
    </w:p>
    <w:p w:rsidR="00C15F4E" w:rsidRDefault="00C15F4E" w:rsidP="00C15F4E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Referát - </w:t>
      </w:r>
      <w:r w:rsidRPr="00910D3E">
        <w:rPr>
          <w:rFonts w:ascii="Arial" w:hAnsi="Arial" w:cs="Arial"/>
          <w:b/>
          <w:color w:val="FF0000"/>
          <w:sz w:val="28"/>
          <w:szCs w:val="24"/>
        </w:rPr>
        <w:t>Jak se od roku 2013 změn</w:t>
      </w:r>
      <w:r>
        <w:rPr>
          <w:rFonts w:ascii="Arial" w:hAnsi="Arial" w:cs="Arial"/>
          <w:b/>
          <w:color w:val="FF0000"/>
          <w:sz w:val="28"/>
          <w:szCs w:val="24"/>
        </w:rPr>
        <w:t>il</w:t>
      </w:r>
      <w:r w:rsidRPr="00910D3E">
        <w:rPr>
          <w:rFonts w:ascii="Arial" w:hAnsi="Arial" w:cs="Arial"/>
          <w:b/>
          <w:color w:val="FF0000"/>
          <w:sz w:val="28"/>
          <w:szCs w:val="24"/>
        </w:rPr>
        <w:t xml:space="preserve"> v ČR systém penzijního připojištění?</w:t>
      </w:r>
    </w:p>
    <w:p w:rsidR="0030518D" w:rsidRDefault="0030518D" w:rsidP="0030518D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30518D">
        <w:rPr>
          <w:rFonts w:ascii="Arial" w:hAnsi="Arial" w:cs="Arial"/>
          <w:sz w:val="24"/>
          <w:szCs w:val="24"/>
        </w:rPr>
        <w:t xml:space="preserve">Popište současnou podobu a význam PP, identifikujte jeho provedené změny v roce 2013 </w:t>
      </w:r>
    </w:p>
    <w:p w:rsidR="0030518D" w:rsidRDefault="0030518D" w:rsidP="0030518D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30518D">
        <w:rPr>
          <w:rFonts w:ascii="Arial" w:hAnsi="Arial" w:cs="Arial"/>
          <w:sz w:val="24"/>
          <w:szCs w:val="24"/>
        </w:rPr>
        <w:t>Jaké jsou rizika a přínosy soukromého připojištění?</w:t>
      </w:r>
    </w:p>
    <w:p w:rsidR="0030518D" w:rsidRDefault="0030518D" w:rsidP="0030518D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30518D">
        <w:rPr>
          <w:rFonts w:ascii="Arial" w:hAnsi="Arial" w:cs="Arial"/>
          <w:sz w:val="24"/>
          <w:szCs w:val="24"/>
        </w:rPr>
        <w:t>Proč si (ne)spoříte na důchod?</w:t>
      </w:r>
    </w:p>
    <w:p w:rsidR="0030518D" w:rsidRDefault="0030518D" w:rsidP="0030518D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30518D">
        <w:rPr>
          <w:rFonts w:ascii="Arial" w:hAnsi="Arial" w:cs="Arial"/>
          <w:sz w:val="24"/>
          <w:szCs w:val="24"/>
        </w:rPr>
        <w:t>Pokuste se identifikovat, jaké další relevantní způsoby zajištění na důchod existují (z pohledu občana ČR v</w:t>
      </w:r>
      <w:r>
        <w:rPr>
          <w:rFonts w:ascii="Arial" w:hAnsi="Arial" w:cs="Arial"/>
          <w:sz w:val="24"/>
          <w:szCs w:val="24"/>
        </w:rPr>
        <w:t xml:space="preserve"> </w:t>
      </w:r>
      <w:r w:rsidRPr="0030518D">
        <w:rPr>
          <w:rFonts w:ascii="Arial" w:hAnsi="Arial" w:cs="Arial"/>
          <w:sz w:val="24"/>
          <w:szCs w:val="24"/>
        </w:rPr>
        <w:t xml:space="preserve">produktivním věku) </w:t>
      </w:r>
    </w:p>
    <w:p w:rsidR="0030518D" w:rsidRPr="0030518D" w:rsidRDefault="0030518D" w:rsidP="0030518D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30518D">
        <w:rPr>
          <w:rFonts w:ascii="Arial" w:hAnsi="Arial" w:cs="Arial"/>
          <w:sz w:val="24"/>
          <w:szCs w:val="24"/>
        </w:rPr>
        <w:t>Ovlivní zavedení institutu „</w:t>
      </w:r>
      <w:proofErr w:type="spellStart"/>
      <w:r w:rsidRPr="0030518D">
        <w:rPr>
          <w:rFonts w:ascii="Arial" w:hAnsi="Arial" w:cs="Arial"/>
          <w:sz w:val="24"/>
          <w:szCs w:val="24"/>
        </w:rPr>
        <w:t>Předdůchod</w:t>
      </w:r>
      <w:proofErr w:type="spellEnd"/>
      <w:r w:rsidRPr="0030518D">
        <w:rPr>
          <w:rFonts w:ascii="Arial" w:hAnsi="Arial" w:cs="Arial"/>
          <w:sz w:val="24"/>
          <w:szCs w:val="24"/>
        </w:rPr>
        <w:t>“ atraktivitu penzijního připojištění?</w:t>
      </w:r>
    </w:p>
    <w:p w:rsidR="0030518D" w:rsidRDefault="0030518D" w:rsidP="001B56B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EB20EF" w:rsidRPr="00EB20EF" w:rsidRDefault="00C94C38" w:rsidP="00C15F4E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C94C38">
        <w:rPr>
          <w:rFonts w:ascii="Arial" w:hAnsi="Arial" w:cs="Arial"/>
          <w:b/>
          <w:sz w:val="28"/>
          <w:szCs w:val="24"/>
        </w:rPr>
        <w:t>Současný důc</w:t>
      </w:r>
      <w:r w:rsidR="000257FC">
        <w:rPr>
          <w:rFonts w:ascii="Arial" w:hAnsi="Arial" w:cs="Arial"/>
          <w:b/>
          <w:sz w:val="28"/>
          <w:szCs w:val="24"/>
        </w:rPr>
        <w:t>hodový systém v ČR</w:t>
      </w:r>
    </w:p>
    <w:p w:rsidR="000257FC" w:rsidRPr="000257FC" w:rsidRDefault="000257FC" w:rsidP="00EB20EF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DS se v ČR skládá ze tří pilířů: </w:t>
      </w:r>
    </w:p>
    <w:p w:rsidR="000257FC" w:rsidRPr="000257FC" w:rsidRDefault="000257FC" w:rsidP="000257FC">
      <w:pPr>
        <w:pStyle w:val="Odstavecseseznamem"/>
        <w:numPr>
          <w:ilvl w:val="1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pilíř (státní / povinný) – důchodové pojištění</w:t>
      </w:r>
    </w:p>
    <w:p w:rsidR="000257FC" w:rsidRPr="00012E71" w:rsidRDefault="000257FC" w:rsidP="000257FC">
      <w:pPr>
        <w:pStyle w:val="Odstavecseseznamem"/>
        <w:numPr>
          <w:ilvl w:val="1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12E71">
        <w:rPr>
          <w:rFonts w:ascii="Arial" w:hAnsi="Arial" w:cs="Arial"/>
          <w:sz w:val="24"/>
          <w:szCs w:val="24"/>
        </w:rPr>
        <w:t>2. pilíř (soukromý / dobrovolný) – důchodové spoření</w:t>
      </w:r>
      <w:r w:rsidR="009F17CC" w:rsidRPr="00012E71">
        <w:rPr>
          <w:rFonts w:ascii="Arial" w:hAnsi="Arial" w:cs="Arial"/>
          <w:sz w:val="24"/>
          <w:szCs w:val="24"/>
        </w:rPr>
        <w:t>*</w:t>
      </w:r>
    </w:p>
    <w:p w:rsidR="00672C3C" w:rsidRPr="00012E71" w:rsidRDefault="000257FC" w:rsidP="00672C3C">
      <w:pPr>
        <w:pStyle w:val="Odstavecseseznamem"/>
        <w:numPr>
          <w:ilvl w:val="1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12E71">
        <w:rPr>
          <w:rFonts w:ascii="Arial" w:hAnsi="Arial" w:cs="Arial"/>
          <w:sz w:val="24"/>
          <w:szCs w:val="24"/>
        </w:rPr>
        <w:t>3. pilíř (soukromý / dobrovolný) – penzijní spoření</w:t>
      </w:r>
    </w:p>
    <w:p w:rsidR="00672C3C" w:rsidRPr="00012E71" w:rsidRDefault="00672C3C" w:rsidP="009F17CC">
      <w:pPr>
        <w:pStyle w:val="Odstavecseseznamem"/>
        <w:spacing w:before="24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5825D2" w:rsidRPr="00012E71" w:rsidRDefault="000257FC" w:rsidP="005825D2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12E71">
        <w:rPr>
          <w:rFonts w:ascii="Arial" w:hAnsi="Arial" w:cs="Arial"/>
          <w:sz w:val="24"/>
          <w:szCs w:val="24"/>
        </w:rPr>
        <w:t>První pilíř DS je systém financova</w:t>
      </w:r>
      <w:r w:rsidR="00C94C38" w:rsidRPr="00012E71">
        <w:rPr>
          <w:rFonts w:ascii="Arial" w:hAnsi="Arial" w:cs="Arial"/>
          <w:sz w:val="24"/>
          <w:szCs w:val="24"/>
        </w:rPr>
        <w:t>n</w:t>
      </w:r>
      <w:r w:rsidRPr="00012E71">
        <w:rPr>
          <w:rFonts w:ascii="Arial" w:hAnsi="Arial" w:cs="Arial"/>
          <w:sz w:val="24"/>
          <w:szCs w:val="24"/>
        </w:rPr>
        <w:t>ý</w:t>
      </w:r>
      <w:r w:rsidR="00C94C38" w:rsidRPr="00012E71">
        <w:rPr>
          <w:rFonts w:ascii="Arial" w:hAnsi="Arial" w:cs="Arial"/>
          <w:sz w:val="24"/>
          <w:szCs w:val="24"/>
        </w:rPr>
        <w:t xml:space="preserve"> ze státního rozpočtu (obvyklejší je mimorozpočtový fond); pojistná sazba z vyměřovacího základu (mzda) je 28 %</w:t>
      </w:r>
      <w:r w:rsidRPr="00012E71">
        <w:rPr>
          <w:rFonts w:ascii="Arial" w:hAnsi="Arial" w:cs="Arial"/>
          <w:sz w:val="24"/>
          <w:szCs w:val="24"/>
        </w:rPr>
        <w:t xml:space="preserve"> z hrubé mzdy, resp. 25% pro ty, co vstoupí do druhého pilíře. J</w:t>
      </w:r>
      <w:r w:rsidR="00C94C38" w:rsidRPr="00012E71">
        <w:rPr>
          <w:rFonts w:ascii="Arial" w:hAnsi="Arial" w:cs="Arial"/>
          <w:sz w:val="24"/>
          <w:szCs w:val="24"/>
        </w:rPr>
        <w:t>e dělena mezi zaměstnance a zaměstnavatele (jaký má smysl toto dělení?); výše důchodu zohledňuje příjmy a délku pojištění</w:t>
      </w:r>
    </w:p>
    <w:p w:rsidR="009F17CC" w:rsidRPr="00012E71" w:rsidRDefault="009F17CC" w:rsidP="009F17CC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12E71">
        <w:rPr>
          <w:rFonts w:ascii="Arial" w:hAnsi="Arial" w:cs="Arial"/>
          <w:sz w:val="24"/>
          <w:szCs w:val="24"/>
        </w:rPr>
        <w:t>Druhý pilíř se má definitivně uzavřít od roku 2016 a jeho účastníci si budou moci vybrat co s naspořenými pen</w:t>
      </w:r>
      <w:r w:rsidR="00AD604B" w:rsidRPr="00012E71">
        <w:rPr>
          <w:rFonts w:ascii="Arial" w:hAnsi="Arial" w:cs="Arial"/>
          <w:sz w:val="24"/>
          <w:szCs w:val="24"/>
        </w:rPr>
        <w:t>ě</w:t>
      </w:r>
      <w:r w:rsidRPr="00012E71">
        <w:rPr>
          <w:rFonts w:ascii="Arial" w:hAnsi="Arial" w:cs="Arial"/>
          <w:sz w:val="24"/>
          <w:szCs w:val="24"/>
        </w:rPr>
        <w:t xml:space="preserve">zi: </w:t>
      </w:r>
    </w:p>
    <w:p w:rsidR="009F17CC" w:rsidRPr="00012E71" w:rsidRDefault="009F17CC" w:rsidP="009F17CC">
      <w:pPr>
        <w:pStyle w:val="Odstavecseseznamem"/>
        <w:numPr>
          <w:ilvl w:val="1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12E71">
        <w:rPr>
          <w:rFonts w:ascii="Arial" w:hAnsi="Arial" w:cs="Arial"/>
          <w:sz w:val="24"/>
          <w:szCs w:val="24"/>
        </w:rPr>
        <w:t>výběr převodem na účet</w:t>
      </w:r>
    </w:p>
    <w:p w:rsidR="009F17CC" w:rsidRPr="00012E71" w:rsidRDefault="009F17CC" w:rsidP="009F17CC">
      <w:pPr>
        <w:pStyle w:val="Odstavecseseznamem"/>
        <w:numPr>
          <w:ilvl w:val="1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12E71">
        <w:rPr>
          <w:rFonts w:ascii="Arial" w:hAnsi="Arial" w:cs="Arial"/>
          <w:sz w:val="24"/>
          <w:szCs w:val="24"/>
        </w:rPr>
        <w:t>převedení do třetího pilíře (systém penzijního připojištění)</w:t>
      </w:r>
    </w:p>
    <w:p w:rsidR="00012E71" w:rsidRPr="00012E71" w:rsidRDefault="00012E71" w:rsidP="00012E71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012E71">
        <w:rPr>
          <w:rFonts w:ascii="Arial" w:hAnsi="Arial" w:cs="Arial"/>
          <w:sz w:val="24"/>
          <w:szCs w:val="24"/>
        </w:rPr>
        <w:t>Ú</w:t>
      </w:r>
      <w:r w:rsidRPr="00012E71">
        <w:rPr>
          <w:rFonts w:ascii="Arial" w:hAnsi="Arial" w:cs="Arial"/>
          <w:sz w:val="24"/>
          <w:szCs w:val="24"/>
        </w:rPr>
        <w:t>častník se bude moci rozhodnout, že naspořené peníze vrátí do SR. V tomto případě mu v budoucnosti nebude krácen důchod z PAYG DB pilíře (v ostatních případech ano).</w:t>
      </w:r>
    </w:p>
    <w:p w:rsidR="00AD604B" w:rsidRPr="00012E71" w:rsidRDefault="00AD604B" w:rsidP="00AD604B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12E71">
        <w:rPr>
          <w:rFonts w:ascii="Arial" w:hAnsi="Arial" w:cs="Arial"/>
          <w:sz w:val="24"/>
          <w:szCs w:val="24"/>
        </w:rPr>
        <w:t>Tyto změny ovlivní i třetí pilíř se, u něhož se mají změnit dílčí podmínky (například by v něm měly moct spořit nově i děti, resp. jejich rodiče, protože by měla skončit hranice pro vstup do tohoto pilíře).</w:t>
      </w:r>
    </w:p>
    <w:p w:rsidR="00672C3C" w:rsidRPr="006B2D19" w:rsidRDefault="005825D2" w:rsidP="006B2D1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Výdaje na důchody za ro</w:t>
      </w:r>
      <w:r w:rsidR="009D4E33">
        <w:rPr>
          <w:rFonts w:ascii="Arial" w:hAnsi="Arial" w:cs="Arial"/>
          <w:b/>
          <w:sz w:val="24"/>
          <w:szCs w:val="24"/>
        </w:rPr>
        <w:t>k 2014</w:t>
      </w:r>
    </w:p>
    <w:tbl>
      <w:tblPr>
        <w:tblStyle w:val="Mkatabulky"/>
        <w:tblW w:w="9606" w:type="dxa"/>
        <w:tblLayout w:type="fixed"/>
        <w:tblLook w:val="0600" w:firstRow="0" w:lastRow="0" w:firstColumn="0" w:lastColumn="0" w:noHBand="1" w:noVBand="1"/>
      </w:tblPr>
      <w:tblGrid>
        <w:gridCol w:w="2518"/>
        <w:gridCol w:w="1701"/>
        <w:gridCol w:w="2410"/>
        <w:gridCol w:w="1276"/>
        <w:gridCol w:w="1701"/>
      </w:tblGrid>
      <w:tr w:rsidR="009D4E33" w:rsidRPr="00672C3C" w:rsidTr="006E0823">
        <w:trPr>
          <w:trHeight w:val="581"/>
        </w:trPr>
        <w:tc>
          <w:tcPr>
            <w:tcW w:w="2518" w:type="dxa"/>
            <w:vAlign w:val="center"/>
            <w:hideMark/>
          </w:tcPr>
          <w:p w:rsidR="009D4E33" w:rsidRPr="00672C3C" w:rsidRDefault="009D4E33" w:rsidP="006E082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Rok 2014</w:t>
            </w:r>
          </w:p>
        </w:tc>
        <w:tc>
          <w:tcPr>
            <w:tcW w:w="1701" w:type="dxa"/>
            <w:vAlign w:val="center"/>
            <w:hideMark/>
          </w:tcPr>
          <w:p w:rsidR="009D4E33" w:rsidRPr="00672C3C" w:rsidRDefault="009D4E33" w:rsidP="006E082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72C3C">
              <w:rPr>
                <w:rFonts w:ascii="Arial" w:hAnsi="Arial" w:cs="Arial"/>
                <w:b/>
                <w:bCs/>
                <w:szCs w:val="24"/>
              </w:rPr>
              <w:t xml:space="preserve">Nominálně </w:t>
            </w:r>
            <w:r w:rsidRPr="00672C3C">
              <w:rPr>
                <w:rFonts w:ascii="Arial" w:hAnsi="Arial" w:cs="Arial"/>
                <w:b/>
                <w:bCs/>
                <w:szCs w:val="24"/>
              </w:rPr>
              <w:br/>
              <w:t>(mld. Kč)</w:t>
            </w:r>
          </w:p>
        </w:tc>
        <w:tc>
          <w:tcPr>
            <w:tcW w:w="2410" w:type="dxa"/>
            <w:vAlign w:val="center"/>
            <w:hideMark/>
          </w:tcPr>
          <w:p w:rsidR="009D4E33" w:rsidRPr="00672C3C" w:rsidRDefault="009D4E33" w:rsidP="00C96F4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72C3C">
              <w:rPr>
                <w:rFonts w:ascii="Arial" w:hAnsi="Arial" w:cs="Arial"/>
                <w:b/>
                <w:bCs/>
                <w:szCs w:val="24"/>
              </w:rPr>
              <w:t xml:space="preserve">Reálně </w:t>
            </w:r>
            <w:proofErr w:type="gramStart"/>
            <w:r w:rsidRPr="00672C3C">
              <w:rPr>
                <w:rFonts w:ascii="Arial" w:hAnsi="Arial" w:cs="Arial"/>
                <w:b/>
                <w:bCs/>
                <w:szCs w:val="24"/>
              </w:rPr>
              <w:t>ku</w:t>
            </w:r>
            <w:proofErr w:type="gramEnd"/>
            <w:r w:rsidRPr="00672C3C">
              <w:rPr>
                <w:rFonts w:ascii="Arial" w:hAnsi="Arial" w:cs="Arial"/>
                <w:b/>
                <w:bCs/>
                <w:szCs w:val="24"/>
              </w:rPr>
              <w:t xml:space="preserve"> HDP </w:t>
            </w:r>
            <w:r w:rsidRPr="00672C3C">
              <w:rPr>
                <w:rFonts w:ascii="Arial" w:hAnsi="Arial" w:cs="Arial"/>
                <w:b/>
                <w:bCs/>
                <w:szCs w:val="24"/>
              </w:rPr>
              <w:br/>
              <w:t>(</w:t>
            </w:r>
            <w:r w:rsidR="00C96F4D">
              <w:rPr>
                <w:rFonts w:ascii="Arial" w:hAnsi="Arial" w:cs="Arial"/>
                <w:b/>
                <w:bCs/>
                <w:szCs w:val="24"/>
              </w:rPr>
              <w:t>4266</w:t>
            </w:r>
            <w:r w:rsidRPr="00672C3C">
              <w:rPr>
                <w:rFonts w:ascii="Arial" w:hAnsi="Arial" w:cs="Arial"/>
                <w:b/>
                <w:bCs/>
                <w:szCs w:val="24"/>
              </w:rPr>
              <w:t xml:space="preserve"> mld. Kč)</w:t>
            </w:r>
          </w:p>
        </w:tc>
        <w:tc>
          <w:tcPr>
            <w:tcW w:w="1276" w:type="dxa"/>
            <w:vAlign w:val="center"/>
            <w:hideMark/>
          </w:tcPr>
          <w:p w:rsidR="009D4E33" w:rsidRPr="00672C3C" w:rsidRDefault="009D4E33" w:rsidP="006E082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72C3C">
              <w:rPr>
                <w:rFonts w:ascii="Arial" w:hAnsi="Arial" w:cs="Arial"/>
                <w:b/>
                <w:bCs/>
                <w:szCs w:val="24"/>
              </w:rPr>
              <w:t>Relativně</w:t>
            </w:r>
          </w:p>
        </w:tc>
        <w:tc>
          <w:tcPr>
            <w:tcW w:w="1701" w:type="dxa"/>
            <w:vAlign w:val="center"/>
            <w:hideMark/>
          </w:tcPr>
          <w:p w:rsidR="009D4E33" w:rsidRPr="00672C3C" w:rsidRDefault="009D4E33" w:rsidP="006E082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72C3C">
              <w:rPr>
                <w:rFonts w:ascii="Arial" w:hAnsi="Arial" w:cs="Arial"/>
                <w:b/>
                <w:bCs/>
                <w:szCs w:val="24"/>
              </w:rPr>
              <w:t>Důchodové pojištění</w:t>
            </w:r>
          </w:p>
        </w:tc>
      </w:tr>
      <w:tr w:rsidR="009D4E33" w:rsidRPr="00672C3C" w:rsidTr="009D4E33">
        <w:trPr>
          <w:trHeight w:val="581"/>
        </w:trPr>
        <w:tc>
          <w:tcPr>
            <w:tcW w:w="2518" w:type="dxa"/>
            <w:vAlign w:val="center"/>
            <w:hideMark/>
          </w:tcPr>
          <w:p w:rsidR="009D4E33" w:rsidRPr="00672C3C" w:rsidRDefault="009D4E33" w:rsidP="006E0823">
            <w:pPr>
              <w:rPr>
                <w:rFonts w:ascii="Arial" w:hAnsi="Arial" w:cs="Arial"/>
                <w:sz w:val="20"/>
                <w:szCs w:val="24"/>
              </w:rPr>
            </w:pPr>
            <w:r w:rsidRPr="00672C3C">
              <w:rPr>
                <w:rFonts w:ascii="Arial" w:hAnsi="Arial" w:cs="Arial"/>
                <w:sz w:val="20"/>
                <w:szCs w:val="24"/>
              </w:rPr>
              <w:lastRenderedPageBreak/>
              <w:t>Starobní důchody</w:t>
            </w:r>
          </w:p>
        </w:tc>
        <w:tc>
          <w:tcPr>
            <w:tcW w:w="1701" w:type="dxa"/>
            <w:vAlign w:val="center"/>
          </w:tcPr>
          <w:p w:rsidR="009D4E33" w:rsidRPr="00672C3C" w:rsidRDefault="009D4E33" w:rsidP="009D4E33">
            <w:pPr>
              <w:rPr>
                <w:rFonts w:ascii="Arial" w:hAnsi="Arial" w:cs="Arial"/>
                <w:sz w:val="20"/>
                <w:szCs w:val="24"/>
              </w:rPr>
            </w:pPr>
            <w:r w:rsidRPr="009D4E33">
              <w:rPr>
                <w:rFonts w:ascii="Arial" w:hAnsi="Arial" w:cs="Arial"/>
                <w:sz w:val="20"/>
                <w:szCs w:val="24"/>
              </w:rPr>
              <w:t>314</w:t>
            </w:r>
            <w:r>
              <w:rPr>
                <w:rFonts w:ascii="Arial" w:hAnsi="Arial" w:cs="Arial"/>
                <w:sz w:val="20"/>
                <w:szCs w:val="24"/>
              </w:rPr>
              <w:t>,</w:t>
            </w:r>
            <w:r w:rsidRPr="009D4E33">
              <w:rPr>
                <w:rFonts w:ascii="Arial" w:hAnsi="Arial" w:cs="Arial"/>
                <w:sz w:val="20"/>
                <w:szCs w:val="24"/>
              </w:rPr>
              <w:t>738</w:t>
            </w:r>
          </w:p>
        </w:tc>
        <w:tc>
          <w:tcPr>
            <w:tcW w:w="2410" w:type="dxa"/>
            <w:vAlign w:val="center"/>
          </w:tcPr>
          <w:p w:rsidR="009D4E33" w:rsidRPr="00672C3C" w:rsidRDefault="006B2D19" w:rsidP="006E082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7,3</w:t>
            </w:r>
            <w:r w:rsidR="00C96F4D">
              <w:rPr>
                <w:rFonts w:ascii="Arial" w:hAnsi="Arial" w:cs="Arial"/>
                <w:sz w:val="20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9D4E33" w:rsidRPr="00672C3C" w:rsidRDefault="00C96F4D" w:rsidP="006B2D1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81,5%</w:t>
            </w:r>
          </w:p>
        </w:tc>
        <w:tc>
          <w:tcPr>
            <w:tcW w:w="1701" w:type="dxa"/>
            <w:vAlign w:val="center"/>
          </w:tcPr>
          <w:p w:rsidR="009D4E33" w:rsidRPr="00672C3C" w:rsidRDefault="006B2D19" w:rsidP="006E082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22,8%</w:t>
            </w:r>
          </w:p>
        </w:tc>
      </w:tr>
      <w:tr w:rsidR="009D4E33" w:rsidRPr="00672C3C" w:rsidTr="009D4E33">
        <w:trPr>
          <w:trHeight w:val="581"/>
        </w:trPr>
        <w:tc>
          <w:tcPr>
            <w:tcW w:w="2518" w:type="dxa"/>
            <w:vAlign w:val="center"/>
            <w:hideMark/>
          </w:tcPr>
          <w:p w:rsidR="009D4E33" w:rsidRPr="00672C3C" w:rsidRDefault="009D4E33" w:rsidP="006E0823">
            <w:pPr>
              <w:rPr>
                <w:rFonts w:ascii="Arial" w:hAnsi="Arial" w:cs="Arial"/>
                <w:sz w:val="20"/>
                <w:szCs w:val="24"/>
              </w:rPr>
            </w:pPr>
            <w:r w:rsidRPr="00672C3C">
              <w:rPr>
                <w:rFonts w:ascii="Arial" w:hAnsi="Arial" w:cs="Arial"/>
                <w:sz w:val="20"/>
                <w:szCs w:val="24"/>
              </w:rPr>
              <w:t>Invalidní důchody</w:t>
            </w:r>
          </w:p>
        </w:tc>
        <w:tc>
          <w:tcPr>
            <w:tcW w:w="1701" w:type="dxa"/>
            <w:vAlign w:val="center"/>
          </w:tcPr>
          <w:p w:rsidR="009D4E33" w:rsidRPr="00672C3C" w:rsidRDefault="001B3083" w:rsidP="001B3083">
            <w:pPr>
              <w:rPr>
                <w:rFonts w:ascii="Arial" w:hAnsi="Arial" w:cs="Arial"/>
                <w:sz w:val="20"/>
                <w:szCs w:val="24"/>
              </w:rPr>
            </w:pPr>
            <w:r w:rsidRPr="001B3083">
              <w:rPr>
                <w:rFonts w:ascii="Arial" w:hAnsi="Arial" w:cs="Arial"/>
                <w:sz w:val="20"/>
                <w:szCs w:val="24"/>
              </w:rPr>
              <w:t>43</w:t>
            </w:r>
            <w:r>
              <w:rPr>
                <w:rFonts w:ascii="Arial" w:hAnsi="Arial" w:cs="Arial"/>
                <w:sz w:val="20"/>
                <w:szCs w:val="24"/>
              </w:rPr>
              <w:t>,</w:t>
            </w:r>
            <w:r w:rsidRPr="001B3083">
              <w:rPr>
                <w:rFonts w:ascii="Arial" w:hAnsi="Arial" w:cs="Arial"/>
                <w:sz w:val="20"/>
                <w:szCs w:val="24"/>
              </w:rPr>
              <w:t>975</w:t>
            </w:r>
          </w:p>
        </w:tc>
        <w:tc>
          <w:tcPr>
            <w:tcW w:w="2410" w:type="dxa"/>
            <w:vAlign w:val="center"/>
          </w:tcPr>
          <w:p w:rsidR="009D4E33" w:rsidRPr="00672C3C" w:rsidRDefault="00C96F4D" w:rsidP="006B2D1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1,0%</w:t>
            </w:r>
          </w:p>
        </w:tc>
        <w:tc>
          <w:tcPr>
            <w:tcW w:w="1276" w:type="dxa"/>
            <w:vAlign w:val="center"/>
          </w:tcPr>
          <w:p w:rsidR="009D4E33" w:rsidRPr="00672C3C" w:rsidRDefault="00C96F4D" w:rsidP="006B2D1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11,3%</w:t>
            </w:r>
          </w:p>
        </w:tc>
        <w:tc>
          <w:tcPr>
            <w:tcW w:w="1701" w:type="dxa"/>
            <w:vAlign w:val="center"/>
          </w:tcPr>
          <w:p w:rsidR="009D4E33" w:rsidRPr="00672C3C" w:rsidRDefault="006B2D19" w:rsidP="006E082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3,2%</w:t>
            </w:r>
          </w:p>
        </w:tc>
      </w:tr>
      <w:tr w:rsidR="009D4E33" w:rsidRPr="00672C3C" w:rsidTr="009D4E33">
        <w:trPr>
          <w:trHeight w:val="581"/>
        </w:trPr>
        <w:tc>
          <w:tcPr>
            <w:tcW w:w="2518" w:type="dxa"/>
            <w:vAlign w:val="center"/>
            <w:hideMark/>
          </w:tcPr>
          <w:p w:rsidR="009D4E33" w:rsidRPr="00672C3C" w:rsidRDefault="009D4E33" w:rsidP="006E0823">
            <w:pPr>
              <w:rPr>
                <w:rFonts w:ascii="Arial" w:hAnsi="Arial" w:cs="Arial"/>
                <w:sz w:val="20"/>
                <w:szCs w:val="24"/>
              </w:rPr>
            </w:pPr>
            <w:r w:rsidRPr="00672C3C">
              <w:rPr>
                <w:rFonts w:ascii="Arial" w:hAnsi="Arial" w:cs="Arial"/>
                <w:sz w:val="20"/>
                <w:szCs w:val="24"/>
              </w:rPr>
              <w:t>Pozůstalostní důchody</w:t>
            </w:r>
          </w:p>
        </w:tc>
        <w:tc>
          <w:tcPr>
            <w:tcW w:w="1701" w:type="dxa"/>
            <w:vAlign w:val="center"/>
          </w:tcPr>
          <w:p w:rsidR="009D4E33" w:rsidRPr="00672C3C" w:rsidRDefault="001B3083" w:rsidP="001B3083">
            <w:pPr>
              <w:rPr>
                <w:rFonts w:ascii="Arial" w:hAnsi="Arial" w:cs="Arial"/>
                <w:sz w:val="20"/>
                <w:szCs w:val="24"/>
              </w:rPr>
            </w:pPr>
            <w:r w:rsidRPr="001B3083">
              <w:rPr>
                <w:rFonts w:ascii="Arial" w:hAnsi="Arial" w:cs="Arial"/>
                <w:sz w:val="20"/>
                <w:szCs w:val="24"/>
              </w:rPr>
              <w:t>27</w:t>
            </w:r>
            <w:r>
              <w:rPr>
                <w:rFonts w:ascii="Arial" w:hAnsi="Arial" w:cs="Arial"/>
                <w:sz w:val="20"/>
                <w:szCs w:val="24"/>
              </w:rPr>
              <w:t>,</w:t>
            </w:r>
            <w:r w:rsidRPr="001B3083">
              <w:rPr>
                <w:rFonts w:ascii="Arial" w:hAnsi="Arial" w:cs="Arial"/>
                <w:sz w:val="20"/>
                <w:szCs w:val="24"/>
              </w:rPr>
              <w:t>437</w:t>
            </w:r>
          </w:p>
        </w:tc>
        <w:tc>
          <w:tcPr>
            <w:tcW w:w="2410" w:type="dxa"/>
            <w:vAlign w:val="center"/>
          </w:tcPr>
          <w:p w:rsidR="009D4E33" w:rsidRPr="00672C3C" w:rsidRDefault="00C96F4D" w:rsidP="006B2D1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0,6%</w:t>
            </w:r>
          </w:p>
        </w:tc>
        <w:tc>
          <w:tcPr>
            <w:tcW w:w="1276" w:type="dxa"/>
            <w:vAlign w:val="center"/>
          </w:tcPr>
          <w:p w:rsidR="009D4E33" w:rsidRPr="00672C3C" w:rsidRDefault="00C96F4D" w:rsidP="006B2D1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7,1%</w:t>
            </w:r>
          </w:p>
        </w:tc>
        <w:tc>
          <w:tcPr>
            <w:tcW w:w="1701" w:type="dxa"/>
            <w:vAlign w:val="center"/>
          </w:tcPr>
          <w:p w:rsidR="009D4E33" w:rsidRPr="00672C3C" w:rsidRDefault="006B2D19" w:rsidP="006E082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2,0%</w:t>
            </w:r>
          </w:p>
        </w:tc>
      </w:tr>
      <w:tr w:rsidR="009D4E33" w:rsidRPr="00672C3C" w:rsidTr="006E0823">
        <w:trPr>
          <w:trHeight w:val="581"/>
        </w:trPr>
        <w:tc>
          <w:tcPr>
            <w:tcW w:w="2518" w:type="dxa"/>
            <w:shd w:val="clear" w:color="auto" w:fill="FFFF00"/>
            <w:vAlign w:val="center"/>
            <w:hideMark/>
          </w:tcPr>
          <w:p w:rsidR="009D4E33" w:rsidRPr="00672C3C" w:rsidRDefault="009D4E33" w:rsidP="006E0823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72C3C">
              <w:rPr>
                <w:rFonts w:ascii="Arial" w:hAnsi="Arial" w:cs="Arial"/>
                <w:b/>
                <w:bCs/>
                <w:sz w:val="20"/>
                <w:szCs w:val="24"/>
              </w:rPr>
              <w:t>Důchody celkem</w:t>
            </w:r>
          </w:p>
        </w:tc>
        <w:tc>
          <w:tcPr>
            <w:tcW w:w="1701" w:type="dxa"/>
            <w:shd w:val="clear" w:color="auto" w:fill="FFFF00"/>
            <w:vAlign w:val="center"/>
            <w:hideMark/>
          </w:tcPr>
          <w:p w:rsidR="009D4E33" w:rsidRPr="00672C3C" w:rsidRDefault="009D4E33" w:rsidP="009D4E33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D4E33">
              <w:rPr>
                <w:rFonts w:ascii="Arial" w:hAnsi="Arial" w:cs="Arial"/>
                <w:b/>
                <w:bCs/>
                <w:sz w:val="20"/>
                <w:szCs w:val="24"/>
              </w:rPr>
              <w:t>386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>,</w:t>
            </w:r>
            <w:r w:rsidRPr="009D4E33">
              <w:rPr>
                <w:rFonts w:ascii="Arial" w:hAnsi="Arial" w:cs="Arial"/>
                <w:b/>
                <w:bCs/>
                <w:sz w:val="20"/>
                <w:szCs w:val="24"/>
              </w:rPr>
              <w:t>150</w:t>
            </w:r>
          </w:p>
        </w:tc>
        <w:tc>
          <w:tcPr>
            <w:tcW w:w="2410" w:type="dxa"/>
            <w:shd w:val="clear" w:color="auto" w:fill="FFFF00"/>
            <w:vAlign w:val="center"/>
            <w:hideMark/>
          </w:tcPr>
          <w:p w:rsidR="009D4E33" w:rsidRPr="00672C3C" w:rsidRDefault="00C96F4D" w:rsidP="006B2D19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9,0%</w:t>
            </w:r>
          </w:p>
        </w:tc>
        <w:tc>
          <w:tcPr>
            <w:tcW w:w="1276" w:type="dxa"/>
            <w:shd w:val="clear" w:color="auto" w:fill="FFFF00"/>
            <w:vAlign w:val="center"/>
            <w:hideMark/>
          </w:tcPr>
          <w:p w:rsidR="009D4E33" w:rsidRPr="00672C3C" w:rsidRDefault="009D4E33" w:rsidP="006E0823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72C3C">
              <w:rPr>
                <w:rFonts w:ascii="Arial" w:hAnsi="Arial" w:cs="Arial"/>
                <w:b/>
                <w:bCs/>
                <w:sz w:val="20"/>
                <w:szCs w:val="24"/>
              </w:rPr>
              <w:t>100%</w:t>
            </w:r>
          </w:p>
        </w:tc>
        <w:tc>
          <w:tcPr>
            <w:tcW w:w="1701" w:type="dxa"/>
            <w:shd w:val="clear" w:color="auto" w:fill="FFFF00"/>
            <w:vAlign w:val="center"/>
            <w:hideMark/>
          </w:tcPr>
          <w:p w:rsidR="009D4E33" w:rsidRPr="00672C3C" w:rsidRDefault="006B2D19" w:rsidP="006B2D19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28,0%</w:t>
            </w:r>
          </w:p>
        </w:tc>
      </w:tr>
    </w:tbl>
    <w:p w:rsidR="009D4E33" w:rsidRPr="00C96F4D" w:rsidRDefault="00C96F4D" w:rsidP="00C96F4D">
      <w:pPr>
        <w:spacing w:before="240"/>
        <w:ind w:left="360"/>
        <w:jc w:val="both"/>
        <w:rPr>
          <w:rFonts w:ascii="Arial" w:hAnsi="Arial" w:cs="Arial"/>
        </w:rPr>
      </w:pPr>
      <w:r w:rsidRPr="00C94C38">
        <w:rPr>
          <w:rFonts w:ascii="Arial" w:hAnsi="Arial" w:cs="Arial"/>
        </w:rPr>
        <w:t>Zdroj: MF</w:t>
      </w:r>
      <w:r w:rsidR="00BD5F2D">
        <w:rPr>
          <w:rFonts w:ascii="Arial" w:hAnsi="Arial" w:cs="Arial"/>
        </w:rPr>
        <w:t xml:space="preserve"> ČR</w:t>
      </w:r>
      <w:r w:rsidRPr="00C94C38">
        <w:rPr>
          <w:rFonts w:ascii="Arial" w:hAnsi="Arial" w:cs="Arial"/>
        </w:rPr>
        <w:t xml:space="preserve"> (201</w:t>
      </w:r>
      <w:r>
        <w:rPr>
          <w:rFonts w:ascii="Arial" w:hAnsi="Arial" w:cs="Arial"/>
        </w:rPr>
        <w:t>5, příloha C</w:t>
      </w:r>
      <w:r w:rsidRPr="00C94C38">
        <w:rPr>
          <w:rFonts w:ascii="Arial" w:hAnsi="Arial" w:cs="Arial"/>
        </w:rPr>
        <w:t>)</w:t>
      </w:r>
    </w:p>
    <w:p w:rsidR="00672C3C" w:rsidRDefault="00672C3C" w:rsidP="00672C3C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je to valorizace a k čemu slouží?</w:t>
      </w:r>
    </w:p>
    <w:p w:rsidR="00672C3C" w:rsidRDefault="00672C3C" w:rsidP="00672C3C">
      <w:pPr>
        <w:pStyle w:val="Odstavecseseznamem"/>
        <w:numPr>
          <w:ilvl w:val="1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2012: 100% inflace + 1/3 růstu reálné mzdy (</w:t>
      </w:r>
      <w:r w:rsidRPr="0096498C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důchodci chráněni před inflací, zároveň pomalu bohatnou)</w:t>
      </w:r>
    </w:p>
    <w:p w:rsidR="00672C3C" w:rsidRDefault="006D5DF3" w:rsidP="00672C3C">
      <w:pPr>
        <w:pStyle w:val="Odstavecseseznamem"/>
        <w:numPr>
          <w:ilvl w:val="1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2013-2014</w:t>
      </w:r>
      <w:r w:rsidR="00672C3C" w:rsidRPr="00CB4C56">
        <w:rPr>
          <w:rFonts w:ascii="Arial" w:hAnsi="Arial" w:cs="Arial"/>
          <w:sz w:val="24"/>
          <w:szCs w:val="24"/>
        </w:rPr>
        <w:t>: 1/3 inflace + 1/3 růstu reálné mzdy (</w:t>
      </w:r>
      <w:r w:rsidR="00672C3C" w:rsidRPr="0096498C">
        <w:sym w:font="Wingdings" w:char="F0E0"/>
      </w:r>
      <w:r w:rsidR="00672C3C" w:rsidRPr="00CB4C56">
        <w:rPr>
          <w:rFonts w:ascii="Arial" w:hAnsi="Arial" w:cs="Arial"/>
          <w:sz w:val="24"/>
          <w:szCs w:val="24"/>
        </w:rPr>
        <w:t xml:space="preserve"> důchodci budou chudnout </w:t>
      </w:r>
      <w:r w:rsidR="00672C3C" w:rsidRPr="008A7590">
        <w:sym w:font="Wingdings" w:char="F0E0"/>
      </w:r>
      <w:r w:rsidR="00672C3C" w:rsidRPr="00CB4C56">
        <w:rPr>
          <w:rFonts w:ascii="Arial" w:hAnsi="Arial" w:cs="Arial"/>
          <w:sz w:val="24"/>
          <w:szCs w:val="24"/>
        </w:rPr>
        <w:t xml:space="preserve"> celková úspora za 3 roky až 50 mld. Kč)</w:t>
      </w:r>
    </w:p>
    <w:p w:rsidR="006D5DF3" w:rsidRPr="00012E71" w:rsidRDefault="006D5DF3" w:rsidP="006D5DF3">
      <w:pPr>
        <w:pStyle w:val="Odstavecseseznamem"/>
        <w:numPr>
          <w:ilvl w:val="1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012E71">
        <w:rPr>
          <w:rFonts w:ascii="Arial" w:hAnsi="Arial" w:cs="Arial"/>
          <w:sz w:val="24"/>
          <w:szCs w:val="24"/>
        </w:rPr>
        <w:t>2015: 100% inflace + 1/3 růstu reálné mzdy</w:t>
      </w:r>
    </w:p>
    <w:p w:rsidR="006D5DF3" w:rsidRPr="00012E71" w:rsidRDefault="006D5DF3" w:rsidP="006D5DF3">
      <w:pPr>
        <w:pStyle w:val="Odstavecseseznamem"/>
        <w:numPr>
          <w:ilvl w:val="1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012E71">
        <w:rPr>
          <w:rFonts w:ascii="Arial" w:hAnsi="Arial" w:cs="Arial"/>
          <w:sz w:val="24"/>
          <w:szCs w:val="24"/>
        </w:rPr>
        <w:t xml:space="preserve">Návrh </w:t>
      </w:r>
      <w:r w:rsidR="00B01E30" w:rsidRPr="00012E71">
        <w:rPr>
          <w:rFonts w:ascii="Arial" w:hAnsi="Arial" w:cs="Arial"/>
          <w:sz w:val="24"/>
          <w:szCs w:val="24"/>
        </w:rPr>
        <w:t xml:space="preserve">2016 - kvůli nízké inflaci v roce 2015 se vládnoucí koalice rozhodla navrhnout jednorázový příspěvek ve výši 900 Kč vyplacený v roce 2016 </w:t>
      </w:r>
    </w:p>
    <w:p w:rsidR="00B01E30" w:rsidRPr="00012E71" w:rsidRDefault="00B01E30" w:rsidP="006D5DF3">
      <w:pPr>
        <w:pStyle w:val="Odstavecseseznamem"/>
        <w:numPr>
          <w:ilvl w:val="1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012E71">
        <w:rPr>
          <w:rFonts w:ascii="Arial" w:hAnsi="Arial" w:cs="Arial"/>
          <w:sz w:val="24"/>
          <w:szCs w:val="24"/>
        </w:rPr>
        <w:t xml:space="preserve">Diskutujte podobu a formu valorizace důchodů v ČR a zamyslete se nad jeho konstrukcí a možnými úpravami vzhledem k zámyslům jednorázových příspěvků.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08"/>
        <w:gridCol w:w="1421"/>
        <w:gridCol w:w="879"/>
        <w:gridCol w:w="1844"/>
        <w:gridCol w:w="1551"/>
        <w:gridCol w:w="1409"/>
        <w:gridCol w:w="1376"/>
      </w:tblGrid>
      <w:tr w:rsidR="00672C3C" w:rsidRPr="00672C3C" w:rsidTr="00672C3C">
        <w:trPr>
          <w:trHeight w:val="575"/>
        </w:trPr>
        <w:tc>
          <w:tcPr>
            <w:tcW w:w="5000" w:type="pct"/>
            <w:gridSpan w:val="7"/>
            <w:hideMark/>
          </w:tcPr>
          <w:p w:rsidR="00672C3C" w:rsidRPr="00672C3C" w:rsidRDefault="00672C3C" w:rsidP="00672C3C">
            <w:pPr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b/>
                <w:bCs/>
                <w:kern w:val="24"/>
                <w:lang w:eastAsia="cs-CZ"/>
              </w:rPr>
              <w:t>Tabulka hospodaření systému důchodovéh</w:t>
            </w:r>
            <w:r w:rsidR="00CA3F56">
              <w:rPr>
                <w:rFonts w:ascii="Calibri" w:eastAsia="Times New Roman" w:hAnsi="Calibri" w:cs="Arial"/>
                <w:b/>
                <w:bCs/>
                <w:kern w:val="24"/>
                <w:lang w:eastAsia="cs-CZ"/>
              </w:rPr>
              <w:t>o pojištění v letech 1996 - 2014</w:t>
            </w:r>
          </w:p>
        </w:tc>
      </w:tr>
      <w:tr w:rsidR="00672C3C" w:rsidRPr="00672C3C" w:rsidTr="00672C3C">
        <w:trPr>
          <w:trHeight w:val="983"/>
        </w:trPr>
        <w:tc>
          <w:tcPr>
            <w:tcW w:w="440" w:type="pct"/>
            <w:hideMark/>
          </w:tcPr>
          <w:p w:rsidR="00672C3C" w:rsidRPr="00672C3C" w:rsidRDefault="00672C3C" w:rsidP="00672C3C">
            <w:pPr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b/>
                <w:bCs/>
                <w:kern w:val="24"/>
                <w:lang w:eastAsia="cs-CZ"/>
              </w:rPr>
              <w:t xml:space="preserve"> rok</w:t>
            </w:r>
          </w:p>
        </w:tc>
        <w:tc>
          <w:tcPr>
            <w:tcW w:w="770" w:type="pct"/>
            <w:hideMark/>
          </w:tcPr>
          <w:p w:rsidR="00672C3C" w:rsidRPr="00672C3C" w:rsidRDefault="00672C3C" w:rsidP="00672C3C">
            <w:pPr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b/>
                <w:bCs/>
                <w:kern w:val="24"/>
                <w:lang w:eastAsia="cs-CZ"/>
              </w:rPr>
              <w:t>Příjmy z pojistného na DP</w:t>
            </w:r>
          </w:p>
        </w:tc>
        <w:tc>
          <w:tcPr>
            <w:tcW w:w="1443" w:type="pct"/>
            <w:gridSpan w:val="2"/>
            <w:hideMark/>
          </w:tcPr>
          <w:p w:rsidR="00672C3C" w:rsidRPr="00672C3C" w:rsidRDefault="00672C3C" w:rsidP="00F15C47">
            <w:pPr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b/>
                <w:bCs/>
                <w:kern w:val="24"/>
                <w:lang w:eastAsia="cs-CZ"/>
              </w:rPr>
              <w:t>Další veličiny vstupu</w:t>
            </w:r>
            <w:r w:rsidR="00F15C47">
              <w:rPr>
                <w:rFonts w:ascii="Calibri" w:eastAsia="Times New Roman" w:hAnsi="Calibri" w:cs="Arial"/>
                <w:b/>
                <w:bCs/>
                <w:kern w:val="24"/>
                <w:lang w:eastAsia="cs-CZ"/>
              </w:rPr>
              <w:t xml:space="preserve">jící do výpočtu výsledku hospodaření </w:t>
            </w:r>
            <w:bookmarkStart w:id="0" w:name="_GoBack"/>
            <w:bookmarkEnd w:id="0"/>
            <w:r w:rsidR="00F15C47">
              <w:rPr>
                <w:rFonts w:ascii="Calibri" w:eastAsia="Times New Roman" w:hAnsi="Calibri" w:cs="Arial"/>
                <w:b/>
                <w:bCs/>
                <w:kern w:val="24"/>
                <w:lang w:eastAsia="cs-CZ"/>
              </w:rPr>
              <w:t>(ve formě Usnesení vlády)</w:t>
            </w:r>
            <w:r w:rsidRPr="00672C3C">
              <w:rPr>
                <w:rFonts w:ascii="Calibri" w:eastAsia="Times New Roman" w:hAnsi="Calibri" w:cs="Arial"/>
                <w:b/>
                <w:bCs/>
                <w:kern w:val="24"/>
                <w:lang w:eastAsia="cs-CZ"/>
              </w:rPr>
              <w:t xml:space="preserve"> </w:t>
            </w:r>
          </w:p>
        </w:tc>
        <w:tc>
          <w:tcPr>
            <w:tcW w:w="839" w:type="pct"/>
            <w:hideMark/>
          </w:tcPr>
          <w:p w:rsidR="00672C3C" w:rsidRPr="00672C3C" w:rsidRDefault="00672C3C" w:rsidP="00672C3C">
            <w:pPr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b/>
                <w:bCs/>
                <w:kern w:val="24"/>
                <w:lang w:eastAsia="cs-CZ"/>
              </w:rPr>
              <w:t>Výdaje na dávky DP</w:t>
            </w:r>
          </w:p>
        </w:tc>
        <w:tc>
          <w:tcPr>
            <w:tcW w:w="763" w:type="pct"/>
            <w:hideMark/>
          </w:tcPr>
          <w:p w:rsidR="00672C3C" w:rsidRPr="00672C3C" w:rsidRDefault="00672C3C" w:rsidP="00672C3C">
            <w:pPr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b/>
                <w:bCs/>
                <w:kern w:val="24"/>
                <w:lang w:eastAsia="cs-CZ"/>
              </w:rPr>
              <w:t>Výdaje na správu</w:t>
            </w:r>
          </w:p>
        </w:tc>
        <w:tc>
          <w:tcPr>
            <w:tcW w:w="745" w:type="pct"/>
            <w:hideMark/>
          </w:tcPr>
          <w:p w:rsidR="00672C3C" w:rsidRPr="00672C3C" w:rsidRDefault="00672C3C" w:rsidP="00672C3C">
            <w:pPr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b/>
                <w:bCs/>
                <w:kern w:val="24"/>
                <w:lang w:eastAsia="cs-CZ"/>
              </w:rPr>
              <w:t xml:space="preserve">Výsledek hospodaření </w:t>
            </w:r>
          </w:p>
        </w:tc>
      </w:tr>
      <w:tr w:rsidR="00672C3C" w:rsidRPr="00672C3C" w:rsidTr="00672C3C">
        <w:trPr>
          <w:trHeight w:val="874"/>
        </w:trPr>
        <w:tc>
          <w:tcPr>
            <w:tcW w:w="440" w:type="pct"/>
            <w:hideMark/>
          </w:tcPr>
          <w:p w:rsidR="00672C3C" w:rsidRPr="00672C3C" w:rsidRDefault="00672C3C" w:rsidP="00672C3C">
            <w:pPr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b/>
                <w:bCs/>
                <w:kern w:val="24"/>
                <w:lang w:eastAsia="cs-CZ"/>
              </w:rPr>
              <w:t> </w:t>
            </w:r>
          </w:p>
        </w:tc>
        <w:tc>
          <w:tcPr>
            <w:tcW w:w="770" w:type="pct"/>
            <w:hideMark/>
          </w:tcPr>
          <w:p w:rsidR="00672C3C" w:rsidRPr="00672C3C" w:rsidRDefault="00672C3C" w:rsidP="00672C3C">
            <w:pPr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eastAsia="cs-CZ"/>
              </w:rPr>
              <w:t>mld. Kč </w:t>
            </w:r>
          </w:p>
        </w:tc>
        <w:tc>
          <w:tcPr>
            <w:tcW w:w="446" w:type="pct"/>
            <w:hideMark/>
          </w:tcPr>
          <w:p w:rsidR="00672C3C" w:rsidRPr="00672C3C" w:rsidRDefault="00672C3C" w:rsidP="00672C3C">
            <w:pPr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eastAsia="cs-CZ"/>
              </w:rPr>
              <w:t>výnos DPH</w:t>
            </w:r>
            <w:r w:rsidR="002311FA">
              <w:rPr>
                <w:rStyle w:val="Znakapoznpodarou"/>
                <w:rFonts w:ascii="Calibri" w:eastAsia="Times New Roman" w:hAnsi="Calibri" w:cs="Arial"/>
                <w:kern w:val="24"/>
                <w:lang w:eastAsia="cs-CZ"/>
              </w:rPr>
              <w:footnoteReference w:id="1"/>
            </w:r>
            <w:r w:rsidRPr="00672C3C">
              <w:rPr>
                <w:rFonts w:ascii="Calibri" w:eastAsia="Times New Roman" w:hAnsi="Calibri" w:cs="Arial"/>
                <w:kern w:val="24"/>
                <w:lang w:eastAsia="cs-CZ"/>
              </w:rPr>
              <w:t xml:space="preserve"> 7,2 %</w:t>
            </w:r>
          </w:p>
        </w:tc>
        <w:tc>
          <w:tcPr>
            <w:tcW w:w="997" w:type="pct"/>
            <w:hideMark/>
          </w:tcPr>
          <w:p w:rsidR="00672C3C" w:rsidRDefault="00672C3C" w:rsidP="00672C3C">
            <w:pPr>
              <w:rPr>
                <w:rFonts w:ascii="Calibri" w:eastAsia="Times New Roman" w:hAnsi="Calibri" w:cs="Arial"/>
                <w:kern w:val="24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eastAsia="cs-CZ"/>
              </w:rPr>
              <w:t>UV č.693/12</w:t>
            </w:r>
          </w:p>
          <w:p w:rsidR="0033701A" w:rsidRDefault="0033701A" w:rsidP="00672C3C">
            <w:pPr>
              <w:rPr>
                <w:rFonts w:ascii="Calibri" w:eastAsia="Times New Roman" w:hAnsi="Calibri" w:cs="Arial"/>
                <w:kern w:val="24"/>
                <w:lang w:eastAsia="cs-CZ"/>
              </w:rPr>
            </w:pPr>
            <w:r>
              <w:rPr>
                <w:rFonts w:ascii="Calibri" w:eastAsia="Times New Roman" w:hAnsi="Calibri" w:cs="Arial"/>
                <w:kern w:val="24"/>
                <w:lang w:eastAsia="cs-CZ"/>
              </w:rPr>
              <w:t>UV č. 1003/2013</w:t>
            </w:r>
          </w:p>
          <w:p w:rsidR="00C349BC" w:rsidRPr="00672C3C" w:rsidRDefault="00C349BC" w:rsidP="00672C3C">
            <w:pPr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Arial"/>
                <w:kern w:val="24"/>
                <w:lang w:eastAsia="cs-CZ"/>
              </w:rPr>
              <w:t>UV č. 729</w:t>
            </w:r>
            <w:r w:rsidR="0033701A">
              <w:rPr>
                <w:rFonts w:ascii="Calibri" w:eastAsia="Times New Roman" w:hAnsi="Calibri" w:cs="Arial"/>
                <w:kern w:val="24"/>
                <w:lang w:eastAsia="cs-CZ"/>
              </w:rPr>
              <w:t>/2013</w:t>
            </w:r>
          </w:p>
        </w:tc>
        <w:tc>
          <w:tcPr>
            <w:tcW w:w="839" w:type="pct"/>
            <w:hideMark/>
          </w:tcPr>
          <w:p w:rsidR="00672C3C" w:rsidRPr="00672C3C" w:rsidRDefault="00672C3C" w:rsidP="00672C3C">
            <w:pPr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eastAsia="cs-CZ"/>
              </w:rPr>
              <w:t>mld. Kč </w:t>
            </w:r>
          </w:p>
        </w:tc>
        <w:tc>
          <w:tcPr>
            <w:tcW w:w="763" w:type="pct"/>
            <w:hideMark/>
          </w:tcPr>
          <w:p w:rsidR="00672C3C" w:rsidRPr="00672C3C" w:rsidRDefault="00672C3C" w:rsidP="00672C3C">
            <w:pPr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eastAsia="cs-CZ"/>
              </w:rPr>
              <w:t>mld. Kč </w:t>
            </w:r>
          </w:p>
        </w:tc>
        <w:tc>
          <w:tcPr>
            <w:tcW w:w="745" w:type="pct"/>
            <w:hideMark/>
          </w:tcPr>
          <w:p w:rsidR="00672C3C" w:rsidRPr="00672C3C" w:rsidRDefault="00672C3C" w:rsidP="00672C3C">
            <w:pPr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eastAsia="cs-CZ"/>
              </w:rPr>
              <w:t>mld. Kč </w:t>
            </w:r>
          </w:p>
        </w:tc>
      </w:tr>
      <w:tr w:rsidR="00672C3C" w:rsidRPr="00672C3C" w:rsidTr="00672C3C">
        <w:trPr>
          <w:trHeight w:val="325"/>
        </w:trPr>
        <w:tc>
          <w:tcPr>
            <w:tcW w:w="440" w:type="pct"/>
            <w:hideMark/>
          </w:tcPr>
          <w:p w:rsidR="00672C3C" w:rsidRPr="00672C3C" w:rsidRDefault="00672C3C" w:rsidP="00672C3C">
            <w:pPr>
              <w:spacing w:line="325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b/>
                <w:bCs/>
                <w:kern w:val="24"/>
                <w:lang w:val="en-US" w:eastAsia="cs-CZ"/>
              </w:rPr>
              <w:t>2008</w:t>
            </w:r>
          </w:p>
        </w:tc>
        <w:tc>
          <w:tcPr>
            <w:tcW w:w="770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320,028</w:t>
            </w:r>
          </w:p>
        </w:tc>
        <w:tc>
          <w:tcPr>
            <w:tcW w:w="446" w:type="pct"/>
            <w:hideMark/>
          </w:tcPr>
          <w:p w:rsidR="00672C3C" w:rsidRPr="00672C3C" w:rsidRDefault="00672C3C" w:rsidP="00672C3C">
            <w:pPr>
              <w:spacing w:line="325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 </w:t>
            </w:r>
          </w:p>
        </w:tc>
        <w:tc>
          <w:tcPr>
            <w:tcW w:w="997" w:type="pct"/>
            <w:hideMark/>
          </w:tcPr>
          <w:p w:rsidR="00672C3C" w:rsidRPr="00672C3C" w:rsidRDefault="00672C3C" w:rsidP="00672C3C">
            <w:pPr>
              <w:spacing w:line="325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 </w:t>
            </w:r>
          </w:p>
        </w:tc>
        <w:tc>
          <w:tcPr>
            <w:tcW w:w="839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312,532</w:t>
            </w:r>
          </w:p>
        </w:tc>
        <w:tc>
          <w:tcPr>
            <w:tcW w:w="763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4,898</w:t>
            </w:r>
          </w:p>
        </w:tc>
        <w:tc>
          <w:tcPr>
            <w:tcW w:w="745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2,598</w:t>
            </w:r>
          </w:p>
        </w:tc>
      </w:tr>
      <w:tr w:rsidR="00672C3C" w:rsidRPr="00672C3C" w:rsidTr="00672C3C">
        <w:trPr>
          <w:trHeight w:val="325"/>
        </w:trPr>
        <w:tc>
          <w:tcPr>
            <w:tcW w:w="440" w:type="pct"/>
            <w:hideMark/>
          </w:tcPr>
          <w:p w:rsidR="00672C3C" w:rsidRPr="00672C3C" w:rsidRDefault="00672C3C" w:rsidP="00672C3C">
            <w:pPr>
              <w:spacing w:line="325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b/>
                <w:bCs/>
                <w:kern w:val="24"/>
                <w:lang w:val="en-US" w:eastAsia="cs-CZ"/>
              </w:rPr>
              <w:t>2009</w:t>
            </w:r>
          </w:p>
        </w:tc>
        <w:tc>
          <w:tcPr>
            <w:tcW w:w="770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310,310</w:t>
            </w:r>
          </w:p>
        </w:tc>
        <w:tc>
          <w:tcPr>
            <w:tcW w:w="446" w:type="pct"/>
            <w:hideMark/>
          </w:tcPr>
          <w:p w:rsidR="00672C3C" w:rsidRPr="00672C3C" w:rsidRDefault="00672C3C" w:rsidP="00672C3C">
            <w:pPr>
              <w:spacing w:line="325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 </w:t>
            </w:r>
          </w:p>
        </w:tc>
        <w:tc>
          <w:tcPr>
            <w:tcW w:w="997" w:type="pct"/>
            <w:hideMark/>
          </w:tcPr>
          <w:p w:rsidR="00672C3C" w:rsidRPr="00672C3C" w:rsidRDefault="00672C3C" w:rsidP="00672C3C">
            <w:pPr>
              <w:spacing w:line="325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 </w:t>
            </w:r>
          </w:p>
        </w:tc>
        <w:tc>
          <w:tcPr>
            <w:tcW w:w="839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339,788</w:t>
            </w:r>
          </w:p>
        </w:tc>
        <w:tc>
          <w:tcPr>
            <w:tcW w:w="763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7,350</w:t>
            </w:r>
          </w:p>
        </w:tc>
        <w:tc>
          <w:tcPr>
            <w:tcW w:w="745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-36,828</w:t>
            </w:r>
          </w:p>
        </w:tc>
      </w:tr>
      <w:tr w:rsidR="00672C3C" w:rsidRPr="00672C3C" w:rsidTr="00672C3C">
        <w:trPr>
          <w:trHeight w:val="325"/>
        </w:trPr>
        <w:tc>
          <w:tcPr>
            <w:tcW w:w="440" w:type="pct"/>
            <w:hideMark/>
          </w:tcPr>
          <w:p w:rsidR="00672C3C" w:rsidRPr="00672C3C" w:rsidRDefault="00672C3C" w:rsidP="00672C3C">
            <w:pPr>
              <w:spacing w:line="325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b/>
                <w:bCs/>
                <w:kern w:val="24"/>
                <w:lang w:val="en-US" w:eastAsia="cs-CZ"/>
              </w:rPr>
              <w:t>2010</w:t>
            </w:r>
          </w:p>
        </w:tc>
        <w:tc>
          <w:tcPr>
            <w:tcW w:w="770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317,881</w:t>
            </w:r>
          </w:p>
        </w:tc>
        <w:tc>
          <w:tcPr>
            <w:tcW w:w="446" w:type="pct"/>
            <w:hideMark/>
          </w:tcPr>
          <w:p w:rsidR="00672C3C" w:rsidRPr="00672C3C" w:rsidRDefault="00672C3C" w:rsidP="00672C3C">
            <w:pPr>
              <w:spacing w:line="325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 </w:t>
            </w:r>
          </w:p>
        </w:tc>
        <w:tc>
          <w:tcPr>
            <w:tcW w:w="997" w:type="pct"/>
            <w:hideMark/>
          </w:tcPr>
          <w:p w:rsidR="00672C3C" w:rsidRPr="00672C3C" w:rsidRDefault="00672C3C" w:rsidP="00672C3C">
            <w:pPr>
              <w:spacing w:line="325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 </w:t>
            </w:r>
          </w:p>
        </w:tc>
        <w:tc>
          <w:tcPr>
            <w:tcW w:w="839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346,212</w:t>
            </w:r>
          </w:p>
        </w:tc>
        <w:tc>
          <w:tcPr>
            <w:tcW w:w="763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7,286</w:t>
            </w:r>
          </w:p>
        </w:tc>
        <w:tc>
          <w:tcPr>
            <w:tcW w:w="745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-35,617</w:t>
            </w:r>
          </w:p>
        </w:tc>
      </w:tr>
      <w:tr w:rsidR="00672C3C" w:rsidRPr="00672C3C" w:rsidTr="00672C3C">
        <w:trPr>
          <w:trHeight w:val="325"/>
        </w:trPr>
        <w:tc>
          <w:tcPr>
            <w:tcW w:w="440" w:type="pct"/>
            <w:hideMark/>
          </w:tcPr>
          <w:p w:rsidR="00672C3C" w:rsidRPr="00672C3C" w:rsidRDefault="00672C3C" w:rsidP="00672C3C">
            <w:pPr>
              <w:spacing w:line="325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b/>
                <w:bCs/>
                <w:kern w:val="24"/>
                <w:lang w:val="en-US" w:eastAsia="cs-CZ"/>
              </w:rPr>
              <w:t>2011</w:t>
            </w:r>
          </w:p>
        </w:tc>
        <w:tc>
          <w:tcPr>
            <w:tcW w:w="770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328,005</w:t>
            </w:r>
          </w:p>
        </w:tc>
        <w:tc>
          <w:tcPr>
            <w:tcW w:w="446" w:type="pct"/>
            <w:hideMark/>
          </w:tcPr>
          <w:p w:rsidR="00672C3C" w:rsidRPr="00672C3C" w:rsidRDefault="00672C3C" w:rsidP="00672C3C">
            <w:pPr>
              <w:spacing w:line="325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 </w:t>
            </w:r>
          </w:p>
        </w:tc>
        <w:tc>
          <w:tcPr>
            <w:tcW w:w="997" w:type="pct"/>
            <w:hideMark/>
          </w:tcPr>
          <w:p w:rsidR="00672C3C" w:rsidRPr="00672C3C" w:rsidRDefault="00672C3C" w:rsidP="00672C3C">
            <w:pPr>
              <w:spacing w:line="325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 </w:t>
            </w:r>
          </w:p>
        </w:tc>
        <w:tc>
          <w:tcPr>
            <w:tcW w:w="839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368,069</w:t>
            </w:r>
          </w:p>
        </w:tc>
        <w:tc>
          <w:tcPr>
            <w:tcW w:w="763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5,289</w:t>
            </w:r>
          </w:p>
        </w:tc>
        <w:tc>
          <w:tcPr>
            <w:tcW w:w="745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-45,353</w:t>
            </w:r>
          </w:p>
        </w:tc>
      </w:tr>
      <w:tr w:rsidR="00672C3C" w:rsidRPr="00672C3C" w:rsidTr="00672C3C">
        <w:trPr>
          <w:trHeight w:val="325"/>
        </w:trPr>
        <w:tc>
          <w:tcPr>
            <w:tcW w:w="440" w:type="pct"/>
            <w:hideMark/>
          </w:tcPr>
          <w:p w:rsidR="00672C3C" w:rsidRPr="00672C3C" w:rsidRDefault="00672C3C" w:rsidP="00672C3C">
            <w:pPr>
              <w:spacing w:line="325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b/>
                <w:bCs/>
                <w:kern w:val="24"/>
                <w:lang w:val="en-US" w:eastAsia="cs-CZ"/>
              </w:rPr>
              <w:t xml:space="preserve">2012 </w:t>
            </w:r>
          </w:p>
        </w:tc>
        <w:tc>
          <w:tcPr>
            <w:tcW w:w="770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332,101</w:t>
            </w:r>
          </w:p>
        </w:tc>
        <w:tc>
          <w:tcPr>
            <w:tcW w:w="446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14,379</w:t>
            </w:r>
          </w:p>
        </w:tc>
        <w:tc>
          <w:tcPr>
            <w:tcW w:w="997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14,400</w:t>
            </w:r>
          </w:p>
        </w:tc>
        <w:tc>
          <w:tcPr>
            <w:tcW w:w="839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382,031</w:t>
            </w:r>
          </w:p>
        </w:tc>
        <w:tc>
          <w:tcPr>
            <w:tcW w:w="763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5,023</w:t>
            </w:r>
          </w:p>
        </w:tc>
        <w:tc>
          <w:tcPr>
            <w:tcW w:w="745" w:type="pct"/>
            <w:hideMark/>
          </w:tcPr>
          <w:p w:rsidR="00672C3C" w:rsidRPr="00672C3C" w:rsidRDefault="00672C3C" w:rsidP="00672C3C">
            <w:pPr>
              <w:spacing w:line="325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-26,174</w:t>
            </w:r>
          </w:p>
        </w:tc>
      </w:tr>
      <w:tr w:rsidR="00C349BC" w:rsidRPr="00672C3C" w:rsidTr="00440C20">
        <w:trPr>
          <w:trHeight w:val="325"/>
        </w:trPr>
        <w:tc>
          <w:tcPr>
            <w:tcW w:w="440" w:type="pct"/>
            <w:hideMark/>
          </w:tcPr>
          <w:p w:rsidR="00440C20" w:rsidRPr="00672C3C" w:rsidRDefault="00440C20" w:rsidP="0032635C">
            <w:pPr>
              <w:spacing w:line="325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Arial"/>
                <w:b/>
                <w:bCs/>
                <w:kern w:val="24"/>
                <w:lang w:val="en-US" w:eastAsia="cs-CZ"/>
              </w:rPr>
              <w:t>2013</w:t>
            </w:r>
          </w:p>
        </w:tc>
        <w:tc>
          <w:tcPr>
            <w:tcW w:w="770" w:type="pct"/>
            <w:hideMark/>
          </w:tcPr>
          <w:p w:rsidR="00440C20" w:rsidRPr="00C349BC" w:rsidRDefault="0033701A" w:rsidP="0032635C">
            <w:pPr>
              <w:spacing w:line="325" w:lineRule="atLeast"/>
              <w:jc w:val="right"/>
              <w:rPr>
                <w:rFonts w:ascii="Calibri" w:eastAsia="Times New Roman" w:hAnsi="Calibri" w:cs="Arial"/>
                <w:kern w:val="24"/>
                <w:lang w:val="en-US" w:eastAsia="cs-CZ"/>
              </w:rPr>
            </w:pPr>
            <w:r>
              <w:rPr>
                <w:rFonts w:ascii="Calibri" w:eastAsia="Times New Roman" w:hAnsi="Calibri" w:cs="Arial"/>
                <w:kern w:val="24"/>
                <w:lang w:val="en-US" w:eastAsia="cs-CZ"/>
              </w:rPr>
              <w:t>332,597</w:t>
            </w:r>
          </w:p>
        </w:tc>
        <w:tc>
          <w:tcPr>
            <w:tcW w:w="446" w:type="pct"/>
            <w:hideMark/>
          </w:tcPr>
          <w:p w:rsidR="00440C20" w:rsidRPr="00C349BC" w:rsidRDefault="00440C20" w:rsidP="0032635C">
            <w:pPr>
              <w:spacing w:line="325" w:lineRule="atLeast"/>
              <w:rPr>
                <w:rFonts w:ascii="Calibri" w:eastAsia="Times New Roman" w:hAnsi="Calibri" w:cs="Arial"/>
                <w:kern w:val="24"/>
                <w:lang w:val="en-US"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 </w:t>
            </w:r>
            <w:r w:rsidR="0033701A">
              <w:rPr>
                <w:rFonts w:ascii="Calibri" w:eastAsia="Times New Roman" w:hAnsi="Calibri" w:cs="Arial"/>
                <w:kern w:val="24"/>
                <w:lang w:val="en-US" w:eastAsia="cs-CZ"/>
              </w:rPr>
              <w:t>15,837</w:t>
            </w:r>
          </w:p>
        </w:tc>
        <w:tc>
          <w:tcPr>
            <w:tcW w:w="997" w:type="pct"/>
            <w:hideMark/>
          </w:tcPr>
          <w:p w:rsidR="00440C20" w:rsidRPr="00C349BC" w:rsidRDefault="00440C20" w:rsidP="0033701A">
            <w:pPr>
              <w:spacing w:line="325" w:lineRule="atLeast"/>
              <w:jc w:val="right"/>
              <w:rPr>
                <w:rFonts w:ascii="Calibri" w:eastAsia="Times New Roman" w:hAnsi="Calibri" w:cs="Arial"/>
                <w:kern w:val="24"/>
                <w:lang w:val="en-US" w:eastAsia="cs-CZ"/>
              </w:rPr>
            </w:pPr>
            <w:r w:rsidRPr="00672C3C">
              <w:rPr>
                <w:rFonts w:ascii="Calibri" w:eastAsia="Times New Roman" w:hAnsi="Calibri" w:cs="Arial"/>
                <w:kern w:val="24"/>
                <w:lang w:val="en-US" w:eastAsia="cs-CZ"/>
              </w:rPr>
              <w:t> </w:t>
            </w:r>
            <w:r w:rsidR="0033701A">
              <w:rPr>
                <w:rFonts w:ascii="Calibri" w:eastAsia="Times New Roman" w:hAnsi="Calibri" w:cs="Arial"/>
                <w:kern w:val="24"/>
                <w:lang w:val="en-US" w:eastAsia="cs-CZ"/>
              </w:rPr>
              <w:t>10,000</w:t>
            </w:r>
          </w:p>
        </w:tc>
        <w:tc>
          <w:tcPr>
            <w:tcW w:w="839" w:type="pct"/>
            <w:hideMark/>
          </w:tcPr>
          <w:p w:rsidR="00440C20" w:rsidRPr="00C349BC" w:rsidRDefault="0033701A" w:rsidP="0032635C">
            <w:pPr>
              <w:spacing w:line="325" w:lineRule="atLeast"/>
              <w:jc w:val="right"/>
              <w:rPr>
                <w:rFonts w:ascii="Calibri" w:eastAsia="Times New Roman" w:hAnsi="Calibri" w:cs="Arial"/>
                <w:kern w:val="24"/>
                <w:lang w:val="en-US" w:eastAsia="cs-CZ"/>
              </w:rPr>
            </w:pPr>
            <w:r>
              <w:rPr>
                <w:rFonts w:ascii="Calibri" w:eastAsia="Times New Roman" w:hAnsi="Calibri" w:cs="Arial"/>
                <w:kern w:val="24"/>
                <w:lang w:val="en-US" w:eastAsia="cs-CZ"/>
              </w:rPr>
              <w:t>382,772</w:t>
            </w:r>
          </w:p>
        </w:tc>
        <w:tc>
          <w:tcPr>
            <w:tcW w:w="763" w:type="pct"/>
            <w:hideMark/>
          </w:tcPr>
          <w:p w:rsidR="00440C20" w:rsidRPr="00C349BC" w:rsidRDefault="0033701A" w:rsidP="00C349BC">
            <w:pPr>
              <w:spacing w:line="325" w:lineRule="atLeast"/>
              <w:jc w:val="right"/>
              <w:rPr>
                <w:rFonts w:ascii="Calibri" w:eastAsia="Times New Roman" w:hAnsi="Calibri" w:cs="Arial"/>
                <w:kern w:val="24"/>
                <w:lang w:val="en-US" w:eastAsia="cs-CZ"/>
              </w:rPr>
            </w:pPr>
            <w:r>
              <w:rPr>
                <w:rFonts w:ascii="Calibri" w:eastAsia="Times New Roman" w:hAnsi="Calibri" w:cs="Arial"/>
                <w:kern w:val="24"/>
                <w:lang w:val="en-US" w:eastAsia="cs-CZ"/>
              </w:rPr>
              <w:t>4,925</w:t>
            </w:r>
          </w:p>
        </w:tc>
        <w:tc>
          <w:tcPr>
            <w:tcW w:w="745" w:type="pct"/>
            <w:hideMark/>
          </w:tcPr>
          <w:p w:rsidR="00440C20" w:rsidRPr="00C349BC" w:rsidRDefault="0033701A" w:rsidP="0032635C">
            <w:pPr>
              <w:spacing w:line="325" w:lineRule="atLeast"/>
              <w:jc w:val="right"/>
              <w:rPr>
                <w:rFonts w:ascii="Calibri" w:eastAsia="Times New Roman" w:hAnsi="Calibri" w:cs="Arial"/>
                <w:kern w:val="24"/>
                <w:lang w:val="en-US" w:eastAsia="cs-CZ"/>
              </w:rPr>
            </w:pPr>
            <w:r>
              <w:rPr>
                <w:rFonts w:ascii="Calibri" w:eastAsia="Times New Roman" w:hAnsi="Calibri" w:cs="Arial"/>
                <w:kern w:val="24"/>
                <w:lang w:val="en-US" w:eastAsia="cs-CZ"/>
              </w:rPr>
              <w:t>-29,263</w:t>
            </w:r>
          </w:p>
        </w:tc>
      </w:tr>
      <w:tr w:rsidR="00C349BC" w:rsidRPr="00672C3C" w:rsidTr="00440C20">
        <w:trPr>
          <w:trHeight w:val="325"/>
        </w:trPr>
        <w:tc>
          <w:tcPr>
            <w:tcW w:w="440" w:type="pct"/>
            <w:hideMark/>
          </w:tcPr>
          <w:p w:rsidR="00440C20" w:rsidRPr="00672C3C" w:rsidRDefault="00440C20" w:rsidP="0032635C">
            <w:pPr>
              <w:spacing w:line="325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Arial"/>
                <w:b/>
                <w:bCs/>
                <w:kern w:val="24"/>
                <w:lang w:val="en-US" w:eastAsia="cs-CZ"/>
              </w:rPr>
              <w:t>2014</w:t>
            </w:r>
            <w:r w:rsidRPr="00672C3C">
              <w:rPr>
                <w:rFonts w:ascii="Calibri" w:eastAsia="Times New Roman" w:hAnsi="Calibri" w:cs="Arial"/>
                <w:b/>
                <w:bCs/>
                <w:kern w:val="24"/>
                <w:lang w:val="en-US" w:eastAsia="cs-CZ"/>
              </w:rPr>
              <w:t xml:space="preserve"> </w:t>
            </w:r>
          </w:p>
        </w:tc>
        <w:tc>
          <w:tcPr>
            <w:tcW w:w="770" w:type="pct"/>
            <w:hideMark/>
          </w:tcPr>
          <w:p w:rsidR="00440C20" w:rsidRPr="00C349BC" w:rsidRDefault="00C349BC" w:rsidP="0032635C">
            <w:pPr>
              <w:spacing w:line="325" w:lineRule="atLeast"/>
              <w:jc w:val="right"/>
              <w:rPr>
                <w:rFonts w:ascii="Calibri" w:eastAsia="Times New Roman" w:hAnsi="Calibri" w:cs="Arial"/>
                <w:kern w:val="24"/>
                <w:lang w:val="en-US" w:eastAsia="cs-CZ"/>
              </w:rPr>
            </w:pPr>
            <w:r w:rsidRPr="00C349BC">
              <w:rPr>
                <w:rFonts w:ascii="Calibri" w:eastAsia="Times New Roman" w:hAnsi="Calibri" w:cs="Arial"/>
                <w:kern w:val="24"/>
                <w:lang w:val="en-US" w:eastAsia="cs-CZ"/>
              </w:rPr>
              <w:t>342,076</w:t>
            </w:r>
          </w:p>
        </w:tc>
        <w:tc>
          <w:tcPr>
            <w:tcW w:w="446" w:type="pct"/>
            <w:hideMark/>
          </w:tcPr>
          <w:p w:rsidR="00440C20" w:rsidRPr="00C349BC" w:rsidRDefault="00C349BC" w:rsidP="0032635C">
            <w:pPr>
              <w:spacing w:line="325" w:lineRule="atLeast"/>
              <w:jc w:val="right"/>
              <w:rPr>
                <w:rFonts w:ascii="Calibri" w:eastAsia="Times New Roman" w:hAnsi="Calibri" w:cs="Arial"/>
                <w:kern w:val="24"/>
                <w:lang w:val="en-US" w:eastAsia="cs-CZ"/>
              </w:rPr>
            </w:pPr>
            <w:r w:rsidRPr="00C349BC">
              <w:rPr>
                <w:rFonts w:ascii="Calibri" w:eastAsia="Times New Roman" w:hAnsi="Calibri" w:cs="Arial"/>
                <w:kern w:val="24"/>
                <w:lang w:val="en-US" w:eastAsia="cs-CZ"/>
              </w:rPr>
              <w:t>16,577</w:t>
            </w:r>
          </w:p>
        </w:tc>
        <w:tc>
          <w:tcPr>
            <w:tcW w:w="997" w:type="pct"/>
            <w:hideMark/>
          </w:tcPr>
          <w:p w:rsidR="00440C20" w:rsidRPr="00C349BC" w:rsidRDefault="00C349BC" w:rsidP="0032635C">
            <w:pPr>
              <w:spacing w:line="325" w:lineRule="atLeast"/>
              <w:jc w:val="right"/>
              <w:rPr>
                <w:rFonts w:ascii="Calibri" w:eastAsia="Times New Roman" w:hAnsi="Calibri" w:cs="Arial"/>
                <w:kern w:val="24"/>
                <w:lang w:val="en-US" w:eastAsia="cs-CZ"/>
              </w:rPr>
            </w:pPr>
            <w:r w:rsidRPr="00C349BC">
              <w:rPr>
                <w:rFonts w:ascii="Calibri" w:eastAsia="Times New Roman" w:hAnsi="Calibri" w:cs="Arial"/>
                <w:kern w:val="24"/>
                <w:lang w:val="en-US" w:eastAsia="cs-CZ"/>
              </w:rPr>
              <w:t>10,300</w:t>
            </w:r>
          </w:p>
        </w:tc>
        <w:tc>
          <w:tcPr>
            <w:tcW w:w="839" w:type="pct"/>
            <w:hideMark/>
          </w:tcPr>
          <w:p w:rsidR="00440C20" w:rsidRPr="00C349BC" w:rsidRDefault="00C349BC" w:rsidP="0032635C">
            <w:pPr>
              <w:spacing w:line="325" w:lineRule="atLeast"/>
              <w:jc w:val="right"/>
              <w:rPr>
                <w:rFonts w:ascii="Calibri" w:eastAsia="Times New Roman" w:hAnsi="Calibri" w:cs="Arial"/>
                <w:kern w:val="24"/>
                <w:lang w:val="en-US" w:eastAsia="cs-CZ"/>
              </w:rPr>
            </w:pPr>
            <w:r w:rsidRPr="00C349BC">
              <w:rPr>
                <w:rFonts w:ascii="Calibri" w:eastAsia="Times New Roman" w:hAnsi="Calibri" w:cs="Arial"/>
                <w:kern w:val="24"/>
                <w:lang w:val="en-US" w:eastAsia="cs-CZ"/>
              </w:rPr>
              <w:t>385,844</w:t>
            </w:r>
          </w:p>
        </w:tc>
        <w:tc>
          <w:tcPr>
            <w:tcW w:w="763" w:type="pct"/>
            <w:hideMark/>
          </w:tcPr>
          <w:p w:rsidR="00440C20" w:rsidRPr="00C349BC" w:rsidRDefault="00C349BC" w:rsidP="0032635C">
            <w:pPr>
              <w:spacing w:line="325" w:lineRule="atLeast"/>
              <w:jc w:val="right"/>
              <w:rPr>
                <w:rFonts w:ascii="Calibri" w:eastAsia="Times New Roman" w:hAnsi="Calibri" w:cs="Arial"/>
                <w:kern w:val="24"/>
                <w:lang w:val="en-US" w:eastAsia="cs-CZ"/>
              </w:rPr>
            </w:pPr>
            <w:r w:rsidRPr="00C349BC">
              <w:rPr>
                <w:rFonts w:ascii="Calibri" w:eastAsia="Times New Roman" w:hAnsi="Calibri" w:cs="Arial"/>
                <w:kern w:val="24"/>
                <w:lang w:val="en-US" w:eastAsia="cs-CZ"/>
              </w:rPr>
              <w:t>5,101</w:t>
            </w:r>
          </w:p>
        </w:tc>
        <w:tc>
          <w:tcPr>
            <w:tcW w:w="745" w:type="pct"/>
            <w:hideMark/>
          </w:tcPr>
          <w:p w:rsidR="00440C20" w:rsidRPr="00C349BC" w:rsidRDefault="00C349BC" w:rsidP="0032635C">
            <w:pPr>
              <w:spacing w:line="325" w:lineRule="atLeast"/>
              <w:jc w:val="right"/>
              <w:rPr>
                <w:rFonts w:ascii="Calibri" w:eastAsia="Times New Roman" w:hAnsi="Calibri" w:cs="Arial"/>
                <w:kern w:val="24"/>
                <w:lang w:val="en-US" w:eastAsia="cs-CZ"/>
              </w:rPr>
            </w:pPr>
            <w:r w:rsidRPr="00C349BC">
              <w:rPr>
                <w:rFonts w:ascii="Calibri" w:eastAsia="Times New Roman" w:hAnsi="Calibri" w:cs="Arial"/>
                <w:kern w:val="24"/>
                <w:lang w:val="en-US" w:eastAsia="cs-CZ"/>
              </w:rPr>
              <w:t>-21,992</w:t>
            </w:r>
          </w:p>
        </w:tc>
      </w:tr>
    </w:tbl>
    <w:p w:rsidR="00672C3C" w:rsidRPr="00672C3C" w:rsidRDefault="00672C3C" w:rsidP="00672C3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Zdroj: </w:t>
      </w:r>
      <w:r w:rsidR="0033701A">
        <w:rPr>
          <w:rFonts w:ascii="Arial" w:hAnsi="Arial" w:cs="Arial"/>
        </w:rPr>
        <w:t xml:space="preserve">MF ČR (2014), </w:t>
      </w:r>
      <w:r w:rsidR="00C349BC">
        <w:rPr>
          <w:rFonts w:ascii="Arial" w:hAnsi="Arial" w:cs="Arial"/>
        </w:rPr>
        <w:t>MF ČR (2015)</w:t>
      </w:r>
    </w:p>
    <w:p w:rsidR="00672C3C" w:rsidRDefault="00672C3C" w:rsidP="00672C3C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Druhý pilíř DS je financován následovně (součet všech tří složek): </w:t>
      </w:r>
    </w:p>
    <w:p w:rsidR="00672C3C" w:rsidRDefault="00672C3C" w:rsidP="00672C3C">
      <w:pPr>
        <w:pStyle w:val="Odstavecseseznamem"/>
        <w:numPr>
          <w:ilvl w:val="1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819F0">
        <w:rPr>
          <w:rFonts w:ascii="Arial" w:hAnsi="Arial" w:cs="Arial"/>
          <w:sz w:val="24"/>
          <w:szCs w:val="24"/>
        </w:rPr>
        <w:t xml:space="preserve">3 % z hrubé </w:t>
      </w:r>
      <w:r>
        <w:rPr>
          <w:rFonts w:ascii="Arial" w:hAnsi="Arial" w:cs="Arial"/>
          <w:sz w:val="24"/>
          <w:szCs w:val="24"/>
        </w:rPr>
        <w:t>mzdy (vy</w:t>
      </w:r>
      <w:r w:rsidRPr="002819F0">
        <w:rPr>
          <w:rFonts w:ascii="Arial" w:hAnsi="Arial" w:cs="Arial"/>
          <w:sz w:val="24"/>
          <w:szCs w:val="24"/>
        </w:rPr>
        <w:t xml:space="preserve">vázání odvodů daného člověka z 1. pilíře)  </w:t>
      </w:r>
    </w:p>
    <w:p w:rsidR="00672C3C" w:rsidRDefault="00672C3C" w:rsidP="00672C3C">
      <w:pPr>
        <w:pStyle w:val="Odstavecseseznamem"/>
        <w:numPr>
          <w:ilvl w:val="1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819F0">
        <w:rPr>
          <w:rFonts w:ascii="Arial" w:hAnsi="Arial" w:cs="Arial"/>
          <w:sz w:val="24"/>
          <w:szCs w:val="24"/>
        </w:rPr>
        <w:lastRenderedPageBreak/>
        <w:t>2% z hrubé mzdy účastníka (navýšený odvod z hrubé mzdy)</w:t>
      </w:r>
    </w:p>
    <w:p w:rsidR="00672C3C" w:rsidRDefault="00672C3C" w:rsidP="00672C3C">
      <w:pPr>
        <w:pStyle w:val="Odstavecseseznamem"/>
        <w:numPr>
          <w:ilvl w:val="1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2819F0">
        <w:rPr>
          <w:rFonts w:ascii="Arial" w:hAnsi="Arial" w:cs="Arial"/>
          <w:sz w:val="24"/>
          <w:szCs w:val="24"/>
        </w:rPr>
        <w:t>hodnocení</w:t>
      </w:r>
      <w:r>
        <w:rPr>
          <w:rFonts w:ascii="Arial" w:hAnsi="Arial" w:cs="Arial"/>
          <w:sz w:val="24"/>
          <w:szCs w:val="24"/>
        </w:rPr>
        <w:t xml:space="preserve"> </w:t>
      </w:r>
      <w:r w:rsidRPr="002819F0">
        <w:rPr>
          <w:rFonts w:ascii="Arial" w:hAnsi="Arial" w:cs="Arial"/>
          <w:sz w:val="24"/>
          <w:szCs w:val="24"/>
        </w:rPr>
        <w:t>(dle investiční strategie a vývoje na finančních trzích)</w:t>
      </w:r>
    </w:p>
    <w:p w:rsidR="00672C3C" w:rsidRDefault="00672C3C" w:rsidP="00672C3C">
      <w:pPr>
        <w:pStyle w:val="Odstavecseseznamem"/>
        <w:numPr>
          <w:ilvl w:val="1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čem závisí výše důchodu, co ji ovlivňuje?</w:t>
      </w:r>
    </w:p>
    <w:p w:rsidR="004666B5" w:rsidRDefault="00672C3C" w:rsidP="00047D73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Třetí pilíř DS je detailněji představen v příslušném referátu</w:t>
      </w:r>
    </w:p>
    <w:p w:rsidR="00672C3C" w:rsidRPr="00672C3C" w:rsidRDefault="00672C3C" w:rsidP="00672C3C">
      <w:pPr>
        <w:spacing w:before="240"/>
        <w:ind w:left="360"/>
        <w:jc w:val="both"/>
        <w:rPr>
          <w:rFonts w:ascii="Arial" w:hAnsi="Arial" w:cs="Arial"/>
          <w:sz w:val="24"/>
          <w:szCs w:val="24"/>
        </w:rPr>
      </w:pPr>
    </w:p>
    <w:p w:rsidR="00047D73" w:rsidRPr="00672C3C" w:rsidRDefault="00C94C38" w:rsidP="00047D73">
      <w:pPr>
        <w:pStyle w:val="Odstavecseseznamem"/>
        <w:numPr>
          <w:ilvl w:val="0"/>
          <w:numId w:val="3"/>
        </w:numPr>
        <w:spacing w:before="240"/>
        <w:jc w:val="both"/>
        <w:rPr>
          <w:rFonts w:ascii="Arial" w:hAnsi="Arial" w:cs="Arial"/>
          <w:b/>
          <w:sz w:val="28"/>
          <w:szCs w:val="24"/>
        </w:rPr>
      </w:pPr>
      <w:r w:rsidRPr="00047D73">
        <w:rPr>
          <w:rFonts w:ascii="Arial" w:hAnsi="Arial" w:cs="Arial"/>
          <w:b/>
          <w:sz w:val="28"/>
          <w:szCs w:val="24"/>
        </w:rPr>
        <w:t>Výpočet dávky ze systému (starobní penze)</w:t>
      </w:r>
    </w:p>
    <w:p w:rsidR="00C94C38" w:rsidRPr="0056363E" w:rsidRDefault="00C94C38" w:rsidP="00C94C38">
      <w:pPr>
        <w:rPr>
          <w:b/>
        </w:rPr>
      </w:pPr>
      <w:r>
        <w:rPr>
          <w:b/>
        </w:rPr>
        <w:t>Zjednodušený vzorec pro výpočet důchodové dávky</w:t>
      </w:r>
    </w:p>
    <w:p w:rsidR="00C94C38" w:rsidRDefault="00C94C38" w:rsidP="00C94C38">
      <w:pPr>
        <w:tabs>
          <w:tab w:val="left" w:pos="8460"/>
        </w:tabs>
      </w:pPr>
      <w:r w:rsidRPr="00593247">
        <w:rPr>
          <w:position w:val="-10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.15pt" o:ole="">
            <v:imagedata r:id="rId10" o:title=""/>
          </v:shape>
          <o:OLEObject Type="Embed" ProgID="Equation.3" ShapeID="_x0000_i1025" DrawAspect="Content" ObjectID="_1506523438" r:id="rId11"/>
        </w:object>
      </w:r>
      <w:r>
        <w:tab/>
        <w:t>(1)</w:t>
      </w:r>
    </w:p>
    <w:p w:rsidR="00C94C38" w:rsidRDefault="00C94C38" w:rsidP="00C94C38">
      <w:pPr>
        <w:tabs>
          <w:tab w:val="left" w:pos="8460"/>
        </w:tabs>
      </w:pPr>
      <w:r w:rsidRPr="00A52002">
        <w:rPr>
          <w:position w:val="-10"/>
        </w:rPr>
        <w:object w:dxaOrig="2180" w:dyaOrig="360">
          <v:shape id="_x0000_i1026" type="#_x0000_t75" style="width:108.95pt;height:18.15pt" o:ole="">
            <v:imagedata r:id="rId12" o:title=""/>
          </v:shape>
          <o:OLEObject Type="Embed" ProgID="Equation.3" ShapeID="_x0000_i1026" DrawAspect="Content" ObjectID="_1506523439" r:id="rId13"/>
        </w:object>
      </w:r>
      <w:r>
        <w:tab/>
        <w:t>(2)</w:t>
      </w:r>
    </w:p>
    <w:p w:rsidR="00C94C38" w:rsidRDefault="00C94C38" w:rsidP="00C94C38">
      <w:pPr>
        <w:tabs>
          <w:tab w:val="left" w:pos="8460"/>
        </w:tabs>
      </w:pPr>
      <w:r w:rsidRPr="0056363E">
        <w:rPr>
          <w:position w:val="-12"/>
        </w:rPr>
        <w:object w:dxaOrig="7820" w:dyaOrig="380">
          <v:shape id="_x0000_i1027" type="#_x0000_t75" style="width:390.7pt;height:18.8pt" o:ole="">
            <v:imagedata r:id="rId14" o:title=""/>
          </v:shape>
          <o:OLEObject Type="Embed" ProgID="Equation.3" ShapeID="_x0000_i1027" DrawAspect="Content" ObjectID="_1506523440" r:id="rId15"/>
        </w:object>
      </w:r>
      <w:r>
        <w:tab/>
        <w:t>(3)</w:t>
      </w:r>
    </w:p>
    <w:bookmarkStart w:id="1" w:name="OLE_LINK13"/>
    <w:p w:rsidR="00C94C38" w:rsidRDefault="00C94C38" w:rsidP="00C94C38">
      <w:pPr>
        <w:tabs>
          <w:tab w:val="left" w:pos="8460"/>
        </w:tabs>
      </w:pPr>
      <w:r w:rsidRPr="00421480">
        <w:rPr>
          <w:position w:val="-6"/>
        </w:rPr>
        <w:object w:dxaOrig="1060" w:dyaOrig="320">
          <v:shape id="_x0000_i1028" type="#_x0000_t75" style="width:53.2pt;height:15.65pt" o:ole="">
            <v:imagedata r:id="rId16" o:title=""/>
          </v:shape>
          <o:OLEObject Type="Embed" ProgID="Equation.3" ShapeID="_x0000_i1028" DrawAspect="Content" ObjectID="_1506523441" r:id="rId17"/>
        </w:object>
      </w:r>
      <w:bookmarkEnd w:id="1"/>
      <w:r>
        <w:tab/>
        <w:t>(4)</w:t>
      </w:r>
    </w:p>
    <w:p w:rsidR="00047D73" w:rsidRPr="0056363E" w:rsidRDefault="00047D73" w:rsidP="00047D73">
      <w:pPr>
        <w:rPr>
          <w:b/>
        </w:rPr>
      </w:pPr>
      <w:r w:rsidRPr="0056363E">
        <w:rPr>
          <w:b/>
        </w:rPr>
        <w:t>Kde:</w:t>
      </w:r>
    </w:p>
    <w:p w:rsidR="00047D73" w:rsidRPr="00047D73" w:rsidRDefault="00047D73" w:rsidP="00047D73">
      <w:pPr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047D73">
        <w:rPr>
          <w:rFonts w:ascii="Arial" w:hAnsi="Arial" w:cs="Arial"/>
        </w:rPr>
        <w:t xml:space="preserve">Starobní důchod je roven základní výměře důchodu </w:t>
      </w:r>
      <w:r w:rsidRPr="00047D73">
        <w:rPr>
          <w:rFonts w:ascii="Arial" w:hAnsi="Arial" w:cs="Arial"/>
          <w:b/>
          <w:position w:val="-6"/>
          <w:highlight w:val="yellow"/>
        </w:rPr>
        <w:object w:dxaOrig="400" w:dyaOrig="260">
          <v:shape id="_x0000_i1029" type="#_x0000_t75" style="width:20.05pt;height:12.5pt" o:ole="">
            <v:imagedata r:id="rId18" o:title=""/>
          </v:shape>
          <o:OLEObject Type="Embed" ProgID="Equation.3" ShapeID="_x0000_i1029" DrawAspect="Content" ObjectID="_1506523442" r:id="rId19"/>
        </w:object>
      </w:r>
      <w:r w:rsidR="005040C8">
        <w:rPr>
          <w:rFonts w:ascii="Arial" w:hAnsi="Arial" w:cs="Arial"/>
        </w:rPr>
        <w:t xml:space="preserve"> (od </w:t>
      </w:r>
      <w:r w:rsidR="005040C8" w:rsidRPr="00CA3F56">
        <w:rPr>
          <w:rFonts w:ascii="Arial" w:hAnsi="Arial" w:cs="Arial"/>
          <w:color w:val="FF0000"/>
        </w:rPr>
        <w:t>1. 1. 201</w:t>
      </w:r>
      <w:r w:rsidR="00CA3F56" w:rsidRPr="00CA3F56">
        <w:rPr>
          <w:rFonts w:ascii="Arial" w:hAnsi="Arial" w:cs="Arial"/>
          <w:color w:val="FF0000"/>
        </w:rPr>
        <w:t>5</w:t>
      </w:r>
      <w:r w:rsidRPr="00CA3F56">
        <w:rPr>
          <w:rFonts w:ascii="Arial" w:hAnsi="Arial" w:cs="Arial"/>
          <w:color w:val="FF0000"/>
        </w:rPr>
        <w:t>: 2</w:t>
      </w:r>
      <w:r w:rsidR="00CA3F56" w:rsidRPr="00CA3F56">
        <w:rPr>
          <w:rFonts w:ascii="Arial" w:hAnsi="Arial" w:cs="Arial"/>
          <w:color w:val="FF0000"/>
        </w:rPr>
        <w:t>400</w:t>
      </w:r>
      <w:r w:rsidRPr="00CA3F56">
        <w:rPr>
          <w:rFonts w:ascii="Arial" w:hAnsi="Arial" w:cs="Arial"/>
          <w:color w:val="FF0000"/>
        </w:rPr>
        <w:t xml:space="preserve"> Kč</w:t>
      </w:r>
      <w:r w:rsidR="00C018AA" w:rsidRPr="00CA3F56">
        <w:rPr>
          <w:rFonts w:ascii="Arial" w:hAnsi="Arial" w:cs="Arial"/>
          <w:color w:val="FF0000"/>
        </w:rPr>
        <w:t xml:space="preserve"> </w:t>
      </w:r>
      <w:r w:rsidR="00C018AA">
        <w:rPr>
          <w:rFonts w:ascii="Arial" w:hAnsi="Arial" w:cs="Arial"/>
        </w:rPr>
        <w:t xml:space="preserve">= </w:t>
      </w:r>
      <w:r w:rsidR="00C018AA" w:rsidRPr="00C018AA">
        <w:rPr>
          <w:rFonts w:ascii="Arial" w:hAnsi="Arial" w:cs="Arial"/>
        </w:rPr>
        <w:t>9 % z průměrné mzdy v daném roce</w:t>
      </w:r>
      <w:r w:rsidRPr="00047D73">
        <w:rPr>
          <w:rFonts w:ascii="Arial" w:hAnsi="Arial" w:cs="Arial"/>
        </w:rPr>
        <w:t>) a procentní výmě</w:t>
      </w:r>
      <w:r>
        <w:rPr>
          <w:rFonts w:ascii="Arial" w:hAnsi="Arial" w:cs="Arial"/>
        </w:rPr>
        <w:t>ře</w:t>
      </w:r>
      <w:r w:rsidRPr="00047D73">
        <w:rPr>
          <w:rFonts w:ascii="Arial" w:hAnsi="Arial" w:cs="Arial"/>
        </w:rPr>
        <w:t xml:space="preserve"> důchodu </w:t>
      </w:r>
      <w:r w:rsidRPr="00047D73">
        <w:rPr>
          <w:rFonts w:ascii="Arial" w:hAnsi="Arial" w:cs="Arial"/>
          <w:highlight w:val="yellow"/>
        </w:rPr>
        <w:object w:dxaOrig="400" w:dyaOrig="300">
          <v:shape id="_x0000_i1030" type="#_x0000_t75" style="width:20.05pt;height:15.05pt" o:ole="">
            <v:imagedata r:id="rId20" o:title=""/>
          </v:shape>
          <o:OLEObject Type="Embed" ProgID="Equation.3" ShapeID="_x0000_i1030" DrawAspect="Content" ObjectID="_1506523443" r:id="rId21"/>
        </w:object>
      </w:r>
      <w:r w:rsidR="005040C8">
        <w:rPr>
          <w:rFonts w:ascii="Arial" w:hAnsi="Arial" w:cs="Arial"/>
        </w:rPr>
        <w:t xml:space="preserve"> (minimálně 770 Kč měsíčně).</w:t>
      </w:r>
      <w:r w:rsidRPr="00047D73">
        <w:rPr>
          <w:rFonts w:ascii="Arial" w:hAnsi="Arial" w:cs="Arial"/>
        </w:rPr>
        <w:t xml:space="preserve"> </w:t>
      </w:r>
    </w:p>
    <w:p w:rsidR="00047D73" w:rsidRPr="00047D73" w:rsidRDefault="00047D73" w:rsidP="00047D73">
      <w:pPr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047D73">
        <w:rPr>
          <w:rFonts w:ascii="Arial" w:hAnsi="Arial" w:cs="Arial"/>
        </w:rPr>
        <w:t xml:space="preserve">Procentní výměra důchodů záleží na (1) výpočtový základ </w:t>
      </w:r>
      <w:r w:rsidRPr="00047D73">
        <w:rPr>
          <w:rFonts w:ascii="Arial" w:hAnsi="Arial" w:cs="Arial"/>
          <w:highlight w:val="yellow"/>
        </w:rPr>
        <w:object w:dxaOrig="279" w:dyaOrig="200">
          <v:shape id="_x0000_i1031" type="#_x0000_t75" style="width:14.4pt;height:10pt" o:ole="">
            <v:imagedata r:id="rId22" o:title=""/>
          </v:shape>
          <o:OLEObject Type="Embed" ProgID="Equation.3" ShapeID="_x0000_i1031" DrawAspect="Content" ObjectID="_1506523444" r:id="rId23"/>
        </w:object>
      </w:r>
      <w:r w:rsidRPr="00047D73">
        <w:rPr>
          <w:rFonts w:ascii="Arial" w:hAnsi="Arial" w:cs="Arial"/>
        </w:rPr>
        <w:t>, délce doby pojištění (</w:t>
      </w:r>
      <w:r w:rsidRPr="00047D73">
        <w:rPr>
          <w:rFonts w:ascii="Arial" w:hAnsi="Arial" w:cs="Arial"/>
          <w:b/>
        </w:rPr>
        <w:t>budeme předpokládat 40 let</w:t>
      </w:r>
      <w:r w:rsidRPr="00047D73">
        <w:rPr>
          <w:rFonts w:ascii="Arial" w:hAnsi="Arial" w:cs="Arial"/>
        </w:rPr>
        <w:t>) a procent</w:t>
      </w:r>
      <w:r>
        <w:rPr>
          <w:rFonts w:ascii="Arial" w:hAnsi="Arial" w:cs="Arial"/>
        </w:rPr>
        <w:t>u</w:t>
      </w:r>
      <w:r w:rsidRPr="00047D73">
        <w:rPr>
          <w:rFonts w:ascii="Arial" w:hAnsi="Arial" w:cs="Arial"/>
        </w:rPr>
        <w:t xml:space="preserve"> za každý rok pojištění (od 1996: </w:t>
      </w:r>
      <w:r w:rsidRPr="00047D73">
        <w:rPr>
          <w:rFonts w:ascii="Arial" w:hAnsi="Arial" w:cs="Arial"/>
          <w:highlight w:val="yellow"/>
        </w:rPr>
        <w:t>1,5 %</w:t>
      </w:r>
      <w:r w:rsidRPr="00047D73">
        <w:rPr>
          <w:rFonts w:ascii="Arial" w:hAnsi="Arial" w:cs="Arial"/>
        </w:rPr>
        <w:t>)</w:t>
      </w:r>
      <w:r w:rsidR="00912844">
        <w:rPr>
          <w:rFonts w:ascii="Arial" w:hAnsi="Arial" w:cs="Arial"/>
        </w:rPr>
        <w:t xml:space="preserve">, pokud se účastní druhého pilíře, tak po dobu účasti je procento pouze </w:t>
      </w:r>
      <w:r w:rsidR="00912844" w:rsidRPr="00912844">
        <w:rPr>
          <w:rFonts w:ascii="Arial" w:hAnsi="Arial" w:cs="Arial"/>
          <w:highlight w:val="yellow"/>
        </w:rPr>
        <w:t>1,2%</w:t>
      </w:r>
      <w:r w:rsidRPr="00047D73">
        <w:rPr>
          <w:rFonts w:ascii="Arial" w:hAnsi="Arial" w:cs="Arial"/>
        </w:rPr>
        <w:t xml:space="preserve">. </w:t>
      </w:r>
    </w:p>
    <w:p w:rsidR="00047D73" w:rsidRPr="00047D73" w:rsidRDefault="00047D73" w:rsidP="00047D73">
      <w:pPr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047D73">
        <w:rPr>
          <w:rFonts w:ascii="Arial" w:hAnsi="Arial" w:cs="Arial"/>
        </w:rPr>
        <w:t xml:space="preserve">pro zjištění výpočtového základu </w:t>
      </w:r>
      <w:r>
        <w:rPr>
          <w:rFonts w:ascii="Arial" w:hAnsi="Arial" w:cs="Arial"/>
        </w:rPr>
        <w:t>(</w:t>
      </w:r>
      <w:r w:rsidRPr="00047D73">
        <w:rPr>
          <w:rFonts w:ascii="Arial" w:hAnsi="Arial" w:cs="Arial"/>
          <w:highlight w:val="yellow"/>
        </w:rPr>
        <w:object w:dxaOrig="279" w:dyaOrig="200">
          <v:shape id="_x0000_i1032" type="#_x0000_t75" style="width:14.4pt;height:10pt" o:ole="">
            <v:imagedata r:id="rId22" o:title=""/>
          </v:shape>
          <o:OLEObject Type="Embed" ProgID="Equation.3" ShapeID="_x0000_i1032" DrawAspect="Content" ObjectID="_1506523445" r:id="rId24"/>
        </w:object>
      </w:r>
      <w:r>
        <w:rPr>
          <w:rFonts w:ascii="Arial" w:hAnsi="Arial" w:cs="Arial"/>
        </w:rPr>
        <w:t>)</w:t>
      </w:r>
      <w:r w:rsidRPr="00047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Pr="00047D73">
        <w:rPr>
          <w:rFonts w:ascii="Arial" w:hAnsi="Arial" w:cs="Arial"/>
        </w:rPr>
        <w:t xml:space="preserve">osobní vyměřovací základ </w:t>
      </w:r>
      <w:r w:rsidRPr="00047D73">
        <w:rPr>
          <w:rFonts w:ascii="Arial" w:hAnsi="Arial" w:cs="Arial"/>
          <w:highlight w:val="yellow"/>
        </w:rPr>
        <w:object w:dxaOrig="400" w:dyaOrig="220">
          <v:shape id="_x0000_i1033" type="#_x0000_t75" style="width:20.05pt;height:11.25pt" o:ole="">
            <v:imagedata r:id="rId25" o:title=""/>
          </v:shape>
          <o:OLEObject Type="Embed" ProgID="Equation.3" ShapeID="_x0000_i1033" DrawAspect="Content" ObjectID="_1506523446" r:id="rId26"/>
        </w:object>
      </w:r>
      <w:r w:rsidRPr="00047D73">
        <w:rPr>
          <w:rFonts w:ascii="Arial" w:hAnsi="Arial" w:cs="Arial"/>
        </w:rPr>
        <w:t xml:space="preserve"> upraven příslušnými redukčními parametry – první a druhou redukční hranicí </w:t>
      </w:r>
      <w:r w:rsidR="00CA3F56" w:rsidRPr="00CA3F56">
        <w:rPr>
          <w:rFonts w:ascii="Arial" w:hAnsi="Arial" w:cs="Arial"/>
          <w:position w:val="-10"/>
          <w:highlight w:val="yellow"/>
        </w:rPr>
        <w:object w:dxaOrig="720" w:dyaOrig="340">
          <v:shape id="_x0000_i1034" type="#_x0000_t75" style="width:36.3pt;height:16.9pt" o:ole="">
            <v:imagedata r:id="rId27" o:title=""/>
          </v:shape>
          <o:OLEObject Type="Embed" ProgID="Equation.3" ShapeID="_x0000_i1034" DrawAspect="Content" ObjectID="_1506523447" r:id="rId28"/>
        </w:object>
      </w:r>
      <w:r w:rsidRPr="00047D73">
        <w:rPr>
          <w:rFonts w:ascii="Arial" w:hAnsi="Arial" w:cs="Arial"/>
        </w:rPr>
        <w:t xml:space="preserve"> (</w:t>
      </w:r>
      <w:r w:rsidR="00CA3F56">
        <w:rPr>
          <w:rFonts w:ascii="Arial" w:hAnsi="Arial" w:cs="Arial"/>
          <w:color w:val="FF0000"/>
        </w:rPr>
        <w:t>2015: 11 709 Kč; 106 444 Kč</w:t>
      </w:r>
      <w:r w:rsidRPr="00047D73">
        <w:rPr>
          <w:rFonts w:ascii="Arial" w:hAnsi="Arial" w:cs="Arial"/>
        </w:rPr>
        <w:t xml:space="preserve">) a výší zápočtu těchto redukčních hranic </w:t>
      </w:r>
      <w:r w:rsidR="00CA3F56" w:rsidRPr="00047D73">
        <w:rPr>
          <w:rFonts w:ascii="Arial" w:hAnsi="Arial" w:cs="Arial"/>
          <w:position w:val="-12"/>
          <w:highlight w:val="yellow"/>
        </w:rPr>
        <w:object w:dxaOrig="999" w:dyaOrig="360">
          <v:shape id="_x0000_i1035" type="#_x0000_t75" style="width:50.1pt;height:18.15pt" o:ole="">
            <v:imagedata r:id="rId29" o:title=""/>
          </v:shape>
          <o:OLEObject Type="Embed" ProgID="Equation.3" ShapeID="_x0000_i1035" DrawAspect="Content" ObjectID="_1506523448" r:id="rId30"/>
        </w:object>
      </w:r>
      <w:r w:rsidR="00CA3F56">
        <w:rPr>
          <w:rFonts w:ascii="Arial" w:hAnsi="Arial" w:cs="Arial"/>
        </w:rPr>
        <w:t xml:space="preserve"> (</w:t>
      </w:r>
      <w:r w:rsidR="00CA3F56" w:rsidRPr="00CA3F56">
        <w:rPr>
          <w:rFonts w:ascii="Arial" w:hAnsi="Arial" w:cs="Arial"/>
          <w:color w:val="FF0000"/>
        </w:rPr>
        <w:t>2015</w:t>
      </w:r>
      <w:r w:rsidRPr="00CA3F56">
        <w:rPr>
          <w:rFonts w:ascii="Arial" w:hAnsi="Arial" w:cs="Arial"/>
          <w:color w:val="FF0000"/>
        </w:rPr>
        <w:t xml:space="preserve">: 100 %, </w:t>
      </w:r>
      <w:r w:rsidR="00CA3F56" w:rsidRPr="00CA3F56">
        <w:rPr>
          <w:rFonts w:ascii="Arial" w:hAnsi="Arial" w:cs="Arial"/>
          <w:color w:val="FF0000"/>
        </w:rPr>
        <w:t>26</w:t>
      </w:r>
      <w:r w:rsidRPr="00CA3F56">
        <w:rPr>
          <w:rFonts w:ascii="Arial" w:hAnsi="Arial" w:cs="Arial"/>
          <w:color w:val="FF0000"/>
        </w:rPr>
        <w:t xml:space="preserve"> %, </w:t>
      </w:r>
      <w:r w:rsidR="00CA3F56" w:rsidRPr="00CA3F56">
        <w:rPr>
          <w:rFonts w:ascii="Arial" w:hAnsi="Arial" w:cs="Arial"/>
          <w:color w:val="FF0000"/>
        </w:rPr>
        <w:t>0</w:t>
      </w:r>
      <w:r w:rsidRPr="00CA3F56">
        <w:rPr>
          <w:rFonts w:ascii="Arial" w:hAnsi="Arial" w:cs="Arial"/>
          <w:color w:val="FF0000"/>
        </w:rPr>
        <w:t xml:space="preserve"> %</w:t>
      </w:r>
      <w:r w:rsidRPr="00012E71">
        <w:rPr>
          <w:rFonts w:ascii="Arial" w:hAnsi="Arial" w:cs="Arial"/>
        </w:rPr>
        <w:t>).</w:t>
      </w:r>
      <w:r w:rsidRPr="00CA3F56">
        <w:rPr>
          <w:rFonts w:ascii="Arial" w:hAnsi="Arial" w:cs="Arial"/>
          <w:color w:val="FF0000"/>
        </w:rPr>
        <w:t xml:space="preserve"> </w:t>
      </w:r>
      <w:r w:rsidRPr="000B6D1E">
        <w:rPr>
          <w:rFonts w:ascii="Arial" w:hAnsi="Arial" w:cs="Arial"/>
          <w:b/>
        </w:rPr>
        <w:t xml:space="preserve">Protože reformou z roku 2011 se tyto </w:t>
      </w:r>
      <w:r w:rsidR="000B6D1E" w:rsidRPr="000B6D1E">
        <w:rPr>
          <w:rFonts w:ascii="Arial" w:hAnsi="Arial" w:cs="Arial"/>
          <w:b/>
        </w:rPr>
        <w:t xml:space="preserve">redukční </w:t>
      </w:r>
      <w:r w:rsidRPr="000B6D1E">
        <w:rPr>
          <w:rFonts w:ascii="Arial" w:hAnsi="Arial" w:cs="Arial"/>
          <w:b/>
        </w:rPr>
        <w:t>hranice</w:t>
      </w:r>
      <w:r w:rsidR="000B6D1E" w:rsidRPr="000B6D1E">
        <w:rPr>
          <w:rFonts w:ascii="Arial" w:hAnsi="Arial" w:cs="Arial"/>
          <w:b/>
        </w:rPr>
        <w:t xml:space="preserve"> a výše zápočtu plynule mění </w:t>
      </w:r>
      <w:r w:rsidR="000B6D1E">
        <w:rPr>
          <w:rFonts w:ascii="Arial" w:hAnsi="Arial" w:cs="Arial"/>
          <w:b/>
        </w:rPr>
        <w:t xml:space="preserve">až </w:t>
      </w:r>
      <w:r w:rsidR="000B6D1E" w:rsidRPr="000B6D1E">
        <w:rPr>
          <w:rFonts w:ascii="Arial" w:hAnsi="Arial" w:cs="Arial"/>
          <w:b/>
        </w:rPr>
        <w:t>do roku 2015, budeme předpokládat, jako b</w:t>
      </w:r>
      <w:r w:rsidR="003F076B">
        <w:rPr>
          <w:rFonts w:ascii="Arial" w:hAnsi="Arial" w:cs="Arial"/>
          <w:b/>
        </w:rPr>
        <w:t xml:space="preserve">y již dnes platil stav </w:t>
      </w:r>
      <w:r w:rsidR="003F076B" w:rsidRPr="003F076B">
        <w:rPr>
          <w:rFonts w:ascii="Arial" w:hAnsi="Arial" w:cs="Arial"/>
          <w:b/>
          <w:color w:val="000000" w:themeColor="text1"/>
        </w:rPr>
        <w:t>roku s</w:t>
      </w:r>
      <w:r w:rsidR="003F076B">
        <w:rPr>
          <w:rFonts w:ascii="Arial" w:hAnsi="Arial" w:cs="Arial"/>
          <w:b/>
          <w:color w:val="000000" w:themeColor="text1"/>
        </w:rPr>
        <w:t> redukčními hranicemi</w:t>
      </w:r>
      <w:r w:rsidR="000B6D1E" w:rsidRPr="003F076B">
        <w:rPr>
          <w:rFonts w:ascii="Arial" w:hAnsi="Arial" w:cs="Arial"/>
          <w:b/>
          <w:color w:val="000000" w:themeColor="text1"/>
        </w:rPr>
        <w:t xml:space="preserve"> </w:t>
      </w:r>
      <w:r w:rsidR="003F076B" w:rsidRPr="003F076B">
        <w:rPr>
          <w:rFonts w:ascii="Arial" w:hAnsi="Arial" w:cs="Arial"/>
          <w:b/>
          <w:position w:val="-10"/>
          <w:highlight w:val="yellow"/>
        </w:rPr>
        <w:object w:dxaOrig="720" w:dyaOrig="340">
          <v:shape id="_x0000_i1036" type="#_x0000_t75" style="width:35.7pt;height:16.9pt" o:ole="">
            <v:imagedata r:id="rId31" o:title=""/>
          </v:shape>
          <o:OLEObject Type="Embed" ProgID="Equation.3" ShapeID="_x0000_i1036" DrawAspect="Content" ObjectID="_1506523449" r:id="rId32"/>
        </w:object>
      </w:r>
      <w:r w:rsidR="000B6D1E" w:rsidRPr="000B6D1E">
        <w:rPr>
          <w:rFonts w:ascii="Arial" w:hAnsi="Arial" w:cs="Arial"/>
          <w:b/>
        </w:rPr>
        <w:t xml:space="preserve"> (11 000 Kč, 100 000 Kč) a výší zápočtu těchto redukčních hranic </w:t>
      </w:r>
      <w:r w:rsidR="003F076B" w:rsidRPr="003F076B">
        <w:rPr>
          <w:rFonts w:ascii="Arial" w:hAnsi="Arial" w:cs="Arial"/>
          <w:b/>
          <w:position w:val="-12"/>
          <w:highlight w:val="yellow"/>
        </w:rPr>
        <w:object w:dxaOrig="999" w:dyaOrig="360">
          <v:shape id="_x0000_i1037" type="#_x0000_t75" style="width:49.45pt;height:18.15pt" o:ole="">
            <v:imagedata r:id="rId33" o:title=""/>
          </v:shape>
          <o:OLEObject Type="Embed" ProgID="Equation.3" ShapeID="_x0000_i1037" DrawAspect="Content" ObjectID="_1506523450" r:id="rId34"/>
        </w:object>
      </w:r>
      <w:r w:rsidR="000B6D1E" w:rsidRPr="000B6D1E">
        <w:rPr>
          <w:rFonts w:ascii="Arial" w:hAnsi="Arial" w:cs="Arial"/>
          <w:b/>
        </w:rPr>
        <w:t xml:space="preserve"> (100 %, 26 %, 0 %).</w:t>
      </w:r>
    </w:p>
    <w:p w:rsidR="00047D73" w:rsidRPr="00047D73" w:rsidRDefault="00047D73" w:rsidP="00047D73">
      <w:pPr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047D73">
        <w:rPr>
          <w:rFonts w:ascii="Arial" w:hAnsi="Arial" w:cs="Arial"/>
          <w:highlight w:val="yellow"/>
        </w:rPr>
        <w:object w:dxaOrig="400" w:dyaOrig="220">
          <v:shape id="_x0000_i1038" type="#_x0000_t75" style="width:20.05pt;height:11.25pt" o:ole="">
            <v:imagedata r:id="rId25" o:title=""/>
          </v:shape>
          <o:OLEObject Type="Embed" ProgID="Equation.3" ShapeID="_x0000_i1038" DrawAspect="Content" ObjectID="_1506523451" r:id="rId35"/>
        </w:object>
      </w:r>
      <w:r w:rsidRPr="00047D73">
        <w:rPr>
          <w:rFonts w:ascii="Arial" w:hAnsi="Arial" w:cs="Arial"/>
        </w:rPr>
        <w:t xml:space="preserve"> </w:t>
      </w:r>
      <w:proofErr w:type="gramStart"/>
      <w:r w:rsidRPr="00047D73">
        <w:rPr>
          <w:rFonts w:ascii="Arial" w:hAnsi="Arial" w:cs="Arial"/>
        </w:rPr>
        <w:t>se určí</w:t>
      </w:r>
      <w:proofErr w:type="gramEnd"/>
      <w:r w:rsidRPr="00047D73">
        <w:rPr>
          <w:rFonts w:ascii="Arial" w:hAnsi="Arial" w:cs="Arial"/>
        </w:rPr>
        <w:t xml:space="preserve"> jako „průměr“ ročních vyměřovacích základů </w:t>
      </w:r>
      <w:r w:rsidRPr="00047D73">
        <w:rPr>
          <w:rFonts w:ascii="Arial" w:hAnsi="Arial" w:cs="Arial"/>
          <w:highlight w:val="yellow"/>
        </w:rPr>
        <w:object w:dxaOrig="580" w:dyaOrig="320">
          <v:shape id="_x0000_i1039" type="#_x0000_t75" style="width:29.45pt;height:15.65pt" o:ole="">
            <v:imagedata r:id="rId36" o:title=""/>
          </v:shape>
          <o:OLEObject Type="Embed" ProgID="Equation.3" ShapeID="_x0000_i1039" DrawAspect="Content" ObjectID="_1506523452" r:id="rId37"/>
        </w:object>
      </w:r>
      <w:r w:rsidRPr="00047D73">
        <w:rPr>
          <w:rFonts w:ascii="Arial" w:hAnsi="Arial" w:cs="Arial"/>
        </w:rPr>
        <w:t xml:space="preserve"> za celý život (nejdříve však od roku 1986), kde historické </w:t>
      </w:r>
      <w:r w:rsidRPr="00047D73">
        <w:rPr>
          <w:rFonts w:ascii="Arial" w:hAnsi="Arial" w:cs="Arial"/>
          <w:highlight w:val="yellow"/>
        </w:rPr>
        <w:object w:dxaOrig="580" w:dyaOrig="320">
          <v:shape id="_x0000_i1040" type="#_x0000_t75" style="width:29.45pt;height:15.65pt" o:ole="">
            <v:imagedata r:id="rId36" o:title=""/>
          </v:shape>
          <o:OLEObject Type="Embed" ProgID="Equation.3" ShapeID="_x0000_i1040" DrawAspect="Content" ObjectID="_1506523453" r:id="rId38"/>
        </w:object>
      </w:r>
      <w:r w:rsidRPr="00047D73">
        <w:rPr>
          <w:rFonts w:ascii="Arial" w:hAnsi="Arial" w:cs="Arial"/>
        </w:rPr>
        <w:t xml:space="preserve"> jsou indexovány. Roční </w:t>
      </w:r>
      <w:r w:rsidRPr="00047D73">
        <w:rPr>
          <w:rFonts w:ascii="Arial" w:hAnsi="Arial" w:cs="Arial"/>
          <w:highlight w:val="yellow"/>
        </w:rPr>
        <w:object w:dxaOrig="400" w:dyaOrig="220">
          <v:shape id="_x0000_i1041" type="#_x0000_t75" style="width:20.05pt;height:11.25pt" o:ole="">
            <v:imagedata r:id="rId25" o:title=""/>
          </v:shape>
          <o:OLEObject Type="Embed" ProgID="Equation.3" ShapeID="_x0000_i1041" DrawAspect="Content" ObjectID="_1506523454" r:id="rId39"/>
        </w:object>
      </w:r>
      <w:r w:rsidRPr="00047D73">
        <w:rPr>
          <w:rFonts w:ascii="Arial" w:hAnsi="Arial" w:cs="Arial"/>
        </w:rPr>
        <w:t xml:space="preserve"> je upraven</w:t>
      </w:r>
      <w:r>
        <w:rPr>
          <w:rFonts w:ascii="Arial" w:hAnsi="Arial" w:cs="Arial"/>
        </w:rPr>
        <w:t xml:space="preserve"> na měsíční, </w:t>
      </w:r>
      <w:r w:rsidRPr="000B6D1E">
        <w:rPr>
          <w:rFonts w:ascii="Arial" w:hAnsi="Arial" w:cs="Arial"/>
          <w:b/>
        </w:rPr>
        <w:t xml:space="preserve">pro zjednodušení budeme předpokládat, že </w:t>
      </w:r>
      <w:r w:rsidRPr="000B6D1E">
        <w:rPr>
          <w:rFonts w:ascii="Arial" w:hAnsi="Arial" w:cs="Arial"/>
          <w:b/>
          <w:highlight w:val="yellow"/>
        </w:rPr>
        <w:object w:dxaOrig="400" w:dyaOrig="220">
          <v:shape id="_x0000_i1042" type="#_x0000_t75" style="width:20.05pt;height:11.25pt" o:ole="">
            <v:imagedata r:id="rId25" o:title=""/>
          </v:shape>
          <o:OLEObject Type="Embed" ProgID="Equation.3" ShapeID="_x0000_i1042" DrawAspect="Content" ObjectID="_1506523455" r:id="rId40"/>
        </w:object>
      </w:r>
      <w:r w:rsidRPr="000B6D1E">
        <w:rPr>
          <w:rFonts w:ascii="Arial" w:hAnsi="Arial" w:cs="Arial"/>
          <w:b/>
        </w:rPr>
        <w:t xml:space="preserve"> je roven poslední mzdě</w:t>
      </w:r>
      <w:r>
        <w:rPr>
          <w:rFonts w:ascii="Arial" w:hAnsi="Arial" w:cs="Arial"/>
        </w:rPr>
        <w:t>.</w:t>
      </w:r>
    </w:p>
    <w:p w:rsidR="00047D73" w:rsidRDefault="00047D73" w:rsidP="00C94C38">
      <w:pPr>
        <w:rPr>
          <w:b/>
        </w:rPr>
      </w:pPr>
    </w:p>
    <w:p w:rsidR="00047D73" w:rsidRPr="000B6D1E" w:rsidRDefault="000B6D1E" w:rsidP="000B6D1E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0B6D1E">
        <w:rPr>
          <w:rFonts w:ascii="Arial" w:hAnsi="Arial" w:cs="Arial"/>
          <w:sz w:val="24"/>
          <w:szCs w:val="24"/>
        </w:rPr>
        <w:t>Vypočítejte výši důchodu za výše uvedených předpokladů pro následující mzdy</w:t>
      </w:r>
      <w:r w:rsidR="00E81C83">
        <w:rPr>
          <w:rFonts w:ascii="Arial" w:hAnsi="Arial" w:cs="Arial"/>
          <w:sz w:val="24"/>
          <w:szCs w:val="24"/>
        </w:rPr>
        <w:t xml:space="preserve"> na modelových příkladech</w:t>
      </w:r>
      <w:r w:rsidRPr="000B6D1E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7654"/>
      </w:tblGrid>
      <w:tr w:rsidR="000B6D1E" w:rsidTr="000B6D1E">
        <w:tc>
          <w:tcPr>
            <w:tcW w:w="1423" w:type="dxa"/>
            <w:shd w:val="clear" w:color="auto" w:fill="auto"/>
            <w:tcMar>
              <w:left w:w="0" w:type="dxa"/>
              <w:right w:w="0" w:type="dxa"/>
            </w:tcMar>
          </w:tcPr>
          <w:p w:rsidR="000B6D1E" w:rsidRPr="004E2542" w:rsidRDefault="000B6D1E" w:rsidP="00E91A7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Mzda</w:t>
            </w:r>
          </w:p>
        </w:tc>
        <w:tc>
          <w:tcPr>
            <w:tcW w:w="7654" w:type="dxa"/>
            <w:shd w:val="clear" w:color="auto" w:fill="auto"/>
            <w:tcMar>
              <w:left w:w="0" w:type="dxa"/>
              <w:right w:w="0" w:type="dxa"/>
            </w:tcMar>
          </w:tcPr>
          <w:p w:rsidR="000B6D1E" w:rsidRPr="004E2542" w:rsidRDefault="000B6D1E" w:rsidP="000B6D1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Měsíční důchod v Kč</w:t>
            </w:r>
          </w:p>
        </w:tc>
      </w:tr>
      <w:tr w:rsidR="000B6D1E" w:rsidTr="000B6D1E">
        <w:tc>
          <w:tcPr>
            <w:tcW w:w="1423" w:type="dxa"/>
            <w:shd w:val="clear" w:color="auto" w:fill="auto"/>
            <w:tcMar>
              <w:left w:w="0" w:type="dxa"/>
              <w:right w:w="0" w:type="dxa"/>
            </w:tcMar>
          </w:tcPr>
          <w:p w:rsidR="000B6D1E" w:rsidRPr="004E2542" w:rsidRDefault="000B6D1E" w:rsidP="00E91A70">
            <w:pPr>
              <w:spacing w:after="0"/>
              <w:jc w:val="center"/>
              <w:rPr>
                <w:sz w:val="20"/>
                <w:szCs w:val="20"/>
              </w:rPr>
            </w:pPr>
            <w:r w:rsidRPr="004E2542">
              <w:rPr>
                <w:sz w:val="20"/>
                <w:szCs w:val="20"/>
              </w:rPr>
              <w:t>8 000 Kč</w:t>
            </w:r>
          </w:p>
        </w:tc>
        <w:tc>
          <w:tcPr>
            <w:tcW w:w="7654" w:type="dxa"/>
            <w:shd w:val="clear" w:color="auto" w:fill="auto"/>
            <w:tcMar>
              <w:left w:w="0" w:type="dxa"/>
              <w:right w:w="0" w:type="dxa"/>
            </w:tcMar>
          </w:tcPr>
          <w:p w:rsidR="000B6D1E" w:rsidRPr="004E2542" w:rsidRDefault="000B6D1E" w:rsidP="003F07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D=2</w:t>
            </w:r>
            <w:r w:rsidR="003F076B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+40*1,5%*(</w:t>
            </w:r>
            <w:proofErr w:type="gramStart"/>
            <w:r>
              <w:rPr>
                <w:sz w:val="20"/>
                <w:szCs w:val="20"/>
              </w:rPr>
              <w:t>8000)=</w:t>
            </w:r>
            <w:r w:rsidR="00366D1E">
              <w:rPr>
                <w:sz w:val="20"/>
                <w:szCs w:val="20"/>
              </w:rPr>
              <w:t xml:space="preserve"> </w:t>
            </w:r>
            <w:r w:rsidR="00DF1489">
              <w:rPr>
                <w:sz w:val="20"/>
                <w:szCs w:val="20"/>
              </w:rPr>
              <w:t>?</w:t>
            </w:r>
            <w:proofErr w:type="gramEnd"/>
          </w:p>
        </w:tc>
      </w:tr>
      <w:tr w:rsidR="000B6D1E" w:rsidTr="000B6D1E">
        <w:tc>
          <w:tcPr>
            <w:tcW w:w="1423" w:type="dxa"/>
            <w:shd w:val="clear" w:color="auto" w:fill="auto"/>
            <w:tcMar>
              <w:left w:w="0" w:type="dxa"/>
              <w:right w:w="0" w:type="dxa"/>
            </w:tcMar>
          </w:tcPr>
          <w:p w:rsidR="000B6D1E" w:rsidRPr="004E2542" w:rsidRDefault="000B6D1E" w:rsidP="00E91A70">
            <w:pPr>
              <w:spacing w:after="0"/>
              <w:jc w:val="center"/>
              <w:rPr>
                <w:sz w:val="20"/>
                <w:szCs w:val="20"/>
              </w:rPr>
            </w:pPr>
            <w:r w:rsidRPr="004E2542">
              <w:rPr>
                <w:sz w:val="20"/>
                <w:szCs w:val="20"/>
              </w:rPr>
              <w:t>9 000 Kč</w:t>
            </w:r>
          </w:p>
        </w:tc>
        <w:tc>
          <w:tcPr>
            <w:tcW w:w="7654" w:type="dxa"/>
            <w:shd w:val="clear" w:color="auto" w:fill="auto"/>
            <w:tcMar>
              <w:left w:w="0" w:type="dxa"/>
              <w:right w:w="0" w:type="dxa"/>
            </w:tcMar>
          </w:tcPr>
          <w:p w:rsidR="000B6D1E" w:rsidRPr="004E2542" w:rsidRDefault="000B6D1E" w:rsidP="003F07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D=</w:t>
            </w:r>
            <w:r w:rsidR="00DF1489">
              <w:rPr>
                <w:sz w:val="20"/>
                <w:szCs w:val="20"/>
              </w:rPr>
              <w:t>2</w:t>
            </w:r>
            <w:r w:rsidR="003F076B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+40*1,5%*(</w:t>
            </w:r>
            <w:proofErr w:type="gramStart"/>
            <w:r>
              <w:rPr>
                <w:sz w:val="20"/>
                <w:szCs w:val="20"/>
              </w:rPr>
              <w:t>9000)=</w:t>
            </w:r>
            <w:r w:rsidR="00366D1E">
              <w:rPr>
                <w:sz w:val="20"/>
                <w:szCs w:val="20"/>
              </w:rPr>
              <w:t xml:space="preserve"> </w:t>
            </w:r>
            <w:r w:rsidR="00DF1489">
              <w:rPr>
                <w:sz w:val="20"/>
                <w:szCs w:val="20"/>
              </w:rPr>
              <w:t>?</w:t>
            </w:r>
            <w:proofErr w:type="gramEnd"/>
          </w:p>
        </w:tc>
      </w:tr>
      <w:tr w:rsidR="000B6D1E" w:rsidTr="000B6D1E">
        <w:tc>
          <w:tcPr>
            <w:tcW w:w="1423" w:type="dxa"/>
            <w:shd w:val="clear" w:color="auto" w:fill="auto"/>
            <w:tcMar>
              <w:left w:w="0" w:type="dxa"/>
              <w:right w:w="0" w:type="dxa"/>
            </w:tcMar>
          </w:tcPr>
          <w:p w:rsidR="000B6D1E" w:rsidRPr="004E2542" w:rsidRDefault="000B6D1E" w:rsidP="00E91A70">
            <w:pPr>
              <w:spacing w:after="0"/>
              <w:jc w:val="center"/>
              <w:rPr>
                <w:sz w:val="20"/>
                <w:szCs w:val="20"/>
              </w:rPr>
            </w:pPr>
            <w:r w:rsidRPr="004E2542">
              <w:rPr>
                <w:sz w:val="20"/>
                <w:szCs w:val="20"/>
              </w:rPr>
              <w:t>22 000 Kč</w:t>
            </w:r>
          </w:p>
        </w:tc>
        <w:tc>
          <w:tcPr>
            <w:tcW w:w="7654" w:type="dxa"/>
            <w:shd w:val="clear" w:color="auto" w:fill="auto"/>
            <w:tcMar>
              <w:left w:w="0" w:type="dxa"/>
              <w:right w:w="0" w:type="dxa"/>
            </w:tcMar>
          </w:tcPr>
          <w:p w:rsidR="000B6D1E" w:rsidRPr="004E2542" w:rsidRDefault="000B6D1E" w:rsidP="003F07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D=</w:t>
            </w:r>
            <w:r w:rsidR="00DF1489">
              <w:rPr>
                <w:sz w:val="20"/>
                <w:szCs w:val="20"/>
              </w:rPr>
              <w:t>2</w:t>
            </w:r>
            <w:r w:rsidR="003F076B">
              <w:rPr>
                <w:sz w:val="20"/>
                <w:szCs w:val="20"/>
              </w:rPr>
              <w:t>400</w:t>
            </w:r>
            <w:r w:rsidR="00DF1489">
              <w:rPr>
                <w:sz w:val="20"/>
                <w:szCs w:val="20"/>
              </w:rPr>
              <w:t>+40*1,5%*[(100%*11</w:t>
            </w:r>
            <w:r w:rsidR="001D7C9D">
              <w:rPr>
                <w:sz w:val="20"/>
                <w:szCs w:val="20"/>
              </w:rPr>
              <w:t>000)+(</w:t>
            </w:r>
            <w:proofErr w:type="gramStart"/>
            <w:r w:rsidR="001D7C9D">
              <w:rPr>
                <w:sz w:val="20"/>
                <w:szCs w:val="20"/>
              </w:rPr>
              <w:t>26%*11</w:t>
            </w:r>
            <w:r>
              <w:rPr>
                <w:sz w:val="20"/>
                <w:szCs w:val="20"/>
              </w:rPr>
              <w:t>000)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=</w:t>
            </w:r>
            <w:r w:rsidR="00366D1E">
              <w:rPr>
                <w:sz w:val="20"/>
                <w:szCs w:val="20"/>
              </w:rPr>
              <w:t xml:space="preserve"> </w:t>
            </w:r>
            <w:r w:rsidR="00DF1489">
              <w:rPr>
                <w:sz w:val="20"/>
                <w:szCs w:val="20"/>
              </w:rPr>
              <w:t>?</w:t>
            </w:r>
            <w:proofErr w:type="gramEnd"/>
          </w:p>
        </w:tc>
      </w:tr>
      <w:tr w:rsidR="000B6D1E" w:rsidTr="000B6D1E">
        <w:tc>
          <w:tcPr>
            <w:tcW w:w="1423" w:type="dxa"/>
            <w:shd w:val="clear" w:color="auto" w:fill="auto"/>
            <w:tcMar>
              <w:left w:w="0" w:type="dxa"/>
              <w:right w:w="0" w:type="dxa"/>
            </w:tcMar>
          </w:tcPr>
          <w:p w:rsidR="000B6D1E" w:rsidRPr="004E2542" w:rsidRDefault="000B6D1E" w:rsidP="00E91A70">
            <w:pPr>
              <w:spacing w:after="0"/>
              <w:jc w:val="center"/>
              <w:rPr>
                <w:sz w:val="20"/>
                <w:szCs w:val="20"/>
              </w:rPr>
            </w:pPr>
            <w:r w:rsidRPr="004E2542">
              <w:rPr>
                <w:sz w:val="20"/>
                <w:szCs w:val="20"/>
              </w:rPr>
              <w:lastRenderedPageBreak/>
              <w:t>23 000Kč</w:t>
            </w:r>
          </w:p>
        </w:tc>
        <w:tc>
          <w:tcPr>
            <w:tcW w:w="7654" w:type="dxa"/>
            <w:shd w:val="clear" w:color="auto" w:fill="auto"/>
            <w:tcMar>
              <w:left w:w="0" w:type="dxa"/>
              <w:right w:w="0" w:type="dxa"/>
            </w:tcMar>
          </w:tcPr>
          <w:p w:rsidR="000B6D1E" w:rsidRPr="004E2542" w:rsidRDefault="000B6D1E" w:rsidP="003F07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D=</w:t>
            </w:r>
            <w:r w:rsidR="00DF1489">
              <w:rPr>
                <w:sz w:val="20"/>
                <w:szCs w:val="20"/>
              </w:rPr>
              <w:t>2</w:t>
            </w:r>
            <w:r w:rsidR="003F076B">
              <w:rPr>
                <w:sz w:val="20"/>
                <w:szCs w:val="20"/>
              </w:rPr>
              <w:t>400</w:t>
            </w:r>
            <w:r w:rsidR="00DF1489">
              <w:rPr>
                <w:sz w:val="20"/>
                <w:szCs w:val="20"/>
              </w:rPr>
              <w:t>+40*1,5%*[(100%*11</w:t>
            </w:r>
            <w:r w:rsidR="001D7C9D">
              <w:rPr>
                <w:sz w:val="20"/>
                <w:szCs w:val="20"/>
              </w:rPr>
              <w:t>000)+(</w:t>
            </w:r>
            <w:proofErr w:type="gramStart"/>
            <w:r w:rsidR="001D7C9D">
              <w:rPr>
                <w:sz w:val="20"/>
                <w:szCs w:val="20"/>
              </w:rPr>
              <w:t>26%*12</w:t>
            </w:r>
            <w:r>
              <w:rPr>
                <w:sz w:val="20"/>
                <w:szCs w:val="20"/>
              </w:rPr>
              <w:t>000)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=</w:t>
            </w:r>
            <w:r w:rsidR="00366D1E">
              <w:rPr>
                <w:sz w:val="20"/>
                <w:szCs w:val="20"/>
              </w:rPr>
              <w:t xml:space="preserve"> </w:t>
            </w:r>
            <w:r w:rsidR="00DF1489">
              <w:rPr>
                <w:sz w:val="20"/>
                <w:szCs w:val="20"/>
              </w:rPr>
              <w:t>?</w:t>
            </w:r>
            <w:proofErr w:type="gramEnd"/>
          </w:p>
        </w:tc>
      </w:tr>
      <w:tr w:rsidR="000B6D1E" w:rsidTr="000B6D1E">
        <w:tc>
          <w:tcPr>
            <w:tcW w:w="1423" w:type="dxa"/>
            <w:shd w:val="clear" w:color="auto" w:fill="auto"/>
            <w:tcMar>
              <w:left w:w="0" w:type="dxa"/>
              <w:right w:w="0" w:type="dxa"/>
            </w:tcMar>
          </w:tcPr>
          <w:p w:rsidR="000B6D1E" w:rsidRPr="004E2542" w:rsidRDefault="000B6D1E" w:rsidP="00E91A70">
            <w:pPr>
              <w:spacing w:after="0"/>
              <w:jc w:val="center"/>
              <w:rPr>
                <w:sz w:val="20"/>
                <w:szCs w:val="20"/>
              </w:rPr>
            </w:pPr>
            <w:r w:rsidRPr="004E2542">
              <w:rPr>
                <w:sz w:val="20"/>
                <w:szCs w:val="20"/>
              </w:rPr>
              <w:t>80 000 Kč</w:t>
            </w:r>
          </w:p>
        </w:tc>
        <w:tc>
          <w:tcPr>
            <w:tcW w:w="7654" w:type="dxa"/>
            <w:shd w:val="clear" w:color="auto" w:fill="auto"/>
            <w:tcMar>
              <w:left w:w="0" w:type="dxa"/>
              <w:right w:w="0" w:type="dxa"/>
            </w:tcMar>
          </w:tcPr>
          <w:p w:rsidR="000B6D1E" w:rsidRPr="004E2542" w:rsidRDefault="000B6D1E" w:rsidP="003F07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D=</w:t>
            </w:r>
            <w:r w:rsidR="00DF1489">
              <w:rPr>
                <w:sz w:val="20"/>
                <w:szCs w:val="20"/>
              </w:rPr>
              <w:t>2</w:t>
            </w:r>
            <w:r w:rsidR="003F076B">
              <w:rPr>
                <w:sz w:val="20"/>
                <w:szCs w:val="20"/>
              </w:rPr>
              <w:t>400</w:t>
            </w:r>
            <w:r w:rsidR="00DF1489">
              <w:rPr>
                <w:sz w:val="20"/>
                <w:szCs w:val="20"/>
              </w:rPr>
              <w:t>+40*1,5%*[(100%*11</w:t>
            </w:r>
            <w:r w:rsidR="001D7C9D">
              <w:rPr>
                <w:sz w:val="20"/>
                <w:szCs w:val="20"/>
              </w:rPr>
              <w:t>000)+(</w:t>
            </w:r>
            <w:proofErr w:type="gramStart"/>
            <w:r w:rsidR="001D7C9D">
              <w:rPr>
                <w:sz w:val="20"/>
                <w:szCs w:val="20"/>
              </w:rPr>
              <w:t>26%*69</w:t>
            </w:r>
            <w:r>
              <w:rPr>
                <w:sz w:val="20"/>
                <w:szCs w:val="20"/>
              </w:rPr>
              <w:t>000)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=</w:t>
            </w:r>
            <w:r w:rsidR="00366D1E">
              <w:rPr>
                <w:sz w:val="20"/>
                <w:szCs w:val="20"/>
              </w:rPr>
              <w:t xml:space="preserve"> </w:t>
            </w:r>
            <w:r w:rsidR="00DF1489">
              <w:rPr>
                <w:sz w:val="20"/>
                <w:szCs w:val="20"/>
              </w:rPr>
              <w:t>?</w:t>
            </w:r>
            <w:proofErr w:type="gramEnd"/>
          </w:p>
        </w:tc>
      </w:tr>
      <w:tr w:rsidR="000B6D1E" w:rsidTr="000B6D1E">
        <w:tc>
          <w:tcPr>
            <w:tcW w:w="1423" w:type="dxa"/>
            <w:shd w:val="clear" w:color="auto" w:fill="auto"/>
            <w:tcMar>
              <w:left w:w="0" w:type="dxa"/>
              <w:right w:w="0" w:type="dxa"/>
            </w:tcMar>
          </w:tcPr>
          <w:p w:rsidR="000B6D1E" w:rsidRPr="004E2542" w:rsidRDefault="000B6D1E" w:rsidP="00E91A70">
            <w:pPr>
              <w:spacing w:after="0"/>
              <w:jc w:val="center"/>
              <w:rPr>
                <w:sz w:val="20"/>
                <w:szCs w:val="20"/>
              </w:rPr>
            </w:pPr>
            <w:r w:rsidRPr="004E2542">
              <w:rPr>
                <w:sz w:val="20"/>
                <w:szCs w:val="20"/>
              </w:rPr>
              <w:t>81 000Kč</w:t>
            </w:r>
          </w:p>
        </w:tc>
        <w:tc>
          <w:tcPr>
            <w:tcW w:w="7654" w:type="dxa"/>
            <w:shd w:val="clear" w:color="auto" w:fill="auto"/>
            <w:tcMar>
              <w:left w:w="0" w:type="dxa"/>
              <w:right w:w="0" w:type="dxa"/>
            </w:tcMar>
          </w:tcPr>
          <w:p w:rsidR="000B6D1E" w:rsidRPr="004E2542" w:rsidRDefault="000B6D1E" w:rsidP="003F07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D=</w:t>
            </w:r>
            <w:r w:rsidR="00DF1489">
              <w:rPr>
                <w:sz w:val="20"/>
                <w:szCs w:val="20"/>
              </w:rPr>
              <w:t>2</w:t>
            </w:r>
            <w:r w:rsidR="003F076B">
              <w:rPr>
                <w:sz w:val="20"/>
                <w:szCs w:val="20"/>
              </w:rPr>
              <w:t>400</w:t>
            </w:r>
            <w:r w:rsidR="00DF1489">
              <w:rPr>
                <w:sz w:val="20"/>
                <w:szCs w:val="20"/>
              </w:rPr>
              <w:t>+40*1,5%*[(100%*11</w:t>
            </w:r>
            <w:r w:rsidR="001D7C9D">
              <w:rPr>
                <w:sz w:val="20"/>
                <w:szCs w:val="20"/>
              </w:rPr>
              <w:t>000)+(</w:t>
            </w:r>
            <w:proofErr w:type="gramStart"/>
            <w:r w:rsidR="001D7C9D">
              <w:rPr>
                <w:sz w:val="20"/>
                <w:szCs w:val="20"/>
              </w:rPr>
              <w:t>26%*70</w:t>
            </w:r>
            <w:r>
              <w:rPr>
                <w:sz w:val="20"/>
                <w:szCs w:val="20"/>
              </w:rPr>
              <w:t>000)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=</w:t>
            </w:r>
            <w:r w:rsidR="00366D1E">
              <w:rPr>
                <w:sz w:val="20"/>
                <w:szCs w:val="20"/>
              </w:rPr>
              <w:t xml:space="preserve"> </w:t>
            </w:r>
            <w:r w:rsidR="00DF1489">
              <w:rPr>
                <w:sz w:val="20"/>
                <w:szCs w:val="20"/>
              </w:rPr>
              <w:t>?</w:t>
            </w:r>
            <w:proofErr w:type="gramEnd"/>
          </w:p>
        </w:tc>
      </w:tr>
      <w:tr w:rsidR="000B6D1E" w:rsidTr="000B6D1E">
        <w:tc>
          <w:tcPr>
            <w:tcW w:w="1423" w:type="dxa"/>
            <w:shd w:val="clear" w:color="auto" w:fill="auto"/>
            <w:tcMar>
              <w:left w:w="0" w:type="dxa"/>
              <w:right w:w="0" w:type="dxa"/>
            </w:tcMar>
          </w:tcPr>
          <w:p w:rsidR="000B6D1E" w:rsidRPr="004E2542" w:rsidRDefault="000B6D1E" w:rsidP="000B6D1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4E2542">
              <w:rPr>
                <w:sz w:val="20"/>
                <w:szCs w:val="20"/>
              </w:rPr>
              <w:t> 000Kč</w:t>
            </w:r>
          </w:p>
        </w:tc>
        <w:tc>
          <w:tcPr>
            <w:tcW w:w="7654" w:type="dxa"/>
            <w:shd w:val="clear" w:color="auto" w:fill="auto"/>
            <w:tcMar>
              <w:left w:w="0" w:type="dxa"/>
              <w:right w:w="0" w:type="dxa"/>
            </w:tcMar>
          </w:tcPr>
          <w:p w:rsidR="000B6D1E" w:rsidRPr="004E2542" w:rsidRDefault="000B6D1E" w:rsidP="003F07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D=</w:t>
            </w:r>
            <w:r w:rsidR="00DF1489">
              <w:rPr>
                <w:sz w:val="20"/>
                <w:szCs w:val="20"/>
              </w:rPr>
              <w:t>2</w:t>
            </w:r>
            <w:r w:rsidR="003F076B">
              <w:rPr>
                <w:sz w:val="20"/>
                <w:szCs w:val="20"/>
              </w:rPr>
              <w:t>400</w:t>
            </w:r>
            <w:r w:rsidR="00DF1489">
              <w:rPr>
                <w:sz w:val="20"/>
                <w:szCs w:val="20"/>
              </w:rPr>
              <w:t>+40*1,5%*[(100%*11</w:t>
            </w:r>
            <w:r w:rsidR="001D7C9D">
              <w:rPr>
                <w:sz w:val="20"/>
                <w:szCs w:val="20"/>
              </w:rPr>
              <w:t>000)+(</w:t>
            </w:r>
            <w:proofErr w:type="gramStart"/>
            <w:r w:rsidR="001D7C9D">
              <w:rPr>
                <w:sz w:val="20"/>
                <w:szCs w:val="20"/>
              </w:rPr>
              <w:t>26%*89</w:t>
            </w:r>
            <w:r>
              <w:rPr>
                <w:sz w:val="20"/>
                <w:szCs w:val="20"/>
              </w:rPr>
              <w:t>000)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=</w:t>
            </w:r>
            <w:r w:rsidR="00366D1E">
              <w:rPr>
                <w:sz w:val="20"/>
                <w:szCs w:val="20"/>
              </w:rPr>
              <w:t xml:space="preserve"> </w:t>
            </w:r>
            <w:r w:rsidR="00DF1489">
              <w:rPr>
                <w:sz w:val="20"/>
                <w:szCs w:val="20"/>
              </w:rPr>
              <w:t>?</w:t>
            </w:r>
            <w:proofErr w:type="gramEnd"/>
          </w:p>
        </w:tc>
      </w:tr>
      <w:tr w:rsidR="000B6D1E" w:rsidTr="000B6D1E">
        <w:tc>
          <w:tcPr>
            <w:tcW w:w="1423" w:type="dxa"/>
            <w:shd w:val="clear" w:color="auto" w:fill="auto"/>
            <w:tcMar>
              <w:left w:w="0" w:type="dxa"/>
              <w:right w:w="0" w:type="dxa"/>
            </w:tcMar>
          </w:tcPr>
          <w:p w:rsidR="000B6D1E" w:rsidRPr="004E2542" w:rsidRDefault="000B6D1E" w:rsidP="000B6D1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4E2542">
              <w:rPr>
                <w:sz w:val="20"/>
                <w:szCs w:val="20"/>
              </w:rPr>
              <w:t> 000Kč</w:t>
            </w:r>
          </w:p>
        </w:tc>
        <w:tc>
          <w:tcPr>
            <w:tcW w:w="7654" w:type="dxa"/>
            <w:shd w:val="clear" w:color="auto" w:fill="auto"/>
            <w:tcMar>
              <w:left w:w="0" w:type="dxa"/>
              <w:right w:w="0" w:type="dxa"/>
            </w:tcMar>
          </w:tcPr>
          <w:p w:rsidR="000B6D1E" w:rsidRPr="004E2542" w:rsidRDefault="0096498C" w:rsidP="003F07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D=</w:t>
            </w:r>
            <w:r w:rsidR="003F076B">
              <w:rPr>
                <w:sz w:val="20"/>
                <w:szCs w:val="20"/>
              </w:rPr>
              <w:t>2400</w:t>
            </w:r>
            <w:r w:rsidR="00DF1489">
              <w:rPr>
                <w:sz w:val="20"/>
                <w:szCs w:val="20"/>
              </w:rPr>
              <w:t>+40*1,5%*[(100%*11</w:t>
            </w:r>
            <w:r w:rsidR="001D7C9D">
              <w:rPr>
                <w:sz w:val="20"/>
                <w:szCs w:val="20"/>
              </w:rPr>
              <w:t>000)+(26%*100000)+(</w:t>
            </w:r>
            <w:proofErr w:type="gramStart"/>
            <w:r w:rsidR="001D7C9D">
              <w:rPr>
                <w:sz w:val="20"/>
                <w:szCs w:val="20"/>
              </w:rPr>
              <w:t>0%*39</w:t>
            </w:r>
            <w:r>
              <w:rPr>
                <w:sz w:val="20"/>
                <w:szCs w:val="20"/>
              </w:rPr>
              <w:t>000)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=</w:t>
            </w:r>
            <w:r w:rsidR="00366D1E">
              <w:rPr>
                <w:sz w:val="20"/>
                <w:szCs w:val="20"/>
              </w:rPr>
              <w:t xml:space="preserve"> </w:t>
            </w:r>
            <w:r w:rsidR="00DF1489">
              <w:rPr>
                <w:sz w:val="20"/>
                <w:szCs w:val="20"/>
              </w:rPr>
              <w:t>?</w:t>
            </w:r>
            <w:proofErr w:type="gramEnd"/>
          </w:p>
        </w:tc>
      </w:tr>
    </w:tbl>
    <w:p w:rsidR="0036019D" w:rsidRPr="000B6D1E" w:rsidRDefault="00DD3565" w:rsidP="0036019D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 je to náhradový poměr a co </w:t>
      </w:r>
      <w:r w:rsidR="008A3D9F">
        <w:rPr>
          <w:rFonts w:ascii="Arial" w:hAnsi="Arial" w:cs="Arial"/>
          <w:sz w:val="24"/>
          <w:szCs w:val="24"/>
        </w:rPr>
        <w:t>nám říká</w:t>
      </w:r>
      <w:r>
        <w:rPr>
          <w:rFonts w:ascii="Arial" w:hAnsi="Arial" w:cs="Arial"/>
          <w:sz w:val="24"/>
          <w:szCs w:val="24"/>
        </w:rPr>
        <w:t>?</w:t>
      </w:r>
    </w:p>
    <w:p w:rsidR="00C94C38" w:rsidRDefault="0096498C" w:rsidP="005825D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96498C">
        <w:rPr>
          <w:noProof/>
          <w:lang w:eastAsia="cs-CZ"/>
        </w:rPr>
        <w:drawing>
          <wp:inline distT="0" distB="0" distL="0" distR="0">
            <wp:extent cx="5086350" cy="3180726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9161" cy="318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C38" w:rsidRPr="00C94C38" w:rsidRDefault="0096498C" w:rsidP="0096498C">
      <w:pPr>
        <w:spacing w:after="0"/>
        <w:rPr>
          <w:rFonts w:ascii="Arial" w:hAnsi="Arial" w:cs="Arial"/>
          <w:b/>
          <w:sz w:val="24"/>
          <w:szCs w:val="24"/>
        </w:rPr>
      </w:pPr>
      <w:r w:rsidRPr="0096498C">
        <w:rPr>
          <w:rFonts w:ascii="Arial" w:hAnsi="Arial" w:cs="Arial"/>
        </w:rPr>
        <w:t>Zdroj:</w:t>
      </w:r>
      <w:r>
        <w:rPr>
          <w:rFonts w:ascii="Arial" w:hAnsi="Arial" w:cs="Arial"/>
        </w:rPr>
        <w:t xml:space="preserve"> MPSV (2011a)</w:t>
      </w:r>
    </w:p>
    <w:p w:rsidR="000C571B" w:rsidRDefault="008A7590" w:rsidP="000C571B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Fiskální výhled důchodového systému</w:t>
      </w:r>
    </w:p>
    <w:p w:rsidR="008A7590" w:rsidRPr="008A7590" w:rsidRDefault="008A7590" w:rsidP="00370EFD">
      <w:pPr>
        <w:pStyle w:val="Odstavecseseznamem"/>
        <w:numPr>
          <w:ilvl w:val="0"/>
          <w:numId w:val="7"/>
        </w:numPr>
        <w:spacing w:before="240" w:after="0"/>
        <w:ind w:left="714" w:hanging="357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Proč je důchodový systém zmiňován jako hrozba pro veřejné finance?</w:t>
      </w:r>
    </w:p>
    <w:p w:rsidR="00B72FCB" w:rsidRPr="00B72FCB" w:rsidRDefault="00370EFD" w:rsidP="00B72FCB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Jaká opatření ke zmírnění dopadu stárnutí populace na VEFI již byla učiněna a jaká byla/bude jejich účinnost?</w:t>
      </w:r>
    </w:p>
    <w:p w:rsidR="00672C3C" w:rsidRPr="00672C3C" w:rsidRDefault="00672C3C" w:rsidP="00672C3C">
      <w:pPr>
        <w:spacing w:before="240"/>
        <w:ind w:left="360"/>
        <w:jc w:val="both"/>
        <w:rPr>
          <w:rFonts w:ascii="Arial" w:hAnsi="Arial" w:cs="Arial"/>
          <w:b/>
          <w:sz w:val="28"/>
          <w:szCs w:val="24"/>
        </w:rPr>
      </w:pPr>
    </w:p>
    <w:p w:rsidR="00370EFD" w:rsidRDefault="00370EFD" w:rsidP="00370EFD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Parametrické úpravy českého prvního pilíře</w:t>
      </w:r>
    </w:p>
    <w:p w:rsidR="008A7590" w:rsidRDefault="00370EFD" w:rsidP="00370EFD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Udělejte </w:t>
      </w:r>
      <w:r w:rsidR="00910D3E">
        <w:rPr>
          <w:rFonts w:ascii="Arial" w:hAnsi="Arial" w:cs="Arial"/>
          <w:sz w:val="24"/>
          <w:szCs w:val="24"/>
        </w:rPr>
        <w:t xml:space="preserve">základní </w:t>
      </w:r>
      <w:r>
        <w:rPr>
          <w:rFonts w:ascii="Arial" w:hAnsi="Arial" w:cs="Arial"/>
          <w:sz w:val="24"/>
          <w:szCs w:val="24"/>
        </w:rPr>
        <w:t>přehled provedených opatření od roku 1996 a d</w:t>
      </w:r>
      <w:r w:rsidRPr="00370EFD">
        <w:rPr>
          <w:rFonts w:ascii="Arial" w:hAnsi="Arial" w:cs="Arial"/>
          <w:sz w:val="24"/>
          <w:szCs w:val="24"/>
        </w:rPr>
        <w:t>isk</w:t>
      </w:r>
      <w:r>
        <w:rPr>
          <w:rFonts w:ascii="Arial" w:hAnsi="Arial" w:cs="Arial"/>
          <w:sz w:val="24"/>
          <w:szCs w:val="24"/>
        </w:rPr>
        <w:t>utujte jejich dopad</w:t>
      </w:r>
      <w:r w:rsidR="00910D3E">
        <w:rPr>
          <w:rFonts w:ascii="Arial" w:hAnsi="Arial" w:cs="Arial"/>
          <w:sz w:val="24"/>
          <w:szCs w:val="24"/>
        </w:rPr>
        <w:t xml:space="preserve"> na VEFI a na důchodce. Souhlasíte s nimi?</w:t>
      </w:r>
    </w:p>
    <w:p w:rsidR="00910D3E" w:rsidRDefault="00910D3E" w:rsidP="00910D3E">
      <w:pPr>
        <w:pStyle w:val="Odstavecseseznamem"/>
        <w:numPr>
          <w:ilvl w:val="1"/>
          <w:numId w:val="7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Prodlužování důchodového věku</w:t>
      </w:r>
    </w:p>
    <w:p w:rsidR="002F1239" w:rsidRDefault="002F1239" w:rsidP="00910D3E">
      <w:pPr>
        <w:pStyle w:val="Odstavecseseznamem"/>
        <w:numPr>
          <w:ilvl w:val="1"/>
          <w:numId w:val="7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Valorizace důchodů</w:t>
      </w:r>
    </w:p>
    <w:p w:rsidR="00910D3E" w:rsidRDefault="00910D3E" w:rsidP="00910D3E">
      <w:pPr>
        <w:pStyle w:val="Odstavecseseznamem"/>
        <w:numPr>
          <w:ilvl w:val="1"/>
          <w:numId w:val="7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Prodlužování rozhodného období pro výpočet důchodu</w:t>
      </w:r>
    </w:p>
    <w:p w:rsidR="00910D3E" w:rsidRDefault="00910D3E" w:rsidP="00910D3E">
      <w:pPr>
        <w:pStyle w:val="Odstavecseseznamem"/>
        <w:numPr>
          <w:ilvl w:val="1"/>
          <w:numId w:val="7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Nezapočítávání některých vyloučených dob (studium) do důchodového pojištění</w:t>
      </w:r>
    </w:p>
    <w:p w:rsidR="00910D3E" w:rsidRDefault="00910D3E" w:rsidP="00910D3E">
      <w:pPr>
        <w:pStyle w:val="Odstavecseseznamem"/>
        <w:numPr>
          <w:ilvl w:val="1"/>
          <w:numId w:val="7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Krácení výše důchodu v případě předčasného důchodu</w:t>
      </w:r>
    </w:p>
    <w:p w:rsidR="00910D3E" w:rsidRDefault="00EF1959" w:rsidP="00910D3E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10D3E" w:rsidRPr="00910D3E">
        <w:rPr>
          <w:rFonts w:ascii="Arial" w:hAnsi="Arial" w:cs="Arial"/>
          <w:sz w:val="24"/>
          <w:szCs w:val="24"/>
        </w:rPr>
        <w:t>iskuse nad jinými možnostmi parametrické reformy</w:t>
      </w:r>
      <w:r w:rsidR="00CC1847">
        <w:rPr>
          <w:rFonts w:ascii="Arial" w:hAnsi="Arial" w:cs="Arial"/>
          <w:sz w:val="24"/>
          <w:szCs w:val="24"/>
        </w:rPr>
        <w:t xml:space="preserve"> – jste </w:t>
      </w:r>
      <w:r w:rsidR="00910D3E" w:rsidRPr="00910D3E">
        <w:rPr>
          <w:rFonts w:ascii="Arial" w:hAnsi="Arial" w:cs="Arial"/>
          <w:sz w:val="24"/>
          <w:szCs w:val="24"/>
        </w:rPr>
        <w:t>ministr, v jehož pravomoci je rozhodnutí</w:t>
      </w:r>
      <w:r>
        <w:rPr>
          <w:rFonts w:ascii="Arial" w:hAnsi="Arial" w:cs="Arial"/>
          <w:sz w:val="24"/>
          <w:szCs w:val="24"/>
        </w:rPr>
        <w:t>.</w:t>
      </w:r>
    </w:p>
    <w:p w:rsidR="00B72FCB" w:rsidRPr="00910D3E" w:rsidRDefault="00B72FCB" w:rsidP="00B72FCB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Důchodová komise (</w:t>
      </w:r>
      <w:hyperlink r:id="rId42" w:history="1">
        <w:r w:rsidRPr="00FF7395">
          <w:rPr>
            <w:rStyle w:val="Hypertextovodkaz"/>
            <w:rFonts w:ascii="Arial" w:hAnsi="Arial" w:cs="Arial"/>
            <w:sz w:val="24"/>
            <w:szCs w:val="24"/>
          </w:rPr>
          <w:t>http://www.duchodova-komise.cz/</w:t>
        </w:r>
      </w:hyperlink>
      <w:r>
        <w:rPr>
          <w:rFonts w:ascii="Arial" w:hAnsi="Arial" w:cs="Arial"/>
          <w:sz w:val="24"/>
          <w:szCs w:val="24"/>
        </w:rPr>
        <w:t>)</w:t>
      </w:r>
      <w:r w:rsidR="00012E71">
        <w:rPr>
          <w:rFonts w:ascii="Arial" w:hAnsi="Arial" w:cs="Arial"/>
          <w:sz w:val="24"/>
          <w:szCs w:val="24"/>
        </w:rPr>
        <w:t xml:space="preserve"> – existence, funkce, návrhy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7530" w:rsidRPr="00047530" w:rsidRDefault="00047530" w:rsidP="00047530">
      <w:pPr>
        <w:spacing w:before="240"/>
        <w:jc w:val="both"/>
        <w:rPr>
          <w:rFonts w:ascii="Arial" w:hAnsi="Arial" w:cs="Arial"/>
          <w:b/>
          <w:sz w:val="28"/>
          <w:szCs w:val="24"/>
        </w:rPr>
      </w:pPr>
    </w:p>
    <w:p w:rsidR="008A7590" w:rsidRDefault="008A7590" w:rsidP="008A7590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  <w:b/>
          <w:sz w:val="28"/>
          <w:szCs w:val="24"/>
        </w:rPr>
      </w:pPr>
      <w:r w:rsidRPr="008A7590">
        <w:rPr>
          <w:rFonts w:ascii="Arial" w:hAnsi="Arial" w:cs="Arial"/>
          <w:b/>
          <w:sz w:val="28"/>
          <w:szCs w:val="24"/>
        </w:rPr>
        <w:t xml:space="preserve">Povinná </w:t>
      </w:r>
      <w:r w:rsidRPr="009676BA">
        <w:rPr>
          <w:rFonts w:ascii="Arial" w:hAnsi="Arial" w:cs="Arial"/>
          <w:b/>
          <w:sz w:val="28"/>
          <w:szCs w:val="24"/>
        </w:rPr>
        <w:t xml:space="preserve">literatura </w:t>
      </w:r>
      <w:r>
        <w:rPr>
          <w:rFonts w:ascii="Arial" w:hAnsi="Arial" w:cs="Arial"/>
          <w:b/>
          <w:sz w:val="28"/>
          <w:szCs w:val="24"/>
        </w:rPr>
        <w:t>k nastudování</w:t>
      </w:r>
    </w:p>
    <w:p w:rsidR="0033701A" w:rsidRPr="00672C3C" w:rsidRDefault="0033701A" w:rsidP="0033701A">
      <w:pPr>
        <w:pStyle w:val="Odstavecseseznamem"/>
        <w:numPr>
          <w:ilvl w:val="0"/>
          <w:numId w:val="22"/>
        </w:numPr>
        <w:spacing w:before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MF ČR (2015). Vládní návrh státního závěrečného účtu za rok 2014, příloha C. Online</w:t>
      </w:r>
      <w:r w:rsidR="00285E77">
        <w:rPr>
          <w:rFonts w:ascii="Arial" w:hAnsi="Arial" w:cs="Arial"/>
          <w:sz w:val="24"/>
          <w:szCs w:val="24"/>
        </w:rPr>
        <w:t>. Dostupné z: &lt;</w:t>
      </w:r>
      <w:hyperlink r:id="rId43" w:history="1">
        <w:r w:rsidRPr="00A1357B">
          <w:rPr>
            <w:rStyle w:val="Hypertextovodkaz"/>
            <w:rFonts w:ascii="Arial" w:hAnsi="Arial" w:cs="Arial"/>
            <w:szCs w:val="24"/>
          </w:rPr>
          <w:t>http://www.mfcr.cz/cs/verejny-sektor/monitoring/plneni-statniho-rozpoctu/2014/statni-zaverecny-ucet-za-rok-2014-21750</w:t>
        </w:r>
      </w:hyperlink>
      <w:r w:rsidR="00285E77">
        <w:rPr>
          <w:rFonts w:ascii="Arial" w:hAnsi="Arial" w:cs="Arial"/>
          <w:szCs w:val="24"/>
        </w:rPr>
        <w:t>&gt;</w:t>
      </w:r>
      <w:r>
        <w:rPr>
          <w:rFonts w:ascii="Arial" w:hAnsi="Arial" w:cs="Arial"/>
          <w:szCs w:val="24"/>
        </w:rPr>
        <w:t xml:space="preserve"> </w:t>
      </w:r>
    </w:p>
    <w:p w:rsidR="00672C3C" w:rsidRDefault="00672C3C" w:rsidP="00672C3C">
      <w:pPr>
        <w:pStyle w:val="Odstavecseseznamem"/>
        <w:numPr>
          <w:ilvl w:val="0"/>
          <w:numId w:val="22"/>
        </w:numPr>
        <w:spacing w:before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MF </w:t>
      </w:r>
      <w:r w:rsidR="00C349BC">
        <w:rPr>
          <w:rFonts w:ascii="Arial" w:hAnsi="Arial" w:cs="Arial"/>
          <w:sz w:val="24"/>
          <w:szCs w:val="24"/>
        </w:rPr>
        <w:t xml:space="preserve">ČR </w:t>
      </w:r>
      <w:r>
        <w:rPr>
          <w:rFonts w:ascii="Arial" w:hAnsi="Arial" w:cs="Arial"/>
          <w:sz w:val="24"/>
          <w:szCs w:val="24"/>
        </w:rPr>
        <w:t>(2014). Státní závěrečný účet za rok 2013, příloha C. Online</w:t>
      </w:r>
      <w:r w:rsidR="00285E77">
        <w:rPr>
          <w:rFonts w:ascii="Arial" w:hAnsi="Arial" w:cs="Arial"/>
          <w:sz w:val="24"/>
          <w:szCs w:val="24"/>
        </w:rPr>
        <w:t>. Dostupné z: &lt;</w:t>
      </w:r>
      <w:hyperlink r:id="rId44" w:history="1">
        <w:r w:rsidR="00F55DFB" w:rsidRPr="00A1357B">
          <w:rPr>
            <w:rStyle w:val="Hypertextovodkaz"/>
            <w:rFonts w:ascii="Arial" w:hAnsi="Arial" w:cs="Arial"/>
            <w:szCs w:val="24"/>
          </w:rPr>
          <w:t>http://www.mfcr.cz/cs/verejny-sektor/monitoring/plneni-statniho-rozpoctu/2013/statni-zaverecny-ucet-za-rok-2013-17756</w:t>
        </w:r>
      </w:hyperlink>
      <w:r w:rsidR="00285E77">
        <w:rPr>
          <w:rFonts w:ascii="Arial" w:hAnsi="Arial" w:cs="Arial"/>
          <w:szCs w:val="24"/>
        </w:rPr>
        <w:t>&gt;</w:t>
      </w:r>
    </w:p>
    <w:p w:rsidR="008A7590" w:rsidRPr="00B16DDA" w:rsidRDefault="008A7590" w:rsidP="00B16DDA">
      <w:pPr>
        <w:pStyle w:val="Odstavecseseznamem"/>
        <w:numPr>
          <w:ilvl w:val="0"/>
          <w:numId w:val="22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B16DDA">
        <w:rPr>
          <w:rFonts w:ascii="Arial" w:hAnsi="Arial" w:cs="Arial"/>
        </w:rPr>
        <w:t>MPSV (2011a) Analýza českého důchodového systému. Online</w:t>
      </w:r>
      <w:r w:rsidR="00285E77">
        <w:rPr>
          <w:rFonts w:ascii="Arial" w:hAnsi="Arial" w:cs="Arial"/>
          <w:sz w:val="24"/>
          <w:szCs w:val="24"/>
        </w:rPr>
        <w:t>. Dostupné z: &lt;</w:t>
      </w:r>
      <w:hyperlink r:id="rId45" w:history="1">
        <w:r w:rsidRPr="00B16DDA">
          <w:rPr>
            <w:rStyle w:val="Hypertextovodkaz"/>
            <w:rFonts w:ascii="Arial" w:hAnsi="Arial" w:cs="Arial"/>
          </w:rPr>
          <w:t>http://www.mpsv.cz/files/clanky/11969/Analyza.pdf</w:t>
        </w:r>
      </w:hyperlink>
      <w:r w:rsidRPr="00B16DDA">
        <w:rPr>
          <w:rFonts w:ascii="Arial" w:hAnsi="Arial" w:cs="Arial"/>
        </w:rPr>
        <w:t>&gt;</w:t>
      </w:r>
    </w:p>
    <w:p w:rsidR="008A7590" w:rsidRPr="00B16DDA" w:rsidRDefault="008A7590" w:rsidP="00B16DDA">
      <w:pPr>
        <w:pStyle w:val="Odstavecseseznamem"/>
        <w:numPr>
          <w:ilvl w:val="0"/>
          <w:numId w:val="22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B16DDA">
        <w:rPr>
          <w:rFonts w:ascii="Arial" w:hAnsi="Arial" w:cs="Arial"/>
        </w:rPr>
        <w:t xml:space="preserve">MPSV (2011b) Důchodová reforma. </w:t>
      </w:r>
      <w:r w:rsidR="00370EFD" w:rsidRPr="00B16DDA">
        <w:rPr>
          <w:rFonts w:ascii="Arial" w:hAnsi="Arial" w:cs="Arial"/>
        </w:rPr>
        <w:t>Otázky a odpovědi k vnějšímu</w:t>
      </w:r>
      <w:r w:rsidR="00285E77">
        <w:rPr>
          <w:rFonts w:ascii="Arial" w:hAnsi="Arial" w:cs="Arial"/>
        </w:rPr>
        <w:t xml:space="preserve"> připomínkovému řízení. Online</w:t>
      </w:r>
      <w:r w:rsidR="00285E77">
        <w:rPr>
          <w:rFonts w:ascii="Arial" w:hAnsi="Arial" w:cs="Arial"/>
          <w:sz w:val="24"/>
          <w:szCs w:val="24"/>
        </w:rPr>
        <w:t>. Dostupné z: &lt;</w:t>
      </w:r>
      <w:hyperlink r:id="rId46" w:history="1">
        <w:r w:rsidR="00370EFD" w:rsidRPr="0078002A">
          <w:rPr>
            <w:rStyle w:val="Hypertextovodkaz"/>
            <w:rFonts w:ascii="Arial" w:hAnsi="Arial" w:cs="Arial"/>
          </w:rPr>
          <w:t>http://socialniporadce.mpsv.cz/files/clanky/273/Q___A_II_k_vnejsimu_pripominkovemu_rizeni.pptx</w:t>
        </w:r>
      </w:hyperlink>
      <w:r w:rsidR="00370EFD" w:rsidRPr="00B16DDA">
        <w:rPr>
          <w:rFonts w:ascii="Arial" w:hAnsi="Arial" w:cs="Arial"/>
        </w:rPr>
        <w:t>&gt;</w:t>
      </w:r>
    </w:p>
    <w:p w:rsidR="008A7590" w:rsidRDefault="008A7590" w:rsidP="009676BA">
      <w:pPr>
        <w:spacing w:before="240"/>
        <w:jc w:val="both"/>
        <w:rPr>
          <w:rFonts w:ascii="Arial" w:hAnsi="Arial" w:cs="Arial"/>
          <w:b/>
          <w:sz w:val="28"/>
          <w:szCs w:val="24"/>
        </w:rPr>
      </w:pPr>
    </w:p>
    <w:p w:rsidR="009676BA" w:rsidRDefault="009676BA" w:rsidP="008A7590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  <w:b/>
          <w:sz w:val="28"/>
          <w:szCs w:val="24"/>
        </w:rPr>
      </w:pPr>
      <w:r w:rsidRPr="009676BA">
        <w:rPr>
          <w:rFonts w:ascii="Arial" w:hAnsi="Arial" w:cs="Arial"/>
          <w:b/>
          <w:sz w:val="28"/>
          <w:szCs w:val="24"/>
        </w:rPr>
        <w:t>Doporučená literatura a odkazy</w:t>
      </w:r>
      <w:r w:rsidR="00B16DDA">
        <w:rPr>
          <w:rFonts w:ascii="Arial" w:hAnsi="Arial" w:cs="Arial"/>
          <w:b/>
          <w:sz w:val="28"/>
          <w:szCs w:val="24"/>
        </w:rPr>
        <w:t xml:space="preserve"> k prozkoumání</w:t>
      </w:r>
    </w:p>
    <w:p w:rsidR="00370EFD" w:rsidRPr="00B16DDA" w:rsidRDefault="00370EFD" w:rsidP="00B16DDA">
      <w:pPr>
        <w:pStyle w:val="Odstavecseseznamem"/>
        <w:numPr>
          <w:ilvl w:val="0"/>
          <w:numId w:val="23"/>
        </w:num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B16DDA">
        <w:rPr>
          <w:rFonts w:ascii="Arial" w:hAnsi="Arial" w:cs="Arial"/>
          <w:sz w:val="24"/>
          <w:szCs w:val="24"/>
        </w:rPr>
        <w:t xml:space="preserve">EC (2010) Public </w:t>
      </w:r>
      <w:proofErr w:type="spellStart"/>
      <w:r w:rsidRPr="00B16DDA">
        <w:rPr>
          <w:rFonts w:ascii="Arial" w:hAnsi="Arial" w:cs="Arial"/>
          <w:sz w:val="24"/>
          <w:szCs w:val="24"/>
        </w:rPr>
        <w:t>finances</w:t>
      </w:r>
      <w:proofErr w:type="spellEnd"/>
      <w:r w:rsidRPr="00B16DDA">
        <w:rPr>
          <w:rFonts w:ascii="Arial" w:hAnsi="Arial" w:cs="Arial"/>
          <w:sz w:val="24"/>
          <w:szCs w:val="24"/>
        </w:rPr>
        <w:t xml:space="preserve"> in EMU – 2010. Online</w:t>
      </w:r>
      <w:r w:rsidR="00285E77">
        <w:rPr>
          <w:rFonts w:ascii="Arial" w:hAnsi="Arial" w:cs="Arial"/>
          <w:sz w:val="24"/>
          <w:szCs w:val="24"/>
        </w:rPr>
        <w:t>. Dostupné z: &lt;</w:t>
      </w:r>
      <w:hyperlink r:id="rId47" w:history="1">
        <w:r w:rsidRPr="00B16DDA">
          <w:rPr>
            <w:rStyle w:val="Hypertextovodkaz"/>
            <w:rFonts w:ascii="Arial" w:hAnsi="Arial" w:cs="Arial"/>
            <w:sz w:val="24"/>
            <w:szCs w:val="24"/>
          </w:rPr>
          <w:t>http://ec.europa.eu/economy_finance/publications/european_economy/2010/pdf/ee-2010-4_en.pdf</w:t>
        </w:r>
      </w:hyperlink>
      <w:r w:rsidRPr="00B16DDA">
        <w:rPr>
          <w:rFonts w:ascii="Arial" w:hAnsi="Arial" w:cs="Arial"/>
          <w:sz w:val="24"/>
          <w:szCs w:val="24"/>
        </w:rPr>
        <w:t>&gt;</w:t>
      </w:r>
    </w:p>
    <w:p w:rsidR="00EA004E" w:rsidRPr="00B16DDA" w:rsidRDefault="00EA004E" w:rsidP="00B16DDA">
      <w:pPr>
        <w:pStyle w:val="Odstavecseseznamem"/>
        <w:numPr>
          <w:ilvl w:val="0"/>
          <w:numId w:val="23"/>
        </w:numPr>
        <w:spacing w:before="240" w:after="120"/>
        <w:jc w:val="both"/>
        <w:rPr>
          <w:rFonts w:ascii="Arial" w:hAnsi="Arial" w:cs="Arial"/>
          <w:sz w:val="24"/>
          <w:szCs w:val="24"/>
        </w:rPr>
      </w:pPr>
      <w:proofErr w:type="spellStart"/>
      <w:r w:rsidRPr="00B16DDA">
        <w:rPr>
          <w:rFonts w:ascii="Arial" w:hAnsi="Arial" w:cs="Arial"/>
          <w:sz w:val="24"/>
          <w:szCs w:val="24"/>
        </w:rPr>
        <w:t>Eurostat</w:t>
      </w:r>
      <w:proofErr w:type="spellEnd"/>
      <w:r w:rsidRPr="00B16DDA">
        <w:rPr>
          <w:rFonts w:ascii="Arial" w:hAnsi="Arial" w:cs="Arial"/>
          <w:sz w:val="24"/>
          <w:szCs w:val="24"/>
        </w:rPr>
        <w:t xml:space="preserve"> (2012a) At-risk-</w:t>
      </w:r>
      <w:proofErr w:type="spellStart"/>
      <w:r w:rsidRPr="00B16DDA">
        <w:rPr>
          <w:rFonts w:ascii="Arial" w:hAnsi="Arial" w:cs="Arial"/>
          <w:sz w:val="24"/>
          <w:szCs w:val="24"/>
        </w:rPr>
        <w:t>of</w:t>
      </w:r>
      <w:proofErr w:type="spellEnd"/>
      <w:r w:rsidRPr="00B16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DDA">
        <w:rPr>
          <w:rFonts w:ascii="Arial" w:hAnsi="Arial" w:cs="Arial"/>
          <w:sz w:val="24"/>
          <w:szCs w:val="24"/>
        </w:rPr>
        <w:t>poverty</w:t>
      </w:r>
      <w:proofErr w:type="spellEnd"/>
      <w:r w:rsidRPr="00B16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DDA">
        <w:rPr>
          <w:rFonts w:ascii="Arial" w:hAnsi="Arial" w:cs="Arial"/>
          <w:sz w:val="24"/>
          <w:szCs w:val="24"/>
        </w:rPr>
        <w:t>rate</w:t>
      </w:r>
      <w:proofErr w:type="spellEnd"/>
      <w:r w:rsidRPr="00B16DDA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B16DDA">
        <w:rPr>
          <w:rFonts w:ascii="Arial" w:hAnsi="Arial" w:cs="Arial"/>
          <w:sz w:val="24"/>
          <w:szCs w:val="24"/>
        </w:rPr>
        <w:t>detailed</w:t>
      </w:r>
      <w:proofErr w:type="spellEnd"/>
      <w:r w:rsidRPr="00B16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DDA">
        <w:rPr>
          <w:rFonts w:ascii="Arial" w:hAnsi="Arial" w:cs="Arial"/>
          <w:sz w:val="24"/>
          <w:szCs w:val="24"/>
        </w:rPr>
        <w:t>age</w:t>
      </w:r>
      <w:proofErr w:type="spellEnd"/>
      <w:r w:rsidRPr="00B16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DDA">
        <w:rPr>
          <w:rFonts w:ascii="Arial" w:hAnsi="Arial" w:cs="Arial"/>
          <w:sz w:val="24"/>
          <w:szCs w:val="24"/>
        </w:rPr>
        <w:t>group</w:t>
      </w:r>
      <w:proofErr w:type="spellEnd"/>
      <w:r w:rsidRPr="00B16DDA">
        <w:rPr>
          <w:rFonts w:ascii="Arial" w:hAnsi="Arial" w:cs="Arial"/>
          <w:sz w:val="24"/>
          <w:szCs w:val="24"/>
        </w:rPr>
        <w:t xml:space="preserve"> (Source: SILC). 65 </w:t>
      </w:r>
      <w:proofErr w:type="spellStart"/>
      <w:r w:rsidRPr="00B16DDA">
        <w:rPr>
          <w:rFonts w:ascii="Arial" w:hAnsi="Arial" w:cs="Arial"/>
          <w:sz w:val="24"/>
          <w:szCs w:val="24"/>
        </w:rPr>
        <w:t>years</w:t>
      </w:r>
      <w:proofErr w:type="spellEnd"/>
      <w:r w:rsidRPr="00B16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DDA">
        <w:rPr>
          <w:rFonts w:ascii="Arial" w:hAnsi="Arial" w:cs="Arial"/>
          <w:sz w:val="24"/>
          <w:szCs w:val="24"/>
        </w:rPr>
        <w:t>or</w:t>
      </w:r>
      <w:proofErr w:type="spellEnd"/>
      <w:r w:rsidRPr="00B16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DDA">
        <w:rPr>
          <w:rFonts w:ascii="Arial" w:hAnsi="Arial" w:cs="Arial"/>
          <w:sz w:val="24"/>
          <w:szCs w:val="24"/>
        </w:rPr>
        <w:t>over</w:t>
      </w:r>
      <w:proofErr w:type="spellEnd"/>
      <w:r w:rsidRPr="00B16DDA">
        <w:rPr>
          <w:rFonts w:ascii="Arial" w:hAnsi="Arial" w:cs="Arial"/>
          <w:sz w:val="24"/>
          <w:szCs w:val="24"/>
        </w:rPr>
        <w:t>. Online</w:t>
      </w:r>
      <w:r w:rsidR="00285E77">
        <w:rPr>
          <w:rFonts w:ascii="Arial" w:hAnsi="Arial" w:cs="Arial"/>
          <w:sz w:val="24"/>
          <w:szCs w:val="24"/>
        </w:rPr>
        <w:t>. Dostupné z: &lt;</w:t>
      </w:r>
      <w:hyperlink r:id="rId48" w:history="1">
        <w:r w:rsidRPr="00B16DDA">
          <w:rPr>
            <w:rStyle w:val="Hypertextovodkaz"/>
            <w:rFonts w:ascii="Arial" w:hAnsi="Arial" w:cs="Arial"/>
            <w:sz w:val="24"/>
            <w:szCs w:val="24"/>
          </w:rPr>
          <w:t>http://epp.eurostat.ec.europa.eu/tgm/graph.do?tab=graph&amp;plugin=1&amp;pcode=tessi120&amp;language=en&amp;toolbox=data</w:t>
        </w:r>
      </w:hyperlink>
      <w:r w:rsidRPr="00B16DDA">
        <w:rPr>
          <w:rFonts w:ascii="Arial" w:hAnsi="Arial" w:cs="Arial"/>
          <w:sz w:val="24"/>
          <w:szCs w:val="24"/>
        </w:rPr>
        <w:t>&gt;</w:t>
      </w:r>
    </w:p>
    <w:p w:rsidR="00910D3E" w:rsidRPr="00B16DDA" w:rsidRDefault="00910D3E" w:rsidP="00B16DDA">
      <w:pPr>
        <w:pStyle w:val="Odstavecseseznamem"/>
        <w:numPr>
          <w:ilvl w:val="0"/>
          <w:numId w:val="23"/>
        </w:numPr>
        <w:spacing w:before="240" w:after="120"/>
        <w:rPr>
          <w:rFonts w:ascii="Arial" w:hAnsi="Arial" w:cs="Arial"/>
          <w:sz w:val="24"/>
          <w:szCs w:val="24"/>
        </w:rPr>
      </w:pPr>
      <w:r w:rsidRPr="00B16DDA">
        <w:rPr>
          <w:rFonts w:ascii="Arial" w:hAnsi="Arial" w:cs="Arial"/>
          <w:sz w:val="24"/>
          <w:szCs w:val="24"/>
        </w:rPr>
        <w:t xml:space="preserve">Novela zákona o důchodovém pojištění. Sněmovní tisk č. 277. </w:t>
      </w:r>
      <w:r w:rsidR="00285E77">
        <w:rPr>
          <w:rFonts w:ascii="Arial" w:hAnsi="Arial" w:cs="Arial"/>
          <w:sz w:val="24"/>
          <w:szCs w:val="24"/>
        </w:rPr>
        <w:t xml:space="preserve">Online. </w:t>
      </w:r>
      <w:r w:rsidRPr="00B16DDA">
        <w:rPr>
          <w:rFonts w:ascii="Arial" w:hAnsi="Arial" w:cs="Arial"/>
          <w:sz w:val="24"/>
          <w:szCs w:val="24"/>
        </w:rPr>
        <w:t>Dostupné z: &lt;</w:t>
      </w:r>
      <w:hyperlink r:id="rId49" w:history="1">
        <w:r w:rsidRPr="00B16DDA">
          <w:rPr>
            <w:rStyle w:val="Hypertextovodkaz"/>
            <w:rFonts w:ascii="Arial" w:hAnsi="Arial" w:cs="Arial"/>
            <w:sz w:val="24"/>
            <w:szCs w:val="24"/>
          </w:rPr>
          <w:t>http://www.psp.cz/sqw/historie.sqw?o=6&amp;T=277</w:t>
        </w:r>
      </w:hyperlink>
      <w:r w:rsidRPr="00B16DDA">
        <w:rPr>
          <w:rFonts w:ascii="Arial" w:hAnsi="Arial" w:cs="Arial"/>
          <w:sz w:val="24"/>
          <w:szCs w:val="24"/>
        </w:rPr>
        <w:t>&gt;. Navštívit tisk 277/0</w:t>
      </w:r>
    </w:p>
    <w:p w:rsidR="00910D3E" w:rsidRPr="00B16DDA" w:rsidRDefault="00910D3E" w:rsidP="00B16DDA">
      <w:pPr>
        <w:pStyle w:val="Odstavecseseznamem"/>
        <w:numPr>
          <w:ilvl w:val="0"/>
          <w:numId w:val="26"/>
        </w:numPr>
        <w:spacing w:before="240" w:after="120"/>
        <w:rPr>
          <w:rFonts w:ascii="Arial" w:hAnsi="Arial" w:cs="Arial"/>
          <w:sz w:val="24"/>
          <w:szCs w:val="24"/>
        </w:rPr>
      </w:pPr>
      <w:r w:rsidRPr="00B16DDA">
        <w:rPr>
          <w:rFonts w:ascii="Arial" w:hAnsi="Arial" w:cs="Arial"/>
          <w:sz w:val="24"/>
          <w:szCs w:val="24"/>
        </w:rPr>
        <w:t xml:space="preserve">Vládní návrh zákona o důchodovém spoření. Sněmovní tisk č. 412. </w:t>
      </w:r>
      <w:r w:rsidR="00285E77">
        <w:rPr>
          <w:rFonts w:ascii="Arial" w:hAnsi="Arial" w:cs="Arial"/>
          <w:sz w:val="24"/>
          <w:szCs w:val="24"/>
        </w:rPr>
        <w:t xml:space="preserve">Online. </w:t>
      </w:r>
      <w:r w:rsidRPr="00B16DDA">
        <w:rPr>
          <w:rFonts w:ascii="Arial" w:hAnsi="Arial" w:cs="Arial"/>
          <w:sz w:val="24"/>
          <w:szCs w:val="24"/>
        </w:rPr>
        <w:t>Dostupné z: &lt;</w:t>
      </w:r>
      <w:hyperlink r:id="rId50" w:history="1">
        <w:r w:rsidRPr="00B16DDA">
          <w:rPr>
            <w:rStyle w:val="Hypertextovodkaz"/>
            <w:rFonts w:ascii="Arial" w:hAnsi="Arial" w:cs="Arial"/>
            <w:sz w:val="24"/>
            <w:szCs w:val="24"/>
          </w:rPr>
          <w:t>http://www.psp.cz/sqw/historie.sqw?o=6&amp;T=412</w:t>
        </w:r>
      </w:hyperlink>
      <w:r w:rsidRPr="00B16DDA">
        <w:rPr>
          <w:rFonts w:ascii="Arial" w:hAnsi="Arial" w:cs="Arial"/>
          <w:sz w:val="24"/>
          <w:szCs w:val="24"/>
        </w:rPr>
        <w:t>&gt;. Navštívit tisk 412/0</w:t>
      </w:r>
    </w:p>
    <w:p w:rsidR="00910D3E" w:rsidRPr="00B16DDA" w:rsidRDefault="00910D3E" w:rsidP="00B16DDA">
      <w:pPr>
        <w:pStyle w:val="Odstavecseseznamem"/>
        <w:numPr>
          <w:ilvl w:val="0"/>
          <w:numId w:val="25"/>
        </w:numPr>
        <w:spacing w:before="240" w:after="120"/>
        <w:rPr>
          <w:rFonts w:ascii="Arial" w:hAnsi="Arial" w:cs="Arial"/>
          <w:sz w:val="24"/>
          <w:szCs w:val="24"/>
        </w:rPr>
      </w:pPr>
      <w:r w:rsidRPr="00B16DDA">
        <w:rPr>
          <w:rFonts w:ascii="Arial" w:hAnsi="Arial" w:cs="Arial"/>
          <w:sz w:val="24"/>
          <w:szCs w:val="24"/>
        </w:rPr>
        <w:t>Vládní návrh zákona o doplňkovém penzijním spoření. Sněmovní tisk č. 413.</w:t>
      </w:r>
      <w:r w:rsidR="00285E77">
        <w:rPr>
          <w:rFonts w:ascii="Arial" w:hAnsi="Arial" w:cs="Arial"/>
          <w:sz w:val="24"/>
          <w:szCs w:val="24"/>
        </w:rPr>
        <w:t xml:space="preserve"> Online.</w:t>
      </w:r>
      <w:r w:rsidRPr="00B16DDA">
        <w:rPr>
          <w:rFonts w:ascii="Arial" w:hAnsi="Arial" w:cs="Arial"/>
          <w:sz w:val="24"/>
          <w:szCs w:val="24"/>
        </w:rPr>
        <w:t xml:space="preserve"> Dostupné z: &lt; </w:t>
      </w:r>
      <w:hyperlink r:id="rId51" w:history="1">
        <w:r w:rsidRPr="00B16DDA">
          <w:rPr>
            <w:rStyle w:val="Hypertextovodkaz"/>
            <w:rFonts w:ascii="Arial" w:hAnsi="Arial" w:cs="Arial"/>
            <w:sz w:val="24"/>
            <w:szCs w:val="24"/>
          </w:rPr>
          <w:t>http://www.psp.cz/sqw/historie.sqw?o=6&amp;T=413</w:t>
        </w:r>
      </w:hyperlink>
      <w:r w:rsidRPr="00B16DDA">
        <w:rPr>
          <w:rFonts w:ascii="Arial" w:hAnsi="Arial" w:cs="Arial"/>
          <w:sz w:val="24"/>
          <w:szCs w:val="24"/>
        </w:rPr>
        <w:t>&gt;. Navštívit tisk 413/0</w:t>
      </w:r>
    </w:p>
    <w:p w:rsidR="00910D3E" w:rsidRPr="00B16DDA" w:rsidRDefault="00910D3E" w:rsidP="00B16DDA">
      <w:pPr>
        <w:pStyle w:val="Odstavecseseznamem"/>
        <w:numPr>
          <w:ilvl w:val="0"/>
          <w:numId w:val="24"/>
        </w:numPr>
        <w:spacing w:before="240" w:after="120"/>
        <w:rPr>
          <w:rFonts w:ascii="Arial" w:hAnsi="Arial" w:cs="Arial"/>
          <w:sz w:val="24"/>
          <w:szCs w:val="24"/>
        </w:rPr>
      </w:pPr>
      <w:r w:rsidRPr="00B16DDA">
        <w:rPr>
          <w:rFonts w:ascii="Arial" w:hAnsi="Arial" w:cs="Arial"/>
          <w:sz w:val="24"/>
          <w:szCs w:val="24"/>
        </w:rPr>
        <w:t>Vládní návrh zákona v souvislosti s přijetím zákona o důchodovém a penzijním spoření - EU. Sněmovní tisk č. 414</w:t>
      </w:r>
      <w:r w:rsidR="00285E77">
        <w:rPr>
          <w:rFonts w:ascii="Arial" w:hAnsi="Arial" w:cs="Arial"/>
          <w:sz w:val="24"/>
          <w:szCs w:val="24"/>
        </w:rPr>
        <w:t>. Online.</w:t>
      </w:r>
      <w:r w:rsidRPr="00B16DDA">
        <w:rPr>
          <w:rFonts w:ascii="Arial" w:hAnsi="Arial" w:cs="Arial"/>
          <w:sz w:val="24"/>
          <w:szCs w:val="24"/>
        </w:rPr>
        <w:t xml:space="preserve"> Dostupné z: &lt;</w:t>
      </w:r>
      <w:hyperlink r:id="rId52" w:history="1">
        <w:r w:rsidRPr="00B16DDA">
          <w:rPr>
            <w:rStyle w:val="Hypertextovodkaz"/>
            <w:rFonts w:ascii="Arial" w:hAnsi="Arial" w:cs="Arial"/>
            <w:sz w:val="24"/>
            <w:szCs w:val="24"/>
          </w:rPr>
          <w:t>http://www.psp.cz/sqw/historie.sqw?o=6&amp;T=414</w:t>
        </w:r>
      </w:hyperlink>
      <w:r w:rsidRPr="00B16DDA">
        <w:rPr>
          <w:rFonts w:ascii="Arial" w:hAnsi="Arial" w:cs="Arial"/>
          <w:sz w:val="24"/>
          <w:szCs w:val="24"/>
        </w:rPr>
        <w:t>&gt;. Navštívit tisk 414/0</w:t>
      </w:r>
    </w:p>
    <w:p w:rsidR="00910D3E" w:rsidRPr="00910D3E" w:rsidRDefault="00910D3E" w:rsidP="00910D3E">
      <w:pPr>
        <w:spacing w:before="240"/>
        <w:jc w:val="both"/>
        <w:rPr>
          <w:rFonts w:ascii="Arial" w:hAnsi="Arial" w:cs="Arial"/>
          <w:sz w:val="24"/>
          <w:szCs w:val="24"/>
        </w:rPr>
      </w:pPr>
    </w:p>
    <w:sectPr w:rsidR="00910D3E" w:rsidRPr="00910D3E" w:rsidSect="00593247">
      <w:headerReference w:type="default" r:id="rId5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429" w:rsidRDefault="00610429" w:rsidP="00183EDD">
      <w:pPr>
        <w:spacing w:after="0" w:line="240" w:lineRule="auto"/>
      </w:pPr>
      <w:r>
        <w:separator/>
      </w:r>
    </w:p>
  </w:endnote>
  <w:endnote w:type="continuationSeparator" w:id="0">
    <w:p w:rsidR="00610429" w:rsidRDefault="00610429" w:rsidP="0018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429" w:rsidRDefault="00610429" w:rsidP="00183EDD">
      <w:pPr>
        <w:spacing w:after="0" w:line="240" w:lineRule="auto"/>
      </w:pPr>
      <w:r>
        <w:separator/>
      </w:r>
    </w:p>
  </w:footnote>
  <w:footnote w:type="continuationSeparator" w:id="0">
    <w:p w:rsidR="00610429" w:rsidRDefault="00610429" w:rsidP="00183EDD">
      <w:pPr>
        <w:spacing w:after="0" w:line="240" w:lineRule="auto"/>
      </w:pPr>
      <w:r>
        <w:continuationSeparator/>
      </w:r>
    </w:p>
  </w:footnote>
  <w:footnote w:id="1">
    <w:p w:rsidR="002311FA" w:rsidRDefault="002311FA">
      <w:pPr>
        <w:pStyle w:val="Textpoznpodarou"/>
      </w:pPr>
      <w:r>
        <w:rPr>
          <w:rStyle w:val="Znakapoznpodarou"/>
        </w:rPr>
        <w:footnoteRef/>
      </w:r>
      <w:r>
        <w:t xml:space="preserve"> z té části výnosu z DPH připadajícího</w:t>
      </w:r>
      <w:r>
        <w:t xml:space="preserve"> na státní rozpočet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DD" w:rsidRPr="00183EDD" w:rsidRDefault="00183EDD" w:rsidP="00183EDD">
    <w:pPr>
      <w:pStyle w:val="Zhlav"/>
      <w:jc w:val="center"/>
      <w:rPr>
        <w:rFonts w:ascii="Arial" w:hAnsi="Arial" w:cs="Arial"/>
        <w:sz w:val="32"/>
        <w:szCs w:val="32"/>
      </w:rPr>
    </w:pPr>
    <w:r w:rsidRPr="00183EDD">
      <w:rPr>
        <w:rFonts w:ascii="Arial" w:hAnsi="Arial" w:cs="Arial"/>
        <w:sz w:val="32"/>
        <w:szCs w:val="32"/>
      </w:rPr>
      <w:t>Základy veřejných financí a veřejné správy – osnova cvičení</w:t>
    </w:r>
  </w:p>
  <w:p w:rsidR="00183EDD" w:rsidRDefault="00183E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E7A"/>
    <w:multiLevelType w:val="hybridMultilevel"/>
    <w:tmpl w:val="4D60EBB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66D32E7"/>
    <w:multiLevelType w:val="hybridMultilevel"/>
    <w:tmpl w:val="EE6AF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0FB4"/>
    <w:multiLevelType w:val="hybridMultilevel"/>
    <w:tmpl w:val="3C76E0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1843B7"/>
    <w:multiLevelType w:val="hybridMultilevel"/>
    <w:tmpl w:val="45D67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0002"/>
    <w:multiLevelType w:val="hybridMultilevel"/>
    <w:tmpl w:val="E6E2FA06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222644"/>
    <w:multiLevelType w:val="hybridMultilevel"/>
    <w:tmpl w:val="723857FE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5D171B"/>
    <w:multiLevelType w:val="hybridMultilevel"/>
    <w:tmpl w:val="2488F3EA"/>
    <w:lvl w:ilvl="0" w:tplc="DD909D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D7935"/>
    <w:multiLevelType w:val="hybridMultilevel"/>
    <w:tmpl w:val="7AC092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4CB48D0"/>
    <w:multiLevelType w:val="hybridMultilevel"/>
    <w:tmpl w:val="1D5477D4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AF1738"/>
    <w:multiLevelType w:val="hybridMultilevel"/>
    <w:tmpl w:val="F3386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36240"/>
    <w:multiLevelType w:val="hybridMultilevel"/>
    <w:tmpl w:val="DE2A8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85105"/>
    <w:multiLevelType w:val="hybridMultilevel"/>
    <w:tmpl w:val="FE94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B6996"/>
    <w:multiLevelType w:val="hybridMultilevel"/>
    <w:tmpl w:val="830AA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D6146"/>
    <w:multiLevelType w:val="hybridMultilevel"/>
    <w:tmpl w:val="26EEEF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FD1B0B"/>
    <w:multiLevelType w:val="hybridMultilevel"/>
    <w:tmpl w:val="A47E1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05DBE"/>
    <w:multiLevelType w:val="hybridMultilevel"/>
    <w:tmpl w:val="0EB23C7C"/>
    <w:lvl w:ilvl="0" w:tplc="47C84B12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6">
    <w:nsid w:val="49686C81"/>
    <w:multiLevelType w:val="hybridMultilevel"/>
    <w:tmpl w:val="9C2A60C4"/>
    <w:lvl w:ilvl="0" w:tplc="D0EEC3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5B4E21"/>
    <w:multiLevelType w:val="hybridMultilevel"/>
    <w:tmpl w:val="35BA9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76901"/>
    <w:multiLevelType w:val="hybridMultilevel"/>
    <w:tmpl w:val="4984A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F2BBA"/>
    <w:multiLevelType w:val="hybridMultilevel"/>
    <w:tmpl w:val="DAE2A606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BE1233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DC621C"/>
    <w:multiLevelType w:val="hybridMultilevel"/>
    <w:tmpl w:val="09963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86E3B"/>
    <w:multiLevelType w:val="hybridMultilevel"/>
    <w:tmpl w:val="5C6868FC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EE6B24"/>
    <w:multiLevelType w:val="hybridMultilevel"/>
    <w:tmpl w:val="1AE08C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E92376"/>
    <w:multiLevelType w:val="hybridMultilevel"/>
    <w:tmpl w:val="58DEAB40"/>
    <w:lvl w:ilvl="0" w:tplc="19867A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45CC1"/>
    <w:multiLevelType w:val="hybridMultilevel"/>
    <w:tmpl w:val="A5820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C0715"/>
    <w:multiLevelType w:val="hybridMultilevel"/>
    <w:tmpl w:val="DAD00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6"/>
  </w:num>
  <w:num w:numId="4">
    <w:abstractNumId w:val="23"/>
  </w:num>
  <w:num w:numId="5">
    <w:abstractNumId w:val="12"/>
  </w:num>
  <w:num w:numId="6">
    <w:abstractNumId w:val="25"/>
  </w:num>
  <w:num w:numId="7">
    <w:abstractNumId w:val="20"/>
  </w:num>
  <w:num w:numId="8">
    <w:abstractNumId w:val="14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0"/>
  </w:num>
  <w:num w:numId="15">
    <w:abstractNumId w:val="22"/>
  </w:num>
  <w:num w:numId="16">
    <w:abstractNumId w:val="19"/>
  </w:num>
  <w:num w:numId="17">
    <w:abstractNumId w:val="16"/>
  </w:num>
  <w:num w:numId="18">
    <w:abstractNumId w:val="21"/>
  </w:num>
  <w:num w:numId="19">
    <w:abstractNumId w:val="15"/>
  </w:num>
  <w:num w:numId="20">
    <w:abstractNumId w:val="11"/>
  </w:num>
  <w:num w:numId="21">
    <w:abstractNumId w:val="13"/>
  </w:num>
  <w:num w:numId="22">
    <w:abstractNumId w:val="0"/>
  </w:num>
  <w:num w:numId="23">
    <w:abstractNumId w:val="3"/>
  </w:num>
  <w:num w:numId="24">
    <w:abstractNumId w:val="1"/>
  </w:num>
  <w:num w:numId="25">
    <w:abstractNumId w:val="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DD"/>
    <w:rsid w:val="000102ED"/>
    <w:rsid w:val="00012E71"/>
    <w:rsid w:val="000257FC"/>
    <w:rsid w:val="0004519D"/>
    <w:rsid w:val="00047530"/>
    <w:rsid w:val="00047D73"/>
    <w:rsid w:val="000B6D1E"/>
    <w:rsid w:val="000C571B"/>
    <w:rsid w:val="000D1BF8"/>
    <w:rsid w:val="001609F3"/>
    <w:rsid w:val="00173434"/>
    <w:rsid w:val="00183EDD"/>
    <w:rsid w:val="0019207B"/>
    <w:rsid w:val="001A77FD"/>
    <w:rsid w:val="001B3083"/>
    <w:rsid w:val="001B56BA"/>
    <w:rsid w:val="001D1092"/>
    <w:rsid w:val="001D7C9D"/>
    <w:rsid w:val="002311FA"/>
    <w:rsid w:val="00262720"/>
    <w:rsid w:val="00265DFA"/>
    <w:rsid w:val="0026692A"/>
    <w:rsid w:val="002819F0"/>
    <w:rsid w:val="00285E77"/>
    <w:rsid w:val="002C1C74"/>
    <w:rsid w:val="002F1239"/>
    <w:rsid w:val="0030518D"/>
    <w:rsid w:val="0032250F"/>
    <w:rsid w:val="0033701A"/>
    <w:rsid w:val="0036019D"/>
    <w:rsid w:val="00366D1E"/>
    <w:rsid w:val="00370EFD"/>
    <w:rsid w:val="00383CAD"/>
    <w:rsid w:val="003D7093"/>
    <w:rsid w:val="003E674B"/>
    <w:rsid w:val="003F076B"/>
    <w:rsid w:val="003F5AFB"/>
    <w:rsid w:val="00416E59"/>
    <w:rsid w:val="00422A10"/>
    <w:rsid w:val="00440C20"/>
    <w:rsid w:val="004666B5"/>
    <w:rsid w:val="004D320D"/>
    <w:rsid w:val="005040C8"/>
    <w:rsid w:val="00506011"/>
    <w:rsid w:val="00510622"/>
    <w:rsid w:val="00537188"/>
    <w:rsid w:val="005825D2"/>
    <w:rsid w:val="00593247"/>
    <w:rsid w:val="005E511E"/>
    <w:rsid w:val="00601B40"/>
    <w:rsid w:val="00610429"/>
    <w:rsid w:val="00667295"/>
    <w:rsid w:val="00672C3C"/>
    <w:rsid w:val="006B2D19"/>
    <w:rsid w:val="006B770F"/>
    <w:rsid w:val="006D5DF3"/>
    <w:rsid w:val="00733B76"/>
    <w:rsid w:val="00761CFD"/>
    <w:rsid w:val="0078002A"/>
    <w:rsid w:val="007810B8"/>
    <w:rsid w:val="00791DBA"/>
    <w:rsid w:val="007B785D"/>
    <w:rsid w:val="007E237A"/>
    <w:rsid w:val="007E5DDA"/>
    <w:rsid w:val="007F5412"/>
    <w:rsid w:val="00823633"/>
    <w:rsid w:val="008A3D9F"/>
    <w:rsid w:val="008A7590"/>
    <w:rsid w:val="008B2AA4"/>
    <w:rsid w:val="008F3432"/>
    <w:rsid w:val="00910790"/>
    <w:rsid w:val="00910D3E"/>
    <w:rsid w:val="00912844"/>
    <w:rsid w:val="0096498C"/>
    <w:rsid w:val="00965A9E"/>
    <w:rsid w:val="009676BA"/>
    <w:rsid w:val="00992465"/>
    <w:rsid w:val="0099351D"/>
    <w:rsid w:val="009C56F9"/>
    <w:rsid w:val="009C6B42"/>
    <w:rsid w:val="009D4E33"/>
    <w:rsid w:val="009F17CC"/>
    <w:rsid w:val="00AA4D00"/>
    <w:rsid w:val="00AB53E9"/>
    <w:rsid w:val="00AD604B"/>
    <w:rsid w:val="00AF13DD"/>
    <w:rsid w:val="00B01E30"/>
    <w:rsid w:val="00B16DDA"/>
    <w:rsid w:val="00B21AED"/>
    <w:rsid w:val="00B72FCB"/>
    <w:rsid w:val="00BD5F2D"/>
    <w:rsid w:val="00C018AA"/>
    <w:rsid w:val="00C15F4E"/>
    <w:rsid w:val="00C349BC"/>
    <w:rsid w:val="00C57162"/>
    <w:rsid w:val="00C757ED"/>
    <w:rsid w:val="00C94C38"/>
    <w:rsid w:val="00C96F4D"/>
    <w:rsid w:val="00CA3F56"/>
    <w:rsid w:val="00CB4C56"/>
    <w:rsid w:val="00CC1847"/>
    <w:rsid w:val="00CE4B71"/>
    <w:rsid w:val="00CF6D93"/>
    <w:rsid w:val="00D21C5C"/>
    <w:rsid w:val="00D871D6"/>
    <w:rsid w:val="00DD3565"/>
    <w:rsid w:val="00DF1489"/>
    <w:rsid w:val="00E74475"/>
    <w:rsid w:val="00E81C83"/>
    <w:rsid w:val="00E91258"/>
    <w:rsid w:val="00EA004E"/>
    <w:rsid w:val="00EB20EF"/>
    <w:rsid w:val="00EC600F"/>
    <w:rsid w:val="00EF1959"/>
    <w:rsid w:val="00F15C47"/>
    <w:rsid w:val="00F206B8"/>
    <w:rsid w:val="00F36938"/>
    <w:rsid w:val="00F4074F"/>
    <w:rsid w:val="00F5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10D3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EDD"/>
  </w:style>
  <w:style w:type="paragraph" w:styleId="Zpat">
    <w:name w:val="footer"/>
    <w:basedOn w:val="Normln"/>
    <w:link w:val="Zpat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EDD"/>
  </w:style>
  <w:style w:type="paragraph" w:styleId="Textbubliny">
    <w:name w:val="Balloon Text"/>
    <w:basedOn w:val="Normln"/>
    <w:link w:val="TextbublinyChar"/>
    <w:uiPriority w:val="99"/>
    <w:semiHidden/>
    <w:unhideWhenUsed/>
    <w:rsid w:val="001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E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3E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76BA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C94C38"/>
  </w:style>
  <w:style w:type="character" w:customStyle="1" w:styleId="Nadpis1Char">
    <w:name w:val="Nadpis 1 Char"/>
    <w:basedOn w:val="Standardnpsmoodstavce"/>
    <w:link w:val="Nadpis1"/>
    <w:rsid w:val="00910D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C56F9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7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11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11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11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10D3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EDD"/>
  </w:style>
  <w:style w:type="paragraph" w:styleId="Zpat">
    <w:name w:val="footer"/>
    <w:basedOn w:val="Normln"/>
    <w:link w:val="Zpat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EDD"/>
  </w:style>
  <w:style w:type="paragraph" w:styleId="Textbubliny">
    <w:name w:val="Balloon Text"/>
    <w:basedOn w:val="Normln"/>
    <w:link w:val="TextbublinyChar"/>
    <w:uiPriority w:val="99"/>
    <w:semiHidden/>
    <w:unhideWhenUsed/>
    <w:rsid w:val="001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E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3E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76BA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C94C38"/>
  </w:style>
  <w:style w:type="character" w:customStyle="1" w:styleId="Nadpis1Char">
    <w:name w:val="Nadpis 1 Char"/>
    <w:basedOn w:val="Standardnpsmoodstavce"/>
    <w:link w:val="Nadpis1"/>
    <w:rsid w:val="00910D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C56F9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7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11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11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1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hyperlink" Target="http://www.duchodova-komise.cz/" TargetMode="External"/><Relationship Id="rId47" Type="http://schemas.openxmlformats.org/officeDocument/2006/relationships/hyperlink" Target="http://ec.europa.eu/economy_finance/publications/european_economy/2010/pdf/ee-2010-4_en.pdf" TargetMode="External"/><Relationship Id="rId50" Type="http://schemas.openxmlformats.org/officeDocument/2006/relationships/hyperlink" Target="http://www.psp.cz/sqw/historie.sqw?o=6&amp;T=412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hyperlink" Target="http://socialniporadce.mpsv.cz/files/clanky/273/Q___A_II_k_vnejsimu_pripominkovemu_rizeni.ppt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5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hyperlink" Target="http://www.mpsv.cz/files/clanky/11969/Analyza.pdf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hyperlink" Target="http://www.psp.cz/sqw/historie.sqw?o=6&amp;T=277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2.wmf"/><Relationship Id="rId44" Type="http://schemas.openxmlformats.org/officeDocument/2006/relationships/hyperlink" Target="http://www.mfcr.cz/cs/verejny-sektor/monitoring/plneni-statniho-rozpoctu/2013/statni-zaverecny-ucet-za-rok-2013-17756" TargetMode="External"/><Relationship Id="rId52" Type="http://schemas.openxmlformats.org/officeDocument/2006/relationships/hyperlink" Target="http://www.psp.cz/sqw/historie.sqw?o=6&amp;T=4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hyperlink" Target="http://www.mfcr.cz/cs/verejny-sektor/monitoring/plneni-statniho-rozpoctu/2014/statni-zaverecny-ucet-za-rok-2014-21750" TargetMode="External"/><Relationship Id="rId48" Type="http://schemas.openxmlformats.org/officeDocument/2006/relationships/hyperlink" Target="http://epp.eurostat.ec.europa.eu/tgm/graph.do?tab=graph&amp;plugin=1&amp;pcode=tessi120&amp;language=en&amp;toolbox=data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psp.cz/sqw/historie.sqw?o=6&amp;T=41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C6C1-675D-410A-8C83-7BCC4421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1562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Furova Lenka</dc:creator>
  <cp:lastModifiedBy>Hrůza Filip</cp:lastModifiedBy>
  <cp:revision>2</cp:revision>
  <dcterms:created xsi:type="dcterms:W3CDTF">2015-10-16T15:57:00Z</dcterms:created>
  <dcterms:modified xsi:type="dcterms:W3CDTF">2015-10-16T15:57:00Z</dcterms:modified>
</cp:coreProperties>
</file>