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54" w:rsidRPr="009B0BC5" w:rsidRDefault="00F6572A" w:rsidP="00A848A0">
      <w:pPr>
        <w:rPr>
          <w:rFonts w:ascii="Garamond" w:hAnsi="Garamond" w:cs="Arial"/>
          <w:sz w:val="36"/>
          <w:szCs w:val="36"/>
        </w:rPr>
      </w:pPr>
      <w:r>
        <w:rPr>
          <w:rFonts w:ascii="Garamond" w:hAnsi="Garamond" w:cs="Arial"/>
          <w:sz w:val="36"/>
          <w:szCs w:val="36"/>
        </w:rPr>
        <w:t>Cvičení č. 9</w:t>
      </w:r>
      <w:r w:rsidR="00E52049">
        <w:rPr>
          <w:rFonts w:ascii="Garamond" w:hAnsi="Garamond" w:cs="Arial"/>
          <w:sz w:val="36"/>
          <w:szCs w:val="36"/>
        </w:rPr>
        <w:t xml:space="preserve"> – Veřejné příjmy a daňová teorie I</w:t>
      </w:r>
    </w:p>
    <w:p w:rsidR="00A35254" w:rsidRPr="009B0BC5" w:rsidRDefault="0073454A" w:rsidP="00B76FA1">
      <w:pPr>
        <w:pStyle w:val="Odstavecseseznamem"/>
        <w:numPr>
          <w:ilvl w:val="0"/>
          <w:numId w:val="1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t>Veřejné příjmy</w:t>
      </w:r>
    </w:p>
    <w:p w:rsidR="0073454A" w:rsidRDefault="0073454A" w:rsidP="0073454A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 všech</w:t>
      </w:r>
      <w:r w:rsidR="00974EB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 lze zahrnout do veřejných příjmů v ČR? Pokuste se vyjmenovat několik skupin veřejných příjmů a do každé skupiny zařadit různé zdroje veřejných příjmů. (</w:t>
      </w:r>
      <w:r w:rsidRPr="0073454A">
        <w:rPr>
          <w:rFonts w:ascii="Garamond" w:hAnsi="Garamond"/>
          <w:i/>
          <w:sz w:val="24"/>
          <w:szCs w:val="24"/>
        </w:rPr>
        <w:t>např. daňové příjmy – jednotlivé daně, sociální a zdravotní</w:t>
      </w:r>
      <w:r>
        <w:rPr>
          <w:rFonts w:ascii="Garamond" w:hAnsi="Garamond"/>
          <w:i/>
          <w:sz w:val="24"/>
          <w:szCs w:val="24"/>
        </w:rPr>
        <w:t xml:space="preserve"> pojištění; nedaňové příjmy</w:t>
      </w:r>
      <w:r w:rsidR="0060451C">
        <w:rPr>
          <w:rFonts w:ascii="Garamond" w:hAnsi="Garamond"/>
          <w:i/>
          <w:sz w:val="24"/>
          <w:szCs w:val="24"/>
        </w:rPr>
        <w:t xml:space="preserve"> – příjmy rozpočtů za služby, které jsou poskytovány veřejnosti, přijaté vratky dotací, pokuty a jiné sankční platby;</w:t>
      </w:r>
      <w:r w:rsidRPr="0073454A">
        <w:rPr>
          <w:rFonts w:ascii="Garamond" w:hAnsi="Garamond"/>
          <w:i/>
          <w:sz w:val="24"/>
          <w:szCs w:val="24"/>
        </w:rPr>
        <w:t xml:space="preserve"> kapitálové příjmy, ostatní</w:t>
      </w:r>
      <w:r>
        <w:rPr>
          <w:rFonts w:ascii="Garamond" w:hAnsi="Garamond"/>
          <w:sz w:val="24"/>
          <w:szCs w:val="24"/>
        </w:rPr>
        <w:t>)</w:t>
      </w:r>
    </w:p>
    <w:p w:rsidR="009C689C" w:rsidRPr="0073454A" w:rsidRDefault="009C689C" w:rsidP="0073454A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Která skupina příjmů tvoří největší podíl veřejných příjmů?</w:t>
      </w:r>
    </w:p>
    <w:p w:rsidR="0073454A" w:rsidRDefault="0073454A" w:rsidP="009C689C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čem spočívá důležitost veřejných příjmů, k čemu slouží?</w:t>
      </w:r>
      <w:r w:rsidR="009C689C">
        <w:rPr>
          <w:rFonts w:ascii="Garamond" w:hAnsi="Garamond"/>
          <w:sz w:val="24"/>
          <w:szCs w:val="24"/>
        </w:rPr>
        <w:t xml:space="preserve"> (</w:t>
      </w:r>
      <w:r w:rsidR="009C689C" w:rsidRPr="009C689C">
        <w:rPr>
          <w:rFonts w:ascii="Garamond" w:hAnsi="Garamond"/>
          <w:i/>
          <w:sz w:val="24"/>
          <w:szCs w:val="24"/>
        </w:rPr>
        <w:t>rozpočtové omezení</w:t>
      </w:r>
      <w:r w:rsidR="009C689C">
        <w:rPr>
          <w:rFonts w:ascii="Garamond" w:hAnsi="Garamond"/>
          <w:sz w:val="24"/>
          <w:szCs w:val="24"/>
        </w:rPr>
        <w:t>)</w:t>
      </w:r>
    </w:p>
    <w:p w:rsidR="00774065" w:rsidRDefault="009C689C" w:rsidP="009C689C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Jaká je plánovaná vý</w:t>
      </w:r>
      <w:r w:rsidR="006E495E">
        <w:rPr>
          <w:rFonts w:ascii="Garamond" w:hAnsi="Garamond"/>
          <w:sz w:val="24"/>
          <w:szCs w:val="24"/>
        </w:rPr>
        <w:t>še veřejných příjmů pro rok 2014</w:t>
      </w:r>
      <w:r>
        <w:rPr>
          <w:rFonts w:ascii="Garamond" w:hAnsi="Garamond"/>
          <w:sz w:val="24"/>
          <w:szCs w:val="24"/>
        </w:rPr>
        <w:t>?</w:t>
      </w:r>
      <w:r w:rsidR="000536D4">
        <w:rPr>
          <w:rFonts w:ascii="Garamond" w:hAnsi="Garamond"/>
          <w:sz w:val="24"/>
          <w:szCs w:val="24"/>
        </w:rPr>
        <w:t xml:space="preserve"> Jak se vyvíjely veřejné příjmy v minulých letech a jaký vliv na ně měla ekonomická krize?</w:t>
      </w:r>
    </w:p>
    <w:p w:rsidR="009C689C" w:rsidRDefault="000536D4" w:rsidP="009C689C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Srovnejte velikost veřejných příj</w:t>
      </w:r>
      <w:r w:rsidR="00C46541">
        <w:rPr>
          <w:rFonts w:ascii="Garamond" w:hAnsi="Garamond"/>
          <w:sz w:val="24"/>
          <w:szCs w:val="24"/>
        </w:rPr>
        <w:t>mů s velikostí veřejných výdajů</w:t>
      </w:r>
    </w:p>
    <w:p w:rsidR="009C689C" w:rsidRDefault="009C689C" w:rsidP="009C689C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Jaká je výše veřejných příjmů k HDP v ČR a ostatních zemích v roce </w:t>
      </w:r>
      <w:r w:rsidR="006D6AFB">
        <w:rPr>
          <w:rFonts w:ascii="Garamond" w:hAnsi="Garamond"/>
          <w:sz w:val="24"/>
          <w:szCs w:val="24"/>
        </w:rPr>
        <w:t>2014</w:t>
      </w:r>
      <w:r w:rsidR="000536D4">
        <w:rPr>
          <w:rFonts w:ascii="Garamond" w:hAnsi="Garamond"/>
          <w:sz w:val="24"/>
          <w:szCs w:val="24"/>
        </w:rPr>
        <w:t>?</w:t>
      </w:r>
    </w:p>
    <w:p w:rsidR="000536D4" w:rsidRDefault="000536D4" w:rsidP="009C689C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 vyplývá z výše uvedených otázek pro ČR?</w:t>
      </w:r>
    </w:p>
    <w:p w:rsidR="009C689C" w:rsidRDefault="006D6AFB" w:rsidP="000536D4">
      <w:pPr>
        <w:spacing w:after="120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60F6DC2" wp14:editId="6E293898">
            <wp:extent cx="5904230" cy="3431685"/>
            <wp:effectExtent l="0" t="0" r="20320" b="1651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5FB4" w:rsidRPr="00D607E6" w:rsidRDefault="000536D4" w:rsidP="00D607E6">
      <w:pPr>
        <w:rPr>
          <w:rFonts w:ascii="Garamond" w:hAnsi="Garamond"/>
          <w:sz w:val="20"/>
          <w:szCs w:val="20"/>
        </w:rPr>
      </w:pPr>
      <w:r w:rsidRPr="000536D4">
        <w:rPr>
          <w:rFonts w:ascii="Garamond" w:hAnsi="Garamond"/>
          <w:sz w:val="20"/>
          <w:szCs w:val="20"/>
        </w:rPr>
        <w:t>Zdroj: Eurostat (20</w:t>
      </w:r>
      <w:r w:rsidR="005A54E7">
        <w:rPr>
          <w:rFonts w:ascii="Garamond" w:hAnsi="Garamond"/>
          <w:sz w:val="20"/>
          <w:szCs w:val="20"/>
        </w:rPr>
        <w:t>1</w:t>
      </w:r>
      <w:r w:rsidR="00BC2F7D">
        <w:rPr>
          <w:rFonts w:ascii="Garamond" w:hAnsi="Garamond"/>
          <w:sz w:val="20"/>
          <w:szCs w:val="20"/>
        </w:rPr>
        <w:t>5</w:t>
      </w:r>
      <w:r w:rsidRPr="000536D4">
        <w:rPr>
          <w:rFonts w:ascii="Garamond" w:hAnsi="Garamond"/>
          <w:sz w:val="20"/>
          <w:szCs w:val="20"/>
        </w:rPr>
        <w:t>)</w:t>
      </w:r>
    </w:p>
    <w:p w:rsidR="00EB7601" w:rsidRDefault="00EB7601" w:rsidP="00EB7601">
      <w:pPr>
        <w:pStyle w:val="Odstavecseseznamem"/>
        <w:numPr>
          <w:ilvl w:val="0"/>
          <w:numId w:val="1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t>Daňová soustava ČR</w:t>
      </w:r>
    </w:p>
    <w:p w:rsidR="00EB7601" w:rsidRPr="00EB7601" w:rsidRDefault="00EB7601" w:rsidP="00EB7601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hAnsi="Garamond" w:cs="Arial"/>
          <w:b/>
          <w:sz w:val="28"/>
          <w:szCs w:val="24"/>
        </w:rPr>
      </w:pPr>
      <w:r w:rsidRPr="00EB7601">
        <w:rPr>
          <w:rFonts w:ascii="Garamond" w:hAnsi="Garamond"/>
          <w:sz w:val="24"/>
          <w:szCs w:val="24"/>
        </w:rPr>
        <w:t>Pokuste se definovat daň, co v souvislosti s daňovými příjmy znamená princip neekvivalence, nedobrovolnost a nenávratnost?</w:t>
      </w:r>
    </w:p>
    <w:p w:rsidR="00EB7601" w:rsidRPr="00EB7601" w:rsidRDefault="00EB7601" w:rsidP="00EB7601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hAnsi="Garamond" w:cs="Arial"/>
          <w:b/>
          <w:sz w:val="28"/>
          <w:szCs w:val="24"/>
        </w:rPr>
      </w:pPr>
      <w:r w:rsidRPr="00EB7601">
        <w:rPr>
          <w:rFonts w:ascii="Garamond" w:hAnsi="Garamond"/>
          <w:sz w:val="24"/>
          <w:szCs w:val="24"/>
        </w:rPr>
        <w:t xml:space="preserve">Jaký je rozdíl mezi daní a poplatkem? Pokuste se vymezit hlavní rozdíly. Jaké poplatky znáte? </w:t>
      </w:r>
      <w:r w:rsidRPr="00EB7601">
        <w:rPr>
          <w:rFonts w:ascii="Garamond" w:hAnsi="Garamond"/>
          <w:i/>
          <w:sz w:val="24"/>
          <w:szCs w:val="24"/>
        </w:rPr>
        <w:t>(správní, soudní, místní)</w:t>
      </w:r>
    </w:p>
    <w:p w:rsidR="00EB7601" w:rsidRPr="00EB7601" w:rsidRDefault="00EB7601" w:rsidP="00EB7601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Jaké funkce daně plní. Ke každé funkci řekněte alespoň jeden příklad. </w:t>
      </w:r>
      <w:r w:rsidRPr="00EB7601">
        <w:rPr>
          <w:rFonts w:ascii="Garamond" w:hAnsi="Garamond" w:cs="Arial"/>
          <w:i/>
          <w:sz w:val="24"/>
          <w:szCs w:val="24"/>
        </w:rPr>
        <w:t>(alokační, redistribuční a stabilizační)</w:t>
      </w:r>
    </w:p>
    <w:p w:rsidR="00EB7601" w:rsidRDefault="00EB7601" w:rsidP="00EB7601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Popište daňovou soustavu ČR. Charakterizujte jednotlivé daně, jejich sazby, termín placení, kdo je správcem daně?</w:t>
      </w:r>
    </w:p>
    <w:p w:rsidR="00EB7601" w:rsidRPr="00EB7601" w:rsidRDefault="00EB7601" w:rsidP="00EB7601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EB7601">
        <w:rPr>
          <w:rFonts w:ascii="Garamond" w:hAnsi="Garamond"/>
          <w:i/>
          <w:sz w:val="24"/>
          <w:szCs w:val="24"/>
        </w:rPr>
        <w:t>Každá daň má určité charakteristiky. Podle nich můžeme daně třídit např.:</w:t>
      </w:r>
    </w:p>
    <w:p w:rsidR="00EB7601" w:rsidRPr="00EB7601" w:rsidRDefault="00EB7601" w:rsidP="00EB7601">
      <w:pPr>
        <w:pStyle w:val="Odstavecseseznamem"/>
        <w:numPr>
          <w:ilvl w:val="1"/>
          <w:numId w:val="2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EB7601">
        <w:rPr>
          <w:rFonts w:ascii="Garamond" w:hAnsi="Garamond"/>
          <w:i/>
          <w:sz w:val="24"/>
          <w:szCs w:val="24"/>
        </w:rPr>
        <w:t>Podle subjektu – plátce x poplatník (U jakých daní je poplatník shodný s plátcem?)</w:t>
      </w:r>
    </w:p>
    <w:p w:rsidR="00EB7601" w:rsidRPr="00EB7601" w:rsidRDefault="00EB7601" w:rsidP="00EB7601">
      <w:pPr>
        <w:pStyle w:val="Odstavecseseznamem"/>
        <w:numPr>
          <w:ilvl w:val="1"/>
          <w:numId w:val="2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EB7601">
        <w:rPr>
          <w:rFonts w:ascii="Garamond" w:hAnsi="Garamond"/>
          <w:i/>
          <w:sz w:val="24"/>
          <w:szCs w:val="24"/>
        </w:rPr>
        <w:t>Podle vazby na důchod poplatníka – daně přímé a nepřímé</w:t>
      </w:r>
    </w:p>
    <w:p w:rsidR="00EB7601" w:rsidRPr="00EB7601" w:rsidRDefault="00EB7601" w:rsidP="00EB7601">
      <w:pPr>
        <w:pStyle w:val="Odstavecseseznamem"/>
        <w:numPr>
          <w:ilvl w:val="1"/>
          <w:numId w:val="2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EB7601">
        <w:rPr>
          <w:rFonts w:ascii="Garamond" w:hAnsi="Garamond"/>
          <w:i/>
          <w:sz w:val="24"/>
          <w:szCs w:val="24"/>
        </w:rPr>
        <w:lastRenderedPageBreak/>
        <w:t>Podle předmětu – daně důchodové, spotřební, majetkové (dříve existovala i daň z hlavy)</w:t>
      </w:r>
    </w:p>
    <w:p w:rsidR="00EB7601" w:rsidRPr="00EB7601" w:rsidRDefault="00EB7601" w:rsidP="00EB7601">
      <w:pPr>
        <w:pStyle w:val="Odstavecseseznamem"/>
        <w:numPr>
          <w:ilvl w:val="1"/>
          <w:numId w:val="2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EB7601">
        <w:rPr>
          <w:rFonts w:ascii="Garamond" w:hAnsi="Garamond"/>
          <w:i/>
          <w:sz w:val="24"/>
          <w:szCs w:val="24"/>
        </w:rPr>
        <w:t>Podle sazby daně – pevná a procentní (progresivní, proporcionální, degresivní) sazba</w:t>
      </w:r>
    </w:p>
    <w:p w:rsidR="00EB7601" w:rsidRPr="00EB4715" w:rsidRDefault="00EB7601" w:rsidP="00BC4988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B7601">
        <w:rPr>
          <w:rFonts w:ascii="Garamond" w:hAnsi="Garamond"/>
          <w:i/>
          <w:sz w:val="24"/>
          <w:szCs w:val="24"/>
        </w:rPr>
        <w:t>Ke každému bodu uveďte příklad z české daňové soustavy</w:t>
      </w:r>
    </w:p>
    <w:p w:rsidR="00EB4715" w:rsidRPr="00BC4988" w:rsidRDefault="00EB4715" w:rsidP="00BC4988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Návrhy i na zavedení nových daní – povodňová daň apod.</w:t>
      </w:r>
    </w:p>
    <w:p w:rsidR="00EE5ECC" w:rsidRDefault="00086A67" w:rsidP="00EE5ECC">
      <w:pPr>
        <w:pStyle w:val="Odstavecseseznamem"/>
        <w:numPr>
          <w:ilvl w:val="0"/>
          <w:numId w:val="1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t>Daňové příjmy</w:t>
      </w:r>
      <w:r w:rsidR="001041C5">
        <w:rPr>
          <w:rFonts w:ascii="Garamond" w:hAnsi="Garamond" w:cs="Arial"/>
          <w:b/>
          <w:sz w:val="28"/>
          <w:szCs w:val="24"/>
        </w:rPr>
        <w:t xml:space="preserve"> v</w:t>
      </w:r>
      <w:r w:rsidR="00EE5ECC">
        <w:rPr>
          <w:rFonts w:ascii="Garamond" w:hAnsi="Garamond" w:cs="Arial"/>
          <w:b/>
          <w:sz w:val="28"/>
          <w:szCs w:val="24"/>
        </w:rPr>
        <w:t> </w:t>
      </w:r>
      <w:r w:rsidR="001041C5">
        <w:rPr>
          <w:rFonts w:ascii="Garamond" w:hAnsi="Garamond" w:cs="Arial"/>
          <w:b/>
          <w:sz w:val="28"/>
          <w:szCs w:val="24"/>
        </w:rPr>
        <w:t>ČR</w:t>
      </w:r>
    </w:p>
    <w:p w:rsidR="00EE5ECC" w:rsidRPr="00EE5ECC" w:rsidRDefault="00EE5ECC" w:rsidP="00EE5ECC">
      <w:pPr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/>
          <w:sz w:val="24"/>
          <w:szCs w:val="24"/>
        </w:rPr>
        <w:t>Vývoj podílu výnosu daní na HDP (v %)</w:t>
      </w:r>
    </w:p>
    <w:p w:rsidR="00EE5ECC" w:rsidRDefault="00EE5ECC" w:rsidP="00EE5EC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cs-CZ"/>
        </w:rPr>
        <w:drawing>
          <wp:inline distT="0" distB="0" distL="0" distR="0">
            <wp:extent cx="5895975" cy="283845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ECC" w:rsidRPr="00EE5ECC" w:rsidRDefault="00EE5ECC" w:rsidP="00EE5EC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Zdroj: MF ČR</w:t>
      </w:r>
      <w:r w:rsidR="002A364C">
        <w:rPr>
          <w:rFonts w:ascii="Garamond" w:hAnsi="Garamond"/>
          <w:sz w:val="24"/>
          <w:szCs w:val="24"/>
        </w:rPr>
        <w:t xml:space="preserve"> (2015b)</w:t>
      </w:r>
    </w:p>
    <w:p w:rsidR="009048FA" w:rsidRPr="00151798" w:rsidRDefault="00BC4988" w:rsidP="00151798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Která daň má největší podíl na daňových příjmech v ČR?</w:t>
      </w:r>
    </w:p>
    <w:p w:rsidR="001041C5" w:rsidRDefault="001041C5" w:rsidP="000D1DE2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Proč řadíme odvody sociálního a zdravotního pojištění k daňovým příjmům?</w:t>
      </w:r>
    </w:p>
    <w:p w:rsidR="003C4ED4" w:rsidRPr="00BC4988" w:rsidRDefault="000D1DE2" w:rsidP="003C4ED4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Jak se vyvíjely daňové příjmy v</w:t>
      </w:r>
      <w:r w:rsidR="003C4ED4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ČR</w:t>
      </w:r>
      <w:r w:rsidR="003C4ED4">
        <w:rPr>
          <w:rFonts w:ascii="Garamond" w:hAnsi="Garamond"/>
          <w:sz w:val="24"/>
          <w:szCs w:val="24"/>
        </w:rPr>
        <w:t xml:space="preserve"> (viz následující graf)</w:t>
      </w:r>
      <w:r w:rsidR="001041C5">
        <w:rPr>
          <w:rFonts w:ascii="Garamond" w:hAnsi="Garamond"/>
          <w:sz w:val="24"/>
          <w:szCs w:val="24"/>
        </w:rPr>
        <w:t>?</w:t>
      </w:r>
    </w:p>
    <w:p w:rsidR="003C4ED4" w:rsidRPr="003C4ED4" w:rsidRDefault="003C4ED4" w:rsidP="003C4ED4">
      <w:pPr>
        <w:rPr>
          <w:rFonts w:ascii="Garamond" w:hAnsi="Garamond"/>
          <w:b/>
          <w:sz w:val="24"/>
          <w:szCs w:val="24"/>
        </w:rPr>
      </w:pPr>
      <w:r w:rsidRPr="003C4ED4">
        <w:rPr>
          <w:rFonts w:ascii="Garamond" w:hAnsi="Garamond"/>
          <w:b/>
          <w:sz w:val="24"/>
          <w:szCs w:val="24"/>
        </w:rPr>
        <w:t>Struktura daňových příjmů ČR podle rozpočtové skladby</w:t>
      </w:r>
    </w:p>
    <w:p w:rsidR="001041C5" w:rsidRDefault="006D661F" w:rsidP="001041C5">
      <w:pPr>
        <w:jc w:val="center"/>
        <w:rPr>
          <w:rFonts w:ascii="Garamond" w:hAnsi="Garamond"/>
          <w:sz w:val="24"/>
          <w:szCs w:val="24"/>
        </w:rPr>
      </w:pPr>
      <w:r w:rsidRPr="006D661F">
        <w:rPr>
          <w:rFonts w:ascii="Garamond" w:hAnsi="Garamond"/>
          <w:noProof/>
          <w:sz w:val="24"/>
          <w:szCs w:val="24"/>
          <w:lang w:eastAsia="cs-CZ"/>
        </w:rPr>
        <w:drawing>
          <wp:inline distT="0" distB="0" distL="0" distR="0" wp14:anchorId="30B12819" wp14:editId="175C1D7A">
            <wp:extent cx="5791200" cy="2933700"/>
            <wp:effectExtent l="0" t="0" r="19050" b="1905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D661F" w:rsidRPr="006D661F" w:rsidRDefault="006D661F" w:rsidP="006D661F">
      <w:pPr>
        <w:spacing w:after="0" w:line="240" w:lineRule="auto"/>
        <w:rPr>
          <w:rFonts w:ascii="Garamond" w:hAnsi="Garamond"/>
          <w:sz w:val="20"/>
          <w:szCs w:val="24"/>
        </w:rPr>
      </w:pPr>
      <w:r w:rsidRPr="006D661F">
        <w:rPr>
          <w:rFonts w:ascii="Garamond" w:hAnsi="Garamond"/>
          <w:sz w:val="20"/>
          <w:szCs w:val="24"/>
        </w:rPr>
        <w:t>*2013 – předběžné údaje; *2014 - rozpočet</w:t>
      </w:r>
    </w:p>
    <w:p w:rsidR="006D661F" w:rsidRPr="006D661F" w:rsidRDefault="006D661F" w:rsidP="006D661F">
      <w:pPr>
        <w:spacing w:after="0" w:line="240" w:lineRule="auto"/>
        <w:rPr>
          <w:rFonts w:ascii="Garamond" w:hAnsi="Garamond"/>
          <w:sz w:val="20"/>
          <w:szCs w:val="24"/>
        </w:rPr>
      </w:pPr>
      <w:r w:rsidRPr="006D661F">
        <w:rPr>
          <w:rFonts w:ascii="Garamond" w:hAnsi="Garamond"/>
          <w:sz w:val="20"/>
          <w:szCs w:val="24"/>
        </w:rPr>
        <w:t>Zdroj: MF ČR. SZÚ za roky 2002 – 2011; Návrh SR na rok 2014.</w:t>
      </w:r>
    </w:p>
    <w:p w:rsidR="00AF5FB4" w:rsidRPr="00CD7AA4" w:rsidRDefault="00AF5FB4" w:rsidP="00CD7AA4">
      <w:pPr>
        <w:pStyle w:val="Odstavecseseznamem"/>
        <w:ind w:left="0"/>
        <w:rPr>
          <w:rFonts w:ascii="Garamond" w:hAnsi="Garamond"/>
          <w:i/>
          <w:sz w:val="24"/>
          <w:szCs w:val="24"/>
        </w:rPr>
      </w:pPr>
    </w:p>
    <w:p w:rsidR="00E734EB" w:rsidRPr="00E734EB" w:rsidRDefault="00AF5FB4" w:rsidP="00E734EB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 znamená daňová kvóta</w:t>
      </w:r>
      <w:r w:rsidR="006B2786">
        <w:rPr>
          <w:rFonts w:ascii="Garamond" w:hAnsi="Garamond"/>
          <w:sz w:val="24"/>
          <w:szCs w:val="24"/>
        </w:rPr>
        <w:t xml:space="preserve"> </w:t>
      </w:r>
      <w:r w:rsidR="006B2786" w:rsidRPr="00260B7D">
        <w:rPr>
          <w:rFonts w:ascii="Garamond" w:hAnsi="Garamond"/>
          <w:i/>
          <w:sz w:val="24"/>
          <w:szCs w:val="24"/>
        </w:rPr>
        <w:t xml:space="preserve">(úroveň daňové </w:t>
      </w:r>
      <w:r w:rsidR="00652582" w:rsidRPr="00260B7D">
        <w:rPr>
          <w:rFonts w:ascii="Garamond" w:hAnsi="Garamond"/>
          <w:i/>
          <w:sz w:val="24"/>
          <w:szCs w:val="24"/>
        </w:rPr>
        <w:t xml:space="preserve">zátěže, </w:t>
      </w:r>
      <w:r w:rsidR="00260B7D" w:rsidRPr="00260B7D">
        <w:rPr>
          <w:rFonts w:ascii="Garamond" w:hAnsi="Garamond"/>
          <w:i/>
          <w:sz w:val="24"/>
          <w:szCs w:val="24"/>
        </w:rPr>
        <w:t>v zemi, podíl daní na HDP)</w:t>
      </w:r>
      <w:r>
        <w:rPr>
          <w:rFonts w:ascii="Garamond" w:hAnsi="Garamond"/>
          <w:sz w:val="24"/>
          <w:szCs w:val="24"/>
        </w:rPr>
        <w:t>? Jaký je rozdíl mezi složenou a jednoduchou daňovou kvótou? Jak se vyvíjela česká daňová kvóta</w:t>
      </w:r>
      <w:r w:rsidR="006B2786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? Jak je to v ostatních zemích Evropy</w:t>
      </w:r>
      <w:r w:rsidR="00C104D3">
        <w:rPr>
          <w:rFonts w:ascii="Garamond" w:hAnsi="Garamond"/>
          <w:sz w:val="24"/>
          <w:szCs w:val="24"/>
        </w:rPr>
        <w:t xml:space="preserve"> (viz. následující graf)</w:t>
      </w:r>
      <w:r>
        <w:rPr>
          <w:rFonts w:ascii="Garamond" w:hAnsi="Garamond"/>
          <w:sz w:val="24"/>
          <w:szCs w:val="24"/>
        </w:rPr>
        <w:t xml:space="preserve">? </w:t>
      </w:r>
    </w:p>
    <w:p w:rsidR="00C104D3" w:rsidRPr="00C104D3" w:rsidRDefault="00C104D3" w:rsidP="00C104D3">
      <w:pPr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Daňová kvóta – mezinárodní srovnání (2012, % HDP)</w:t>
      </w:r>
    </w:p>
    <w:p w:rsidR="00551965" w:rsidRPr="005E2612" w:rsidRDefault="00C104D3" w:rsidP="00D607E6">
      <w:pPr>
        <w:ind w:left="360"/>
        <w:rPr>
          <w:rFonts w:ascii="Garamond" w:hAnsi="Garamond"/>
          <w:b/>
          <w:sz w:val="24"/>
          <w:szCs w:val="24"/>
        </w:rPr>
      </w:pPr>
      <w:r w:rsidRPr="00C104D3">
        <w:rPr>
          <w:noProof/>
          <w:lang w:eastAsia="cs-CZ"/>
        </w:rPr>
        <w:drawing>
          <wp:inline distT="0" distB="0" distL="0" distR="0" wp14:anchorId="6B07188C" wp14:editId="0A4598D7">
            <wp:extent cx="5400675" cy="2524125"/>
            <wp:effectExtent l="0" t="0" r="9525" b="952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E2612" w:rsidRDefault="00551965" w:rsidP="005E2612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Zdroj: </w:t>
      </w:r>
      <w:r w:rsidR="00C104D3">
        <w:rPr>
          <w:rFonts w:ascii="Garamond" w:hAnsi="Garamond"/>
          <w:szCs w:val="24"/>
        </w:rPr>
        <w:t>OECD.stat. (2014</w:t>
      </w:r>
      <w:r w:rsidR="005E2612" w:rsidRPr="005E2612">
        <w:rPr>
          <w:rFonts w:ascii="Garamond" w:hAnsi="Garamond"/>
          <w:szCs w:val="24"/>
        </w:rPr>
        <w:t>)</w:t>
      </w:r>
    </w:p>
    <w:p w:rsidR="00AE3B92" w:rsidRPr="00C104D3" w:rsidRDefault="00AE3B92" w:rsidP="00AE3B92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Vývoj daňové kvóty v ČR (</w:t>
      </w:r>
      <w:r>
        <w:rPr>
          <w:rFonts w:ascii="Garamond" w:hAnsi="Garamond"/>
          <w:b/>
          <w:sz w:val="24"/>
          <w:szCs w:val="24"/>
        </w:rPr>
        <w:t>% HDP)</w:t>
      </w:r>
    </w:p>
    <w:p w:rsidR="00AE3B92" w:rsidRDefault="00E734EB" w:rsidP="00AE3B92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cs-CZ"/>
        </w:rPr>
        <w:drawing>
          <wp:inline distT="0" distB="0" distL="0" distR="0" wp14:anchorId="355A9E6F" wp14:editId="707CDDF7">
            <wp:extent cx="5905500" cy="10001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92" w:rsidRDefault="00AE3B92" w:rsidP="00AE3B92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Zdroj:</w:t>
      </w:r>
      <w:r w:rsidR="007349EE">
        <w:rPr>
          <w:rFonts w:ascii="Garamond" w:hAnsi="Garamond"/>
          <w:szCs w:val="24"/>
        </w:rPr>
        <w:t xml:space="preserve"> MF ČR (2015</w:t>
      </w:r>
      <w:r w:rsidR="002A364C">
        <w:rPr>
          <w:rFonts w:ascii="Garamond" w:hAnsi="Garamond"/>
          <w:szCs w:val="24"/>
        </w:rPr>
        <w:t>a</w:t>
      </w:r>
      <w:r w:rsidRPr="005E2612">
        <w:rPr>
          <w:rFonts w:ascii="Garamond" w:hAnsi="Garamond"/>
          <w:szCs w:val="24"/>
        </w:rPr>
        <w:t>)</w:t>
      </w:r>
    </w:p>
    <w:p w:rsidR="00AF5FB4" w:rsidRDefault="00AF5FB4" w:rsidP="00191D30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Lze podle daňové kvóty usuzovat na charakter daňové soustavy a systém zdanění v určité zemi?</w:t>
      </w:r>
    </w:p>
    <w:p w:rsidR="00137529" w:rsidRPr="00CD7AA4" w:rsidRDefault="00137529" w:rsidP="00CD7AA4">
      <w:pPr>
        <w:pStyle w:val="Odstavecseseznamem"/>
        <w:ind w:left="0"/>
        <w:rPr>
          <w:rFonts w:ascii="Garamond" w:hAnsi="Garamond"/>
          <w:sz w:val="24"/>
          <w:szCs w:val="24"/>
        </w:rPr>
      </w:pPr>
    </w:p>
    <w:p w:rsidR="006C7356" w:rsidRPr="006C7356" w:rsidRDefault="00160119" w:rsidP="006C7356">
      <w:pPr>
        <w:pStyle w:val="Odstavecseseznamem"/>
        <w:numPr>
          <w:ilvl w:val="0"/>
          <w:numId w:val="1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t>Efektivnost daní</w:t>
      </w:r>
      <w:r w:rsidR="006C7356">
        <w:rPr>
          <w:rFonts w:ascii="Garamond" w:hAnsi="Garamond" w:cs="Arial"/>
          <w:b/>
          <w:sz w:val="28"/>
          <w:szCs w:val="24"/>
        </w:rPr>
        <w:t>, daňové břemeno</w:t>
      </w:r>
    </w:p>
    <w:p w:rsidR="00A35254" w:rsidRDefault="00160119" w:rsidP="00B76FA1">
      <w:pPr>
        <w:pStyle w:val="Odstavecseseznamem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Existují ještě nějaké další náklady související s výběrem daní?</w:t>
      </w:r>
      <w:r w:rsidR="00137529">
        <w:rPr>
          <w:rFonts w:ascii="Garamond" w:hAnsi="Garamond"/>
          <w:sz w:val="24"/>
          <w:szCs w:val="24"/>
        </w:rPr>
        <w:t xml:space="preserve"> Jaké dodatečné náklady, kromě samotného zaplacení daně vnímáte vy?</w:t>
      </w:r>
    </w:p>
    <w:p w:rsidR="00160119" w:rsidRDefault="00160119" w:rsidP="00160119">
      <w:pPr>
        <w:pStyle w:val="Odstavecseseznamem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Přímé administrativní náklady (např. spojené s výběrem daní)</w:t>
      </w:r>
    </w:p>
    <w:p w:rsidR="00160119" w:rsidRDefault="00160119" w:rsidP="00137529">
      <w:pPr>
        <w:pStyle w:val="Odstavecseseznamem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Nepřímé administrativní náklady (nese soukromý sektor) </w:t>
      </w:r>
    </w:p>
    <w:p w:rsidR="00137529" w:rsidRDefault="00137529" w:rsidP="005E2612">
      <w:pPr>
        <w:pStyle w:val="Odstavecseseznamem"/>
        <w:rPr>
          <w:rFonts w:ascii="Garamond" w:hAnsi="Garamond"/>
          <w:i/>
          <w:sz w:val="24"/>
          <w:szCs w:val="24"/>
        </w:rPr>
      </w:pPr>
    </w:p>
    <w:p w:rsidR="00137529" w:rsidRPr="00137529" w:rsidRDefault="00160119" w:rsidP="00137529">
      <w:pPr>
        <w:pStyle w:val="Odstavecseseznamem"/>
        <w:numPr>
          <w:ilvl w:val="0"/>
          <w:numId w:val="3"/>
        </w:numPr>
        <w:rPr>
          <w:rFonts w:ascii="Garamond" w:hAnsi="Garamond"/>
          <w:i/>
          <w:sz w:val="24"/>
          <w:szCs w:val="24"/>
        </w:rPr>
      </w:pPr>
      <w:r w:rsidRPr="00137529">
        <w:rPr>
          <w:rFonts w:ascii="Garamond" w:hAnsi="Garamond"/>
          <w:sz w:val="24"/>
          <w:szCs w:val="24"/>
        </w:rPr>
        <w:t>Ztráta mrtvé váhy</w:t>
      </w:r>
    </w:p>
    <w:p w:rsidR="00160119" w:rsidRPr="00AE7935" w:rsidRDefault="00137529" w:rsidP="00137529">
      <w:pPr>
        <w:pStyle w:val="Odstavecseseznamem"/>
        <w:numPr>
          <w:ilvl w:val="1"/>
          <w:numId w:val="3"/>
        </w:num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Představte si, že neexistují daně. Na trhu piva se bude prodávat tolik hektolitrů, kolik si zákazníci přejí a výrobci jsou schopní vyrábět </w:t>
      </w:r>
      <w:r>
        <w:rPr>
          <w:rFonts w:ascii="Times New Roman" w:hAnsi="Times New Roman"/>
          <w:sz w:val="24"/>
          <w:szCs w:val="24"/>
        </w:rPr>
        <w:t>→</w:t>
      </w:r>
      <w:r>
        <w:rPr>
          <w:rFonts w:ascii="Garamond" w:hAnsi="Garamond"/>
          <w:sz w:val="24"/>
          <w:szCs w:val="24"/>
        </w:rPr>
        <w:t xml:space="preserve"> utvoří se rovnováha. Poté se vláda rozhodne, kvůli zachování zdraví obyvatelstva a svým zvyšujícím se výdajům zavést spotřební daň na pivo (</w:t>
      </w:r>
      <w:r>
        <w:rPr>
          <w:rFonts w:ascii="Garamond" w:hAnsi="Garamond"/>
          <w:sz w:val="24"/>
          <w:szCs w:val="24"/>
          <w:lang w:val="en-US"/>
        </w:rPr>
        <w:t>$</w:t>
      </w:r>
      <w:r>
        <w:rPr>
          <w:rFonts w:ascii="Garamond" w:hAnsi="Garamond"/>
          <w:sz w:val="24"/>
          <w:szCs w:val="24"/>
        </w:rPr>
        <w:t>1.50). Protože je to nepřímá daň, výrobci přenesou tento „dodatečný náklad“ na své spotřebitele a stoupne</w:t>
      </w:r>
      <w:r w:rsidR="00AE7935">
        <w:rPr>
          <w:rFonts w:ascii="Garamond" w:hAnsi="Garamond"/>
          <w:sz w:val="24"/>
          <w:szCs w:val="24"/>
        </w:rPr>
        <w:t xml:space="preserve"> cena piva. Lidé tak </w:t>
      </w:r>
      <w:r w:rsidR="00AE7935">
        <w:rPr>
          <w:rFonts w:ascii="Garamond" w:hAnsi="Garamond"/>
          <w:sz w:val="24"/>
          <w:szCs w:val="24"/>
        </w:rPr>
        <w:lastRenderedPageBreak/>
        <w:t>budou nuceni vzhledem ke svým omezeným příjmům snížit spotřebu piva a nahradí ho např. vínem, které</w:t>
      </w:r>
      <w:r w:rsidR="005E2612">
        <w:rPr>
          <w:rFonts w:ascii="Garamond" w:hAnsi="Garamond"/>
          <w:sz w:val="24"/>
          <w:szCs w:val="24"/>
        </w:rPr>
        <w:t xml:space="preserve"> je levnější</w:t>
      </w:r>
      <w:r w:rsidR="00AE7935">
        <w:rPr>
          <w:rFonts w:ascii="Garamond" w:hAnsi="Garamond"/>
          <w:sz w:val="24"/>
          <w:szCs w:val="24"/>
        </w:rPr>
        <w:t>, prodá se méně hektolitrů piva a výrobci omezí svojí výrobu.</w:t>
      </w:r>
    </w:p>
    <w:p w:rsidR="00AE7935" w:rsidRPr="00137529" w:rsidRDefault="00096FC4" w:rsidP="00137529">
      <w:pPr>
        <w:pStyle w:val="Odstavecseseznamem"/>
        <w:numPr>
          <w:ilvl w:val="1"/>
          <w:numId w:val="3"/>
        </w:num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K jakým ztrátám a výnosům a na jaké straně (spotřebitel, výrobce, stát) v této situaci došlo?</w:t>
      </w:r>
    </w:p>
    <w:p w:rsidR="00AE7935" w:rsidRDefault="005E2612" w:rsidP="00C104D3">
      <w:pPr>
        <w:jc w:val="center"/>
        <w:rPr>
          <w:rFonts w:ascii="Garamond" w:hAnsi="Garamond"/>
          <w:sz w:val="24"/>
          <w:szCs w:val="24"/>
        </w:rPr>
      </w:pPr>
      <w:r w:rsidRPr="005E2612">
        <w:rPr>
          <w:rFonts w:ascii="Garamond" w:hAnsi="Garamond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20ACF" wp14:editId="6CF58262">
                <wp:simplePos x="0" y="0"/>
                <wp:positionH relativeFrom="column">
                  <wp:posOffset>2543810</wp:posOffset>
                </wp:positionH>
                <wp:positionV relativeFrom="paragraph">
                  <wp:posOffset>2943225</wp:posOffset>
                </wp:positionV>
                <wp:extent cx="885825" cy="3238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612" w:rsidRPr="005E2612" w:rsidRDefault="005E261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E2612">
                              <w:rPr>
                                <w:b/>
                                <w:sz w:val="28"/>
                              </w:rPr>
                              <w:t>P</w:t>
                            </w:r>
                            <w:r>
                              <w:rPr>
                                <w:b/>
                                <w:sz w:val="28"/>
                              </w:rPr>
                              <w:t>ivo (hl)</w:t>
                            </w:r>
                          </w:p>
                          <w:p w:rsidR="005E2612" w:rsidRDefault="005E26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3pt;margin-top:231.75pt;width:69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bOHwIAABwEAAAOAAAAZHJzL2Uyb0RvYy54bWysU21v2yAQ/j5p/wHxfbHjJGtqxam6dJkm&#10;dS9Sux+AMY7RgGNAYme/fgdO06j7VpUPiOPuHp577ljdDFqRg3BegqnodJJTIgyHRppdRX89bj8s&#10;KfGBmYYpMKKiR+Hpzfr9u1VvS1FAB6oRjiCI8WVvK9qFYMss87wTmvkJWGHQ2YLTLKDpdlnjWI/o&#10;WmVFnn/MenCNdcCF93h7NzrpOuG3reDhR9t6EYiqKHILaXdpr+OerVes3DlmO8lPNNgrWGgmDT56&#10;hrpjgZG9k/9BackdeGjDhIPOoG0lF6kGrGaav6jmoWNWpFpQHG/PMvm3g+XfDz8dkU1FZ/kVJYZp&#10;bNKjGAL5BAMpoj699SWGPVgMDANeY59Trd7eA//tiYFNx8xO3DoHfSdYg/ymMTO7SB1xfASp+2/Q&#10;4DNsHyABDa3TUTyUgyA69ul47k2kwvFyuVwsiwUlHF2zYrZcpN5lrHxKts6HLwI0iYeKOmx9AmeH&#10;ex8iGVY+hcS3PCjZbKVSyXC7eqMcOTAck21aif+LMGVIX9HrBfKIWQZifpogLQOOsZIaieZxjYMV&#10;xfhsmhQSmFTjGZkoc1InCjJKE4Z6wMAoWQ3NEXVyMI4rfi88dOD+UtLjqFbU/9kzJyhRXw1qfT2d&#10;z+NsJ2O+uCrQcJee+tLDDEeoigZKxuMmpP8wVnSLPWll0uuZyYkrjmCS8fRd4oxf2inq+VOv/wEA&#10;AP//AwBQSwMEFAAGAAgAAAAhADEG3RzdAAAACwEAAA8AAABkcnMvZG93bnJldi54bWxMj8FOg0AQ&#10;hu8mvsNmTLwYu6BAFVkaNdF4be0DDDAFIjtL2G2hb+94srd/Mn+++abYLHZQJ5p879hAvIpAEdeu&#10;6bk1sP/+uH8C5QNyg4NjMnAmD5vy+qrAvHEzb+m0C60SCPscDXQhjLnWvu7Iol+5kVh2BzdZDDJO&#10;rW4mnAVuB/0QRZm22LNc6HCk947qn93RGjh8zXfp81x9hv16m2Rv2K8rdzbm9mZ5fQEVaAn/ZfjT&#10;F3UoxalyR268GgwkQpeqhOwxBSWNNIliUJWEOElBl4W+/KH8BQAA//8DAFBLAQItABQABgAIAAAA&#10;IQC2gziS/gAAAOEBAAATAAAAAAAAAAAAAAAAAAAAAABbQ29udGVudF9UeXBlc10ueG1sUEsBAi0A&#10;FAAGAAgAAAAhADj9If/WAAAAlAEAAAsAAAAAAAAAAAAAAAAALwEAAF9yZWxzLy5yZWxzUEsBAi0A&#10;FAAGAAgAAAAhAKw5Bs4fAgAAHAQAAA4AAAAAAAAAAAAAAAAALgIAAGRycy9lMm9Eb2MueG1sUEsB&#10;Ai0AFAAGAAgAAAAhADEG3RzdAAAACwEAAA8AAAAAAAAAAAAAAAAAeQQAAGRycy9kb3ducmV2Lnht&#10;bFBLBQYAAAAABAAEAPMAAACDBQAAAAA=&#10;" stroked="f">
                <v:textbox>
                  <w:txbxContent>
                    <w:p w:rsidR="005E2612" w:rsidRPr="005E2612" w:rsidRDefault="005E2612">
                      <w:pPr>
                        <w:rPr>
                          <w:b/>
                          <w:sz w:val="28"/>
                        </w:rPr>
                      </w:pPr>
                      <w:r w:rsidRPr="005E2612">
                        <w:rPr>
                          <w:b/>
                          <w:sz w:val="28"/>
                        </w:rPr>
                        <w:t>P</w:t>
                      </w:r>
                      <w:r>
                        <w:rPr>
                          <w:b/>
                          <w:sz w:val="28"/>
                        </w:rPr>
                        <w:t>ivo (hl)</w:t>
                      </w:r>
                    </w:p>
                    <w:p w:rsidR="005E2612" w:rsidRDefault="005E2612"/>
                  </w:txbxContent>
                </v:textbox>
              </v:shape>
            </w:pict>
          </mc:Fallback>
        </mc:AlternateContent>
      </w:r>
      <w:r w:rsidR="00EC567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3218815</wp:posOffset>
                </wp:positionV>
                <wp:extent cx="790575" cy="20955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207.8pt;margin-top:253.45pt;width:62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ZhmwIAAKwFAAAOAAAAZHJzL2Uyb0RvYy54bWysVM1u2zAMvg/YOwi6r3aCZF2DOkWQIsOA&#10;oi3WDj0rshQLk0VNUuJkb7TDnqIvVkr+SdcVOxTLQRFN8iP5ieT5xb7WZCecV2AKOjrJKRGGQ6nM&#10;pqDf7lcfPlHiAzMl02BEQQ/C04v5+3fnjZ2JMVSgS+EIghg/a2xBqxDsLMs8r0TN/AlYYVApwdUs&#10;oOg2WelYg+i1zsZ5/jFrwJXWARfe49fLVknnCV9KwcONlF4EoguKuYV0unSu45nNz9ls45itFO/S&#10;YG/IombKYNAB6pIFRrZO/QVVK+7AgwwnHOoMpFRcpBqwmlH+opq7ilmRakFyvB1o8v8Pll/vbh1R&#10;ZUEnlBhW4xPdrMvHX9o8/v5OJpGfxvoZmt3ZW9dJHq+x2L10dfzHMsg+cXoYOBX7QDh+PD3Lp6dT&#10;SjiqxvnZdJo4z47O1vnwWUBN4qWgDp8sMcl2Vz5gQDTtTWIsD1qVK6V1EmKbiKV2ZMfwgdebUUwY&#10;Pf6w0uZNjggTPbNYf1txuoWDFhFPm69CInNY4zglnHr2mAzjXJgwalUVK0Wb4zTHX59ln37KOQFG&#10;ZInVDdgdQG/ZgvTYbbGdfXQVqeUH5/xfibXOg0eKDCYMzrUy4F4D0FhVF7m170lqqYksraE8YF85&#10;aAfOW75S+LxXzIdb5nDCcBZxa4QbPKSGpqDQ3SipwP187Xu0x8ZHLSUNTmxB/Y8tc4IS/cXgSJyN&#10;JpM44kmYTE/HKLjnmvVzjdnWS8CeGeF+sjxdo33Q/VU6qB9wuSxiVFQxwzF2QXlwvbAM7SbB9cTF&#10;YpHMcKwtC1fmzvIIHlmN7Xu/f2DOdj0ecDiuoZ9uNnvR6q1t9DSw2AaQKs3BkdeOb1wJqXG69RV3&#10;znM5WR2X7PwJAAD//wMAUEsDBBQABgAIAAAAIQCF9ETc3wAAAAsBAAAPAAAAZHJzL2Rvd25yZXYu&#10;eG1sTI/BTsMwDIbvSLxDZCQuiCWFtVpK0wkhcQUxuHDLGq+paJIqybrC02NO7GbLn35/f7Nd3Mhm&#10;jGkIXkGxEsDQd8EMvlfw8f58uwGWsvZGj8Gjgm9MsG0vLxpdm3Dybzjvcs8oxKdaK7A5TzXnqbPo&#10;dFqFCT3dDiE6nWmNPTdRnyjcjfxOiIo7PXj6YPWETxa7r93RKZA/3WvehKm0efiUvSteDnG+Uer6&#10;anl8AJZxyf8w/OmTOrTktA9HbxIbFayLsiJUQSkqCYyIci0KYHsa7qUE3jb8vEP7CwAA//8DAFBL&#10;AQItABQABgAIAAAAIQC2gziS/gAAAOEBAAATAAAAAAAAAAAAAAAAAAAAAABbQ29udGVudF9UeXBl&#10;c10ueG1sUEsBAi0AFAAGAAgAAAAhADj9If/WAAAAlAEAAAsAAAAAAAAAAAAAAAAALwEAAF9yZWxz&#10;Ly5yZWxzUEsBAi0AFAAGAAgAAAAhAMxI1mGbAgAArAUAAA4AAAAAAAAAAAAAAAAALgIAAGRycy9l&#10;Mm9Eb2MueG1sUEsBAi0AFAAGAAgAAAAhAIX0RNzfAAAACwEAAA8AAAAAAAAAAAAAAAAA9QQAAGRy&#10;cy9kb3ducmV2LnhtbFBLBQYAAAAABAAEAPMAAAABBgAAAAA=&#10;" fillcolor="white [3212]" strokecolor="white [3212]" strokeweight="2pt"/>
            </w:pict>
          </mc:Fallback>
        </mc:AlternateContent>
      </w:r>
      <w:r w:rsidR="00ED24CB">
        <w:rPr>
          <w:noProof/>
          <w:lang w:eastAsia="cs-CZ"/>
        </w:rPr>
        <w:drawing>
          <wp:inline distT="0" distB="0" distL="0" distR="0" wp14:anchorId="559087B7" wp14:editId="24B35644">
            <wp:extent cx="5448300" cy="326019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553" cy="326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AA4" w:rsidRPr="00C104D3" w:rsidRDefault="00333213" w:rsidP="00C104D3">
      <w:pPr>
        <w:jc w:val="center"/>
        <w:rPr>
          <w:rFonts w:ascii="Garamond" w:hAnsi="Garamond"/>
          <w:b/>
          <w:sz w:val="24"/>
          <w:szCs w:val="24"/>
        </w:rPr>
      </w:pPr>
      <w:r w:rsidRPr="00333213">
        <w:rPr>
          <w:rFonts w:ascii="Garamond" w:hAnsi="Garamond"/>
          <w:b/>
          <w:sz w:val="24"/>
          <w:szCs w:val="24"/>
          <w:bdr w:val="single" w:sz="4" w:space="0" w:color="auto"/>
        </w:rPr>
        <w:t>Daňové břemeno = daň + nadměrné daňové břemeno + administrativní náklady</w:t>
      </w:r>
      <w:r w:rsidRPr="00333213">
        <w:rPr>
          <w:rFonts w:ascii="Garamond" w:hAnsi="Garamond"/>
          <w:b/>
          <w:sz w:val="24"/>
          <w:szCs w:val="24"/>
        </w:rPr>
        <w:t xml:space="preserve"> </w:t>
      </w:r>
    </w:p>
    <w:p w:rsidR="00CD7AA4" w:rsidRPr="00CD7AA4" w:rsidRDefault="00CD7AA4" w:rsidP="00CD7AA4">
      <w:pPr>
        <w:pStyle w:val="Odstavecseseznamem"/>
        <w:ind w:left="0"/>
        <w:rPr>
          <w:rFonts w:ascii="Garamond" w:hAnsi="Garamond"/>
          <w:sz w:val="24"/>
          <w:szCs w:val="24"/>
        </w:rPr>
      </w:pPr>
    </w:p>
    <w:p w:rsidR="00137529" w:rsidRPr="00137529" w:rsidRDefault="00160119" w:rsidP="00137529">
      <w:pPr>
        <w:pStyle w:val="Odstavecseseznamem"/>
        <w:numPr>
          <w:ilvl w:val="0"/>
          <w:numId w:val="1"/>
        </w:numPr>
        <w:spacing w:before="240"/>
        <w:ind w:left="426" w:hanging="426"/>
        <w:jc w:val="both"/>
        <w:rPr>
          <w:rStyle w:val="Siln"/>
          <w:rFonts w:ascii="Garamond" w:hAnsi="Garamond" w:cs="Arial"/>
          <w:bCs w:val="0"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t xml:space="preserve">Seminární práce: </w:t>
      </w:r>
      <w:r>
        <w:rPr>
          <w:rStyle w:val="Siln"/>
          <w:color w:val="FF0000"/>
        </w:rPr>
        <w:t>Dopad změny DPH na občany</w:t>
      </w:r>
    </w:p>
    <w:p w:rsidR="00AE7935" w:rsidRPr="00AE7935" w:rsidRDefault="00137529" w:rsidP="00AE7935">
      <w:pPr>
        <w:pStyle w:val="Odstavecseseznamem"/>
        <w:numPr>
          <w:ilvl w:val="0"/>
          <w:numId w:val="3"/>
        </w:numPr>
        <w:spacing w:before="240"/>
        <w:jc w:val="both"/>
        <w:rPr>
          <w:rFonts w:ascii="Garamond" w:hAnsi="Garamond" w:cs="Arial"/>
          <w:b/>
          <w:sz w:val="28"/>
          <w:szCs w:val="24"/>
        </w:rPr>
      </w:pPr>
      <w:r w:rsidRPr="00AE7935">
        <w:rPr>
          <w:rFonts w:ascii="Garamond" w:eastAsia="Times New Roman" w:hAnsi="Garamond"/>
          <w:sz w:val="24"/>
          <w:szCs w:val="24"/>
          <w:lang w:eastAsia="cs-CZ"/>
        </w:rPr>
        <w:t>Popište podobu DPH, způsob jeho harmonizace, pozornost věnujte vývoji základu daně a sazeb</w:t>
      </w:r>
    </w:p>
    <w:p w:rsidR="00AE7935" w:rsidRPr="00AE7935" w:rsidRDefault="00137529" w:rsidP="00AE7935">
      <w:pPr>
        <w:pStyle w:val="Odstavecseseznamem"/>
        <w:numPr>
          <w:ilvl w:val="0"/>
          <w:numId w:val="3"/>
        </w:numPr>
        <w:spacing w:before="240"/>
        <w:jc w:val="both"/>
        <w:rPr>
          <w:rFonts w:ascii="Garamond" w:hAnsi="Garamond" w:cs="Arial"/>
          <w:b/>
          <w:sz w:val="28"/>
          <w:szCs w:val="24"/>
        </w:rPr>
      </w:pPr>
      <w:r w:rsidRPr="00AE7935">
        <w:rPr>
          <w:rFonts w:ascii="Garamond" w:eastAsia="Times New Roman" w:hAnsi="Garamond"/>
          <w:sz w:val="24"/>
          <w:szCs w:val="24"/>
          <w:lang w:eastAsia="cs-CZ"/>
        </w:rPr>
        <w:t>Na základě provedených studií představte dopad změn DPH na českou společnost (např. IDEA)</w:t>
      </w:r>
    </w:p>
    <w:p w:rsidR="00AE7935" w:rsidRPr="00AE7935" w:rsidRDefault="00137529" w:rsidP="00AE7935">
      <w:pPr>
        <w:pStyle w:val="Odstavecseseznamem"/>
        <w:numPr>
          <w:ilvl w:val="0"/>
          <w:numId w:val="3"/>
        </w:numPr>
        <w:spacing w:before="240"/>
        <w:jc w:val="both"/>
        <w:rPr>
          <w:rFonts w:ascii="Garamond" w:hAnsi="Garamond" w:cs="Arial"/>
          <w:b/>
          <w:sz w:val="28"/>
          <w:szCs w:val="24"/>
        </w:rPr>
      </w:pPr>
      <w:r w:rsidRPr="00AE7935">
        <w:rPr>
          <w:rFonts w:ascii="Garamond" w:eastAsia="Times New Roman" w:hAnsi="Garamond"/>
          <w:sz w:val="24"/>
          <w:szCs w:val="24"/>
          <w:lang w:eastAsia="cs-CZ"/>
        </w:rPr>
        <w:t>Popište metodiku měření incidence DPH z uvedených studií a diskutujte jejich slabiny</w:t>
      </w:r>
    </w:p>
    <w:p w:rsidR="00A35254" w:rsidRPr="00333213" w:rsidRDefault="00137529" w:rsidP="00194A4C">
      <w:pPr>
        <w:pStyle w:val="Odstavecseseznamem"/>
        <w:numPr>
          <w:ilvl w:val="0"/>
          <w:numId w:val="3"/>
        </w:numPr>
        <w:spacing w:before="240"/>
        <w:jc w:val="both"/>
        <w:rPr>
          <w:rFonts w:ascii="Garamond" w:hAnsi="Garamond" w:cs="Arial"/>
          <w:b/>
          <w:sz w:val="28"/>
          <w:szCs w:val="24"/>
        </w:rPr>
      </w:pPr>
      <w:r w:rsidRPr="00AE7935">
        <w:rPr>
          <w:rFonts w:ascii="Garamond" w:eastAsia="Times New Roman" w:hAnsi="Garamond"/>
          <w:sz w:val="24"/>
          <w:szCs w:val="24"/>
          <w:lang w:eastAsia="cs-CZ"/>
        </w:rPr>
        <w:t>Udělejte stručné mezinárodní srovnání sazeb DPH v různých vybraných zemích</w:t>
      </w:r>
    </w:p>
    <w:p w:rsidR="00333213" w:rsidRPr="00CD7AA4" w:rsidRDefault="00333213" w:rsidP="00CD7AA4">
      <w:pPr>
        <w:pStyle w:val="Odstavecseseznamem"/>
        <w:ind w:left="0"/>
        <w:rPr>
          <w:rFonts w:ascii="Garamond" w:hAnsi="Garamond"/>
          <w:sz w:val="24"/>
          <w:szCs w:val="24"/>
        </w:rPr>
      </w:pPr>
    </w:p>
    <w:p w:rsidR="00333213" w:rsidRDefault="00333213" w:rsidP="00333213">
      <w:pPr>
        <w:pStyle w:val="Odstavecseseznamem"/>
        <w:numPr>
          <w:ilvl w:val="0"/>
          <w:numId w:val="1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t>Daňový přesun a dopad</w:t>
      </w:r>
    </w:p>
    <w:p w:rsidR="00333213" w:rsidRPr="00333213" w:rsidRDefault="00333213" w:rsidP="00333213">
      <w:pPr>
        <w:pStyle w:val="Odstavecseseznamem"/>
        <w:numPr>
          <w:ilvl w:val="0"/>
          <w:numId w:val="3"/>
        </w:numPr>
        <w:spacing w:before="240"/>
        <w:jc w:val="both"/>
        <w:rPr>
          <w:rFonts w:ascii="Garamond" w:hAnsi="Garamond" w:cs="Arial"/>
          <w:sz w:val="24"/>
          <w:szCs w:val="24"/>
        </w:rPr>
      </w:pPr>
      <w:r w:rsidRPr="00333213">
        <w:rPr>
          <w:rFonts w:ascii="Garamond" w:hAnsi="Garamond" w:cs="Arial"/>
          <w:sz w:val="24"/>
          <w:szCs w:val="24"/>
        </w:rPr>
        <w:t>Daňová incidence</w:t>
      </w:r>
    </w:p>
    <w:p w:rsidR="00333213" w:rsidRDefault="00333213" w:rsidP="00333213">
      <w:pPr>
        <w:pStyle w:val="Odstavecseseznamem"/>
        <w:numPr>
          <w:ilvl w:val="1"/>
          <w:numId w:val="3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různé míře dochází k přesunu daně do nákladů, nájemného apod. </w:t>
      </w:r>
      <w:r>
        <w:rPr>
          <w:rFonts w:ascii="Times New Roman" w:hAnsi="Times New Roman"/>
          <w:sz w:val="24"/>
          <w:szCs w:val="24"/>
        </w:rPr>
        <w:t>→</w:t>
      </w:r>
      <w:r>
        <w:rPr>
          <w:rFonts w:ascii="Garamond" w:hAnsi="Garamond" w:cs="Arial"/>
          <w:sz w:val="24"/>
          <w:szCs w:val="24"/>
        </w:rPr>
        <w:t xml:space="preserve"> v různé míře se přenáší daňové zatížení na jiný subjekt. Tedy může být rozdíl mezi zákonným dopadem daně a skutečným dopadem daně</w:t>
      </w:r>
    </w:p>
    <w:p w:rsidR="00333213" w:rsidRDefault="00333213" w:rsidP="00333213">
      <w:pPr>
        <w:pStyle w:val="Odstavecseseznamem"/>
        <w:numPr>
          <w:ilvl w:val="1"/>
          <w:numId w:val="3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Např. pronajmete si byt a váš pronajímatel do ceny nájmu započte daň z příjmu z nájemného, kterou musí on pravidelně platit</w:t>
      </w:r>
    </w:p>
    <w:p w:rsidR="00EE2F59" w:rsidRDefault="00EE2F59" w:rsidP="00333213">
      <w:pPr>
        <w:pStyle w:val="Odstavecseseznamem"/>
        <w:numPr>
          <w:ilvl w:val="1"/>
          <w:numId w:val="3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Na trhu kterých služeb nebo zboží lze pozorovat velkou daňovou incidenci?</w:t>
      </w:r>
    </w:p>
    <w:p w:rsidR="00EE2F59" w:rsidRDefault="00EE2F59" w:rsidP="00333213">
      <w:pPr>
        <w:pStyle w:val="Odstavecseseznamem"/>
        <w:numPr>
          <w:ilvl w:val="1"/>
          <w:numId w:val="3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Lze nějak omezit, popř. zabránit daňové incidenci?</w:t>
      </w:r>
    </w:p>
    <w:p w:rsidR="00CD7AA4" w:rsidRPr="00CD7AA4" w:rsidRDefault="00CD7AA4" w:rsidP="00CD7AA4">
      <w:pPr>
        <w:pStyle w:val="Odstavecseseznamem"/>
        <w:ind w:left="0"/>
        <w:rPr>
          <w:rFonts w:ascii="Garamond" w:hAnsi="Garamond"/>
          <w:sz w:val="24"/>
          <w:szCs w:val="24"/>
        </w:rPr>
      </w:pPr>
    </w:p>
    <w:p w:rsidR="006320DB" w:rsidRDefault="006320DB" w:rsidP="006320DB">
      <w:pPr>
        <w:pStyle w:val="Odstavecseseznamem"/>
        <w:numPr>
          <w:ilvl w:val="0"/>
          <w:numId w:val="1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t>Závěr</w:t>
      </w:r>
    </w:p>
    <w:p w:rsidR="006320DB" w:rsidRDefault="006C7356" w:rsidP="006320DB">
      <w:pPr>
        <w:pStyle w:val="Odstavecseseznamem"/>
        <w:numPr>
          <w:ilvl w:val="0"/>
          <w:numId w:val="3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Veřejné příjmy představují rozpočtové omezení veřejného sektoru</w:t>
      </w:r>
    </w:p>
    <w:p w:rsidR="006C7356" w:rsidRDefault="006C7356" w:rsidP="006320DB">
      <w:pPr>
        <w:pStyle w:val="Odstavecseseznamem"/>
        <w:numPr>
          <w:ilvl w:val="0"/>
          <w:numId w:val="3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Hlavními příjmy veřejných rozpočtů jsou v ČR daňové příjmy</w:t>
      </w:r>
    </w:p>
    <w:p w:rsidR="006C7356" w:rsidRDefault="006C7356" w:rsidP="006320DB">
      <w:pPr>
        <w:pStyle w:val="Odstavecseseznamem"/>
        <w:numPr>
          <w:ilvl w:val="0"/>
          <w:numId w:val="3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Daň je pravidelná, zákonem předem sazbou stanovená částka, odváděná na neekvivalentním a neúčelovém principu do veřejného rozpočtu</w:t>
      </w:r>
    </w:p>
    <w:p w:rsidR="006C7356" w:rsidRDefault="006C7356" w:rsidP="006320DB">
      <w:pPr>
        <w:pStyle w:val="Odstavecseseznamem"/>
        <w:numPr>
          <w:ilvl w:val="0"/>
          <w:numId w:val="3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Každá země má jinou podobu daňového systému, daňová kvóta pouze uvádí míru zdanění subjektů v ekonomice, ale neříká nic o podobě daňového systému</w:t>
      </w:r>
    </w:p>
    <w:p w:rsidR="006C7356" w:rsidRDefault="006C7356" w:rsidP="006320DB">
      <w:pPr>
        <w:pStyle w:val="Odstavecseseznamem"/>
        <w:numPr>
          <w:ilvl w:val="0"/>
          <w:numId w:val="3"/>
        </w:numPr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Výběr daní s sebou nese další „vedlejší“ náklady – administrativní náklady, přímé a nepřímé, ztráta mrtvé váhy</w:t>
      </w:r>
    </w:p>
    <w:p w:rsidR="00333213" w:rsidRPr="00CD7AA4" w:rsidRDefault="00333213" w:rsidP="00CD7AA4">
      <w:pPr>
        <w:pStyle w:val="Odstavecseseznamem"/>
        <w:ind w:left="0"/>
        <w:rPr>
          <w:rFonts w:ascii="Garamond" w:hAnsi="Garamond"/>
          <w:sz w:val="24"/>
          <w:szCs w:val="24"/>
        </w:rPr>
      </w:pPr>
    </w:p>
    <w:p w:rsidR="00A35254" w:rsidRDefault="006320DB" w:rsidP="00B76FA1">
      <w:pPr>
        <w:pStyle w:val="Odstavecseseznamem"/>
        <w:numPr>
          <w:ilvl w:val="0"/>
          <w:numId w:val="1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t>Příště</w:t>
      </w:r>
    </w:p>
    <w:p w:rsidR="006320DB" w:rsidRPr="006320DB" w:rsidRDefault="006320DB" w:rsidP="006320DB">
      <w:pPr>
        <w:pStyle w:val="Odstavecseseznamem"/>
        <w:numPr>
          <w:ilvl w:val="0"/>
          <w:numId w:val="3"/>
        </w:numPr>
        <w:spacing w:before="24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to co se nestihlo</w:t>
      </w:r>
    </w:p>
    <w:p w:rsidR="006320DB" w:rsidRPr="006320DB" w:rsidRDefault="006320DB" w:rsidP="006320DB">
      <w:pPr>
        <w:pStyle w:val="Odstavecseseznamem"/>
        <w:numPr>
          <w:ilvl w:val="0"/>
          <w:numId w:val="3"/>
        </w:numPr>
        <w:spacing w:before="24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přímé daně</w:t>
      </w:r>
    </w:p>
    <w:p w:rsidR="00A35254" w:rsidRPr="006320DB" w:rsidRDefault="006320DB" w:rsidP="00191D30">
      <w:pPr>
        <w:pStyle w:val="Odstavecseseznamem"/>
        <w:numPr>
          <w:ilvl w:val="0"/>
          <w:numId w:val="3"/>
        </w:numPr>
        <w:spacing w:before="24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daňová spravedlnost</w:t>
      </w:r>
    </w:p>
    <w:p w:rsidR="006320DB" w:rsidRPr="00CD7AA4" w:rsidRDefault="006320DB" w:rsidP="00CD7AA4">
      <w:pPr>
        <w:pStyle w:val="Odstavecseseznamem"/>
        <w:ind w:left="0"/>
        <w:rPr>
          <w:rFonts w:ascii="Garamond" w:hAnsi="Garamond"/>
          <w:sz w:val="24"/>
          <w:szCs w:val="24"/>
        </w:rPr>
      </w:pPr>
    </w:p>
    <w:p w:rsidR="00467332" w:rsidRDefault="00A35254" w:rsidP="00467332">
      <w:pPr>
        <w:pStyle w:val="Odstavecseseznamem"/>
        <w:numPr>
          <w:ilvl w:val="0"/>
          <w:numId w:val="1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 w:rsidRPr="009B0BC5">
        <w:rPr>
          <w:rFonts w:ascii="Garamond" w:hAnsi="Garamond" w:cs="Arial"/>
          <w:b/>
          <w:sz w:val="28"/>
          <w:szCs w:val="24"/>
        </w:rPr>
        <w:t>Doporučená literatura a odkazy</w:t>
      </w:r>
    </w:p>
    <w:p w:rsidR="00467332" w:rsidRDefault="00467332" w:rsidP="00467332">
      <w:pPr>
        <w:pStyle w:val="Odstavecseseznamem"/>
        <w:spacing w:before="240"/>
        <w:ind w:left="426"/>
        <w:jc w:val="both"/>
        <w:rPr>
          <w:rFonts w:ascii="Times New Roman" w:hAnsi="Times New Roman"/>
          <w:sz w:val="24"/>
          <w:szCs w:val="24"/>
        </w:rPr>
      </w:pPr>
    </w:p>
    <w:p w:rsidR="002A364C" w:rsidRDefault="002A364C" w:rsidP="00467332">
      <w:pPr>
        <w:pStyle w:val="Odstavecseseznamem"/>
        <w:spacing w:before="24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Garamond" w:hAnsi="Garamond"/>
        </w:rPr>
        <w:t xml:space="preserve">MF ČR (2015a). </w:t>
      </w:r>
      <w:r w:rsidRPr="00247A26">
        <w:rPr>
          <w:rFonts w:ascii="Garamond" w:hAnsi="Garamond"/>
        </w:rPr>
        <w:t>Zpráva k návrhu zákona o státním rozpočtu</w:t>
      </w:r>
      <w:r>
        <w:rPr>
          <w:rFonts w:ascii="Garamond" w:hAnsi="Garamond"/>
        </w:rPr>
        <w:t xml:space="preserve"> </w:t>
      </w:r>
      <w:r w:rsidRPr="00247A26">
        <w:rPr>
          <w:rFonts w:ascii="Garamond" w:hAnsi="Garamond"/>
        </w:rPr>
        <w:t>ČR na rok 2015</w:t>
      </w:r>
      <w:r>
        <w:rPr>
          <w:rFonts w:ascii="Garamond" w:hAnsi="Garamond"/>
        </w:rPr>
        <w:t xml:space="preserve">. </w:t>
      </w:r>
      <w:r w:rsidRPr="00467332">
        <w:rPr>
          <w:rFonts w:ascii="Garamond" w:hAnsi="Garamond"/>
        </w:rPr>
        <w:t>[online]. Dostupné z</w:t>
      </w:r>
      <w:r>
        <w:rPr>
          <w:rFonts w:ascii="Garamond" w:hAnsi="Garamond"/>
        </w:rPr>
        <w:t>:  &lt;</w:t>
      </w:r>
      <w:hyperlink r:id="rId15" w:history="1">
        <w:r w:rsidRPr="004817EB">
          <w:rPr>
            <w:rStyle w:val="Hypertextovodkaz"/>
            <w:rFonts w:ascii="Garamond" w:hAnsi="Garamond"/>
          </w:rPr>
          <w:t>http://www.psp.cz/sqw/text/orig2.sqw?idd=111342</w:t>
        </w:r>
      </w:hyperlink>
      <w:r>
        <w:rPr>
          <w:rFonts w:ascii="Garamond" w:hAnsi="Garamond"/>
        </w:rPr>
        <w:t>&gt;</w:t>
      </w:r>
      <w:bookmarkStart w:id="0" w:name="_GoBack"/>
      <w:bookmarkEnd w:id="0"/>
    </w:p>
    <w:p w:rsidR="002A364C" w:rsidRDefault="002A364C" w:rsidP="00467332">
      <w:pPr>
        <w:pStyle w:val="Odstavecseseznamem"/>
        <w:spacing w:before="240"/>
        <w:ind w:left="426"/>
        <w:jc w:val="both"/>
        <w:rPr>
          <w:rFonts w:ascii="Times New Roman" w:hAnsi="Times New Roman"/>
          <w:sz w:val="24"/>
          <w:szCs w:val="24"/>
        </w:rPr>
      </w:pPr>
    </w:p>
    <w:p w:rsidR="002A364C" w:rsidRDefault="002A364C" w:rsidP="002A364C">
      <w:pPr>
        <w:pStyle w:val="Odstavecseseznamem"/>
        <w:spacing w:before="24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MF ČR (2015b). Státní závěrečný účet 2014. </w:t>
      </w:r>
      <w:r w:rsidRPr="00467332">
        <w:rPr>
          <w:rFonts w:ascii="Garamond" w:hAnsi="Garamond"/>
        </w:rPr>
        <w:t>[online]. Dostupné z</w:t>
      </w:r>
      <w:r>
        <w:rPr>
          <w:rFonts w:ascii="Garamond" w:hAnsi="Garamond"/>
        </w:rPr>
        <w:t>:</w:t>
      </w:r>
      <w:r w:rsidRPr="00467332">
        <w:rPr>
          <w:rFonts w:ascii="Garamond" w:hAnsi="Garamond"/>
        </w:rPr>
        <w:t> &lt;</w:t>
      </w:r>
      <w:hyperlink r:id="rId16" w:history="1">
        <w:r w:rsidRPr="004817EB">
          <w:rPr>
            <w:rStyle w:val="Hypertextovodkaz"/>
            <w:rFonts w:ascii="Garamond" w:hAnsi="Garamond"/>
          </w:rPr>
          <w:t>http://www.mfcr.cz/cs/verejny-sektor/statni-rozpocet/plneni-statniho-rozpoctu/2014/statni-zaverecny-ucet-za-rok-2014-21750</w:t>
        </w:r>
      </w:hyperlink>
      <w:r>
        <w:rPr>
          <w:rFonts w:ascii="Garamond" w:hAnsi="Garamond"/>
        </w:rPr>
        <w:t xml:space="preserve">&gt;  </w:t>
      </w:r>
    </w:p>
    <w:p w:rsidR="002A364C" w:rsidRDefault="002A364C" w:rsidP="002A364C">
      <w:pPr>
        <w:pStyle w:val="Odstavecseseznamem"/>
        <w:spacing w:before="240"/>
        <w:ind w:left="426"/>
        <w:jc w:val="both"/>
        <w:rPr>
          <w:rFonts w:ascii="Garamond" w:hAnsi="Garamond"/>
        </w:rPr>
      </w:pPr>
    </w:p>
    <w:p w:rsidR="00C104D3" w:rsidRDefault="00C104D3" w:rsidP="00C104D3">
      <w:pPr>
        <w:pStyle w:val="Odstavecseseznamem"/>
        <w:spacing w:before="24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MF ČR (2013</w:t>
      </w:r>
      <w:r w:rsidR="00467332" w:rsidRPr="00467332">
        <w:rPr>
          <w:rFonts w:ascii="Garamond" w:hAnsi="Garamond"/>
        </w:rPr>
        <w:t xml:space="preserve">). </w:t>
      </w:r>
      <w:r w:rsidR="00003918">
        <w:rPr>
          <w:rFonts w:ascii="Garamond" w:hAnsi="Garamond"/>
        </w:rPr>
        <w:t>Záko</w:t>
      </w:r>
      <w:r>
        <w:rPr>
          <w:rFonts w:ascii="Garamond" w:hAnsi="Garamond"/>
        </w:rPr>
        <w:t>n o státním rozpočtu na rok 2014</w:t>
      </w:r>
      <w:r w:rsidR="00467332" w:rsidRPr="00467332">
        <w:rPr>
          <w:rFonts w:ascii="Garamond" w:hAnsi="Garamond"/>
        </w:rPr>
        <w:t xml:space="preserve"> [online]. Dostupné z</w:t>
      </w:r>
      <w:r w:rsidR="00247A26">
        <w:rPr>
          <w:rFonts w:ascii="Garamond" w:hAnsi="Garamond"/>
        </w:rPr>
        <w:t>:</w:t>
      </w:r>
      <w:r w:rsidR="00467332" w:rsidRPr="00467332">
        <w:rPr>
          <w:rFonts w:ascii="Garamond" w:hAnsi="Garamond"/>
        </w:rPr>
        <w:t> &lt;</w:t>
      </w:r>
      <w:hyperlink r:id="rId17" w:history="1">
        <w:r w:rsidR="00845475" w:rsidRPr="004817EB">
          <w:rPr>
            <w:rStyle w:val="Hypertextovodkaz"/>
            <w:rFonts w:ascii="Garamond" w:hAnsi="Garamond"/>
          </w:rPr>
          <w:t>http://www.mfcr.cz/cs/verejny-sektor/prognozy/statni-rozpocet</w:t>
        </w:r>
      </w:hyperlink>
      <w:r w:rsidR="00467332" w:rsidRPr="00467332">
        <w:rPr>
          <w:rFonts w:ascii="Garamond" w:hAnsi="Garamond"/>
        </w:rPr>
        <w:t>&gt;</w:t>
      </w:r>
    </w:p>
    <w:p w:rsidR="00C104D3" w:rsidRDefault="00C104D3" w:rsidP="00C104D3">
      <w:pPr>
        <w:pStyle w:val="Odstavecseseznamem"/>
        <w:spacing w:before="240"/>
        <w:ind w:left="426"/>
        <w:jc w:val="both"/>
        <w:rPr>
          <w:rFonts w:ascii="Garamond" w:hAnsi="Garamond"/>
        </w:rPr>
      </w:pPr>
    </w:p>
    <w:p w:rsidR="00003918" w:rsidRPr="00C104D3" w:rsidRDefault="00003918" w:rsidP="00C104D3">
      <w:pPr>
        <w:pStyle w:val="Odstavecseseznamem"/>
        <w:spacing w:before="240"/>
        <w:ind w:left="426"/>
        <w:jc w:val="both"/>
        <w:rPr>
          <w:rFonts w:ascii="Garamond" w:hAnsi="Garamond"/>
        </w:rPr>
      </w:pPr>
      <w:r w:rsidRPr="006E2D71">
        <w:rPr>
          <w:rFonts w:ascii="Garamond" w:hAnsi="Garamond"/>
          <w:bCs/>
          <w:sz w:val="20"/>
        </w:rPr>
        <w:t xml:space="preserve">EUROSTAT </w:t>
      </w:r>
      <w:r w:rsidR="005A54E7">
        <w:rPr>
          <w:rFonts w:ascii="Garamond" w:hAnsi="Garamond"/>
          <w:szCs w:val="24"/>
        </w:rPr>
        <w:t>Eurostat (201</w:t>
      </w:r>
      <w:r w:rsidR="00BC2F7D">
        <w:rPr>
          <w:rFonts w:ascii="Garamond" w:hAnsi="Garamond"/>
          <w:szCs w:val="24"/>
        </w:rPr>
        <w:t>5</w:t>
      </w:r>
      <w:r w:rsidRPr="006E2D71">
        <w:rPr>
          <w:rFonts w:ascii="Garamond" w:hAnsi="Garamond"/>
          <w:szCs w:val="24"/>
        </w:rPr>
        <w:t>). Total general government revenue (% of GDP) [online]. Dostupné z</w:t>
      </w:r>
      <w:r w:rsidR="00845475">
        <w:rPr>
          <w:rFonts w:ascii="Garamond" w:hAnsi="Garamond"/>
          <w:szCs w:val="24"/>
        </w:rPr>
        <w:t>:</w:t>
      </w:r>
      <w:r w:rsidRPr="006E2D71">
        <w:rPr>
          <w:rFonts w:ascii="Garamond" w:hAnsi="Garamond"/>
          <w:szCs w:val="24"/>
        </w:rPr>
        <w:t> &lt;</w:t>
      </w:r>
      <w:hyperlink r:id="rId18" w:history="1">
        <w:r w:rsidR="00845475" w:rsidRPr="004817EB">
          <w:rPr>
            <w:rStyle w:val="Hypertextovodkaz"/>
            <w:rFonts w:ascii="Garamond" w:hAnsi="Garamond"/>
            <w:szCs w:val="24"/>
          </w:rPr>
          <w:t>http://epp.eurostat.ec.europa.eu/tgm/table.do?tab=table&amp;init=1&amp;language=en&amp;pcode=tec00021&amp;plugin=1</w:t>
        </w:r>
      </w:hyperlink>
      <w:r w:rsidRPr="006E2D71">
        <w:rPr>
          <w:rFonts w:ascii="Garamond" w:hAnsi="Garamond"/>
          <w:szCs w:val="24"/>
        </w:rPr>
        <w:t>&gt;</w:t>
      </w:r>
    </w:p>
    <w:p w:rsidR="00687899" w:rsidRPr="00687899" w:rsidRDefault="00687899" w:rsidP="00C66C17">
      <w:pPr>
        <w:ind w:left="360"/>
        <w:rPr>
          <w:rFonts w:ascii="Garamond" w:hAnsi="Garamond"/>
        </w:rPr>
      </w:pPr>
      <w:r w:rsidRPr="00687899">
        <w:rPr>
          <w:rFonts w:ascii="Garamond" w:hAnsi="Garamond"/>
          <w:szCs w:val="20"/>
        </w:rPr>
        <w:t>OECD (201</w:t>
      </w:r>
      <w:r w:rsidR="00C104D3">
        <w:rPr>
          <w:rFonts w:ascii="Garamond" w:hAnsi="Garamond"/>
          <w:szCs w:val="20"/>
        </w:rPr>
        <w:t>4</w:t>
      </w:r>
      <w:r w:rsidRPr="00687899">
        <w:rPr>
          <w:rFonts w:ascii="Garamond" w:hAnsi="Garamond"/>
          <w:szCs w:val="20"/>
        </w:rPr>
        <w:t xml:space="preserve">). Revenue Statistics, 2010 Edition </w:t>
      </w:r>
      <w:r w:rsidRPr="00687899">
        <w:rPr>
          <w:rFonts w:ascii="Garamond" w:hAnsi="Garamond"/>
          <w:szCs w:val="20"/>
          <w:lang w:val="fr-FR"/>
        </w:rPr>
        <w:t xml:space="preserve">[online]. </w:t>
      </w:r>
      <w:r>
        <w:rPr>
          <w:rFonts w:ascii="Garamond" w:hAnsi="Garamond"/>
          <w:szCs w:val="20"/>
        </w:rPr>
        <w:t xml:space="preserve">Dostupné </w:t>
      </w:r>
      <w:r w:rsidRPr="00687899">
        <w:rPr>
          <w:rFonts w:ascii="Garamond" w:hAnsi="Garamond"/>
          <w:szCs w:val="20"/>
        </w:rPr>
        <w:t>na &lt;</w:t>
      </w:r>
      <w:hyperlink r:id="rId19" w:history="1">
        <w:r w:rsidR="00845475" w:rsidRPr="004817EB">
          <w:rPr>
            <w:rStyle w:val="Hypertextovodkaz"/>
            <w:rFonts w:ascii="Garamond" w:hAnsi="Garamond"/>
            <w:szCs w:val="20"/>
          </w:rPr>
          <w:t>http://stats.oecd.org/</w:t>
        </w:r>
      </w:hyperlink>
      <w:r w:rsidRPr="00687899">
        <w:rPr>
          <w:rFonts w:ascii="Garamond" w:hAnsi="Garamond"/>
          <w:szCs w:val="20"/>
        </w:rPr>
        <w:t>&gt;</w:t>
      </w:r>
    </w:p>
    <w:p w:rsidR="00A35254" w:rsidRPr="005E0FB0" w:rsidRDefault="00A35254" w:rsidP="005E0FB0">
      <w:pPr>
        <w:spacing w:after="0"/>
        <w:ind w:left="357"/>
        <w:rPr>
          <w:rFonts w:ascii="Garamond" w:hAnsi="Garamond"/>
        </w:rPr>
      </w:pPr>
      <w:r w:rsidRPr="005E0FB0">
        <w:rPr>
          <w:rFonts w:ascii="Garamond" w:hAnsi="Garamond"/>
        </w:rPr>
        <w:t>PEKOVÁ, J. Veřejné finance – úvod do problematiky. 4. aktualizované a rozšířené vyd. Praha: ASPI, 2008. 508 s. ISBN 978-80-7357-358-4</w:t>
      </w:r>
    </w:p>
    <w:p w:rsidR="00A35254" w:rsidRPr="00467332" w:rsidRDefault="006E2D71" w:rsidP="00B76FA1">
      <w:pPr>
        <w:pStyle w:val="Odstavecseseznamem"/>
        <w:numPr>
          <w:ilvl w:val="1"/>
          <w:numId w:val="5"/>
        </w:numPr>
        <w:rPr>
          <w:rFonts w:ascii="Garamond" w:hAnsi="Garamond"/>
          <w:sz w:val="20"/>
        </w:rPr>
      </w:pPr>
      <w:r w:rsidRPr="006E2D71">
        <w:rPr>
          <w:rFonts w:ascii="Garamond" w:hAnsi="Garamond"/>
          <w:szCs w:val="24"/>
        </w:rPr>
        <w:t>kapitola 6</w:t>
      </w:r>
      <w:r w:rsidR="00467332">
        <w:rPr>
          <w:rFonts w:ascii="Garamond" w:hAnsi="Garamond"/>
          <w:szCs w:val="24"/>
        </w:rPr>
        <w:t>: Veřejné příjmy str. 294 – 344</w:t>
      </w:r>
    </w:p>
    <w:p w:rsidR="00467332" w:rsidRPr="006E2D71" w:rsidRDefault="00467332" w:rsidP="00B76FA1">
      <w:pPr>
        <w:pStyle w:val="Odstavecseseznamem"/>
        <w:numPr>
          <w:ilvl w:val="1"/>
          <w:numId w:val="5"/>
        </w:numPr>
        <w:rPr>
          <w:rFonts w:ascii="Garamond" w:hAnsi="Garamond"/>
          <w:sz w:val="20"/>
        </w:rPr>
      </w:pPr>
      <w:r>
        <w:rPr>
          <w:rFonts w:ascii="Garamond" w:hAnsi="Garamond"/>
          <w:szCs w:val="24"/>
        </w:rPr>
        <w:t>kapitola 7: Úvod do daňové teorie, str. 377-403</w:t>
      </w:r>
    </w:p>
    <w:p w:rsidR="00A35254" w:rsidRDefault="00A35254" w:rsidP="00F567F9">
      <w:pPr>
        <w:ind w:left="357"/>
        <w:rPr>
          <w:rFonts w:ascii="Garamond" w:hAnsi="Garamond"/>
        </w:rPr>
      </w:pPr>
      <w:r w:rsidRPr="00F567F9">
        <w:rPr>
          <w:rFonts w:ascii="Garamond" w:hAnsi="Garamond"/>
        </w:rPr>
        <w:t>STRECKOVÁ, Y.,I. MALÝ. Veřejná ekonomie pro školu i praxi. Vyd. 1. Praha: Computer Press, 1998. xii, 214 s. ISBN 80-7226-112-6.</w:t>
      </w:r>
    </w:p>
    <w:p w:rsidR="00A35254" w:rsidRPr="005E0FB0" w:rsidRDefault="00A35254" w:rsidP="005E0FB0">
      <w:pPr>
        <w:spacing w:after="0"/>
        <w:ind w:left="357"/>
        <w:rPr>
          <w:rFonts w:ascii="Garamond" w:hAnsi="Garamond"/>
        </w:rPr>
      </w:pPr>
      <w:r w:rsidRPr="005E0FB0">
        <w:rPr>
          <w:rFonts w:ascii="Garamond" w:hAnsi="Garamond"/>
        </w:rPr>
        <w:t>HAMERNÍKOVÁ, B.; MAAYTOVÁ, A. a kol. Veřejné finance. 1. vyd. Praha: ASPI, 2007. 364 s. ISBN 978-80-73577-301-0</w:t>
      </w:r>
    </w:p>
    <w:p w:rsidR="00A35254" w:rsidRPr="00467332" w:rsidRDefault="00467332" w:rsidP="00B76FA1">
      <w:pPr>
        <w:pStyle w:val="Odstavecseseznamem"/>
        <w:numPr>
          <w:ilvl w:val="1"/>
          <w:numId w:val="5"/>
        </w:numPr>
        <w:rPr>
          <w:rFonts w:ascii="Garamond" w:hAnsi="Garamond"/>
          <w:sz w:val="20"/>
        </w:rPr>
      </w:pPr>
      <w:r w:rsidRPr="00467332">
        <w:rPr>
          <w:rFonts w:ascii="Garamond" w:hAnsi="Garamond"/>
          <w:szCs w:val="24"/>
        </w:rPr>
        <w:t>Veřejné příjmy - charakteristika, druhy a členění</w:t>
      </w:r>
      <w:r>
        <w:rPr>
          <w:rFonts w:ascii="Garamond" w:hAnsi="Garamond"/>
          <w:szCs w:val="24"/>
        </w:rPr>
        <w:t>,</w:t>
      </w:r>
      <w:r w:rsidRPr="00467332">
        <w:rPr>
          <w:rFonts w:ascii="Garamond" w:hAnsi="Garamond"/>
          <w:szCs w:val="24"/>
        </w:rPr>
        <w:t xml:space="preserve">  str. 118 – 135</w:t>
      </w:r>
    </w:p>
    <w:sectPr w:rsidR="00A35254" w:rsidRPr="00467332" w:rsidSect="007761E9">
      <w:headerReference w:type="default" r:id="rId20"/>
      <w:footerReference w:type="default" r:id="rId21"/>
      <w:pgSz w:w="11906" w:h="16838"/>
      <w:pgMar w:top="1304" w:right="1304" w:bottom="993" w:left="130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52" w:rsidRDefault="00DE7252" w:rsidP="00183EDD">
      <w:pPr>
        <w:spacing w:after="0" w:line="240" w:lineRule="auto"/>
      </w:pPr>
      <w:r>
        <w:separator/>
      </w:r>
    </w:p>
  </w:endnote>
  <w:endnote w:type="continuationSeparator" w:id="0">
    <w:p w:rsidR="00DE7252" w:rsidRDefault="00DE7252" w:rsidP="0018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923449"/>
      <w:docPartObj>
        <w:docPartGallery w:val="Page Numbers (Bottom of Page)"/>
        <w:docPartUnique/>
      </w:docPartObj>
    </w:sdtPr>
    <w:sdtEndPr/>
    <w:sdtContent>
      <w:p w:rsidR="007761E9" w:rsidRDefault="007761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64C">
          <w:rPr>
            <w:noProof/>
          </w:rPr>
          <w:t>5</w:t>
        </w:r>
        <w:r>
          <w:fldChar w:fldCharType="end"/>
        </w:r>
      </w:p>
    </w:sdtContent>
  </w:sdt>
  <w:p w:rsidR="007761E9" w:rsidRDefault="007761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52" w:rsidRDefault="00DE7252" w:rsidP="00183EDD">
      <w:pPr>
        <w:spacing w:after="0" w:line="240" w:lineRule="auto"/>
      </w:pPr>
      <w:r>
        <w:separator/>
      </w:r>
    </w:p>
  </w:footnote>
  <w:footnote w:type="continuationSeparator" w:id="0">
    <w:p w:rsidR="00DE7252" w:rsidRDefault="00DE7252" w:rsidP="0018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54" w:rsidRPr="00183EDD" w:rsidRDefault="00A35254" w:rsidP="00183EDD">
    <w:pPr>
      <w:pStyle w:val="Zhlav"/>
      <w:jc w:val="center"/>
      <w:rPr>
        <w:rFonts w:ascii="Arial" w:hAnsi="Arial" w:cs="Arial"/>
        <w:sz w:val="32"/>
        <w:szCs w:val="32"/>
      </w:rPr>
    </w:pPr>
    <w:r w:rsidRPr="00183EDD">
      <w:rPr>
        <w:rFonts w:ascii="Arial" w:hAnsi="Arial" w:cs="Arial"/>
        <w:sz w:val="32"/>
        <w:szCs w:val="32"/>
      </w:rPr>
      <w:t>Základy veřejných financí a veřejné správy – osnova cvičení</w:t>
    </w:r>
  </w:p>
  <w:p w:rsidR="00A35254" w:rsidRDefault="00A352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952"/>
    <w:multiLevelType w:val="hybridMultilevel"/>
    <w:tmpl w:val="75C2039A"/>
    <w:lvl w:ilvl="0" w:tplc="3EA80F1C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592B1B"/>
    <w:multiLevelType w:val="hybridMultilevel"/>
    <w:tmpl w:val="DD348EC2"/>
    <w:lvl w:ilvl="0" w:tplc="11E846EA">
      <w:numFmt w:val="bullet"/>
      <w:pStyle w:val="StylVlevo063cm"/>
      <w:lvlText w:val="-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5D171B"/>
    <w:multiLevelType w:val="hybridMultilevel"/>
    <w:tmpl w:val="2488F3EA"/>
    <w:lvl w:ilvl="0" w:tplc="DD909D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29035D"/>
    <w:multiLevelType w:val="multilevel"/>
    <w:tmpl w:val="6C40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E18B0"/>
    <w:multiLevelType w:val="hybridMultilevel"/>
    <w:tmpl w:val="1BE8D544"/>
    <w:lvl w:ilvl="0" w:tplc="FFFAD1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567"/>
      </w:pPr>
      <w:rPr>
        <w:rFonts w:ascii="Courier New" w:hAnsi="Courier New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F6266E"/>
    <w:multiLevelType w:val="multilevel"/>
    <w:tmpl w:val="EBAE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13654E"/>
    <w:multiLevelType w:val="hybridMultilevel"/>
    <w:tmpl w:val="55D8AB88"/>
    <w:lvl w:ilvl="0" w:tplc="FFFAD1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54F41"/>
    <w:multiLevelType w:val="hybridMultilevel"/>
    <w:tmpl w:val="65F24F08"/>
    <w:lvl w:ilvl="0" w:tplc="3EA80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16196A"/>
    <w:multiLevelType w:val="hybridMultilevel"/>
    <w:tmpl w:val="AA089966"/>
    <w:lvl w:ilvl="0" w:tplc="7E642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DD"/>
    <w:rsid w:val="00003918"/>
    <w:rsid w:val="00012A50"/>
    <w:rsid w:val="00017955"/>
    <w:rsid w:val="00047D73"/>
    <w:rsid w:val="000536D4"/>
    <w:rsid w:val="00064B24"/>
    <w:rsid w:val="00086A67"/>
    <w:rsid w:val="00096FC4"/>
    <w:rsid w:val="000B6D1E"/>
    <w:rsid w:val="000C571B"/>
    <w:rsid w:val="000D1DE2"/>
    <w:rsid w:val="000F4039"/>
    <w:rsid w:val="001041C5"/>
    <w:rsid w:val="00137529"/>
    <w:rsid w:val="00151798"/>
    <w:rsid w:val="00160119"/>
    <w:rsid w:val="001609F3"/>
    <w:rsid w:val="00173434"/>
    <w:rsid w:val="00183EDD"/>
    <w:rsid w:val="001867F9"/>
    <w:rsid w:val="00191D30"/>
    <w:rsid w:val="00193E5A"/>
    <w:rsid w:val="00194A4C"/>
    <w:rsid w:val="00196DE9"/>
    <w:rsid w:val="001B4B22"/>
    <w:rsid w:val="001B56BA"/>
    <w:rsid w:val="001D161F"/>
    <w:rsid w:val="001D3F12"/>
    <w:rsid w:val="0020503E"/>
    <w:rsid w:val="00247A26"/>
    <w:rsid w:val="00260B7D"/>
    <w:rsid w:val="00264DB0"/>
    <w:rsid w:val="00274B9E"/>
    <w:rsid w:val="00275BEB"/>
    <w:rsid w:val="00276AA7"/>
    <w:rsid w:val="00277529"/>
    <w:rsid w:val="002A364C"/>
    <w:rsid w:val="002A7A84"/>
    <w:rsid w:val="002B2538"/>
    <w:rsid w:val="002C52E1"/>
    <w:rsid w:val="00310AC3"/>
    <w:rsid w:val="0032250F"/>
    <w:rsid w:val="00333213"/>
    <w:rsid w:val="003566AF"/>
    <w:rsid w:val="00370EFD"/>
    <w:rsid w:val="00383CAD"/>
    <w:rsid w:val="003972B7"/>
    <w:rsid w:val="003C4ED4"/>
    <w:rsid w:val="003D7093"/>
    <w:rsid w:val="003D72AA"/>
    <w:rsid w:val="003F307B"/>
    <w:rsid w:val="00416E59"/>
    <w:rsid w:val="00433863"/>
    <w:rsid w:val="00446635"/>
    <w:rsid w:val="004549FF"/>
    <w:rsid w:val="00466D51"/>
    <w:rsid w:val="00467332"/>
    <w:rsid w:val="00485762"/>
    <w:rsid w:val="00495D8D"/>
    <w:rsid w:val="004A512A"/>
    <w:rsid w:val="0050705A"/>
    <w:rsid w:val="00510622"/>
    <w:rsid w:val="00537188"/>
    <w:rsid w:val="00551965"/>
    <w:rsid w:val="00566D93"/>
    <w:rsid w:val="00581EC8"/>
    <w:rsid w:val="005A54E7"/>
    <w:rsid w:val="005B2554"/>
    <w:rsid w:val="005B7548"/>
    <w:rsid w:val="005E0FB0"/>
    <w:rsid w:val="005E2612"/>
    <w:rsid w:val="005E511E"/>
    <w:rsid w:val="005F44D3"/>
    <w:rsid w:val="00603C78"/>
    <w:rsid w:val="0060451C"/>
    <w:rsid w:val="00607425"/>
    <w:rsid w:val="00622D51"/>
    <w:rsid w:val="006320DB"/>
    <w:rsid w:val="00634999"/>
    <w:rsid w:val="00650B94"/>
    <w:rsid w:val="00652582"/>
    <w:rsid w:val="00675038"/>
    <w:rsid w:val="00687899"/>
    <w:rsid w:val="006A0E07"/>
    <w:rsid w:val="006B24E0"/>
    <w:rsid w:val="006B2786"/>
    <w:rsid w:val="006C7356"/>
    <w:rsid w:val="006D661F"/>
    <w:rsid w:val="006D6AFB"/>
    <w:rsid w:val="006E2D71"/>
    <w:rsid w:val="006E495E"/>
    <w:rsid w:val="00711890"/>
    <w:rsid w:val="00733B76"/>
    <w:rsid w:val="0073454A"/>
    <w:rsid w:val="007349EE"/>
    <w:rsid w:val="00745854"/>
    <w:rsid w:val="0075795F"/>
    <w:rsid w:val="00762E3C"/>
    <w:rsid w:val="00774065"/>
    <w:rsid w:val="007761E9"/>
    <w:rsid w:val="00791DBA"/>
    <w:rsid w:val="007E07F8"/>
    <w:rsid w:val="007E5408"/>
    <w:rsid w:val="007F5412"/>
    <w:rsid w:val="008055B4"/>
    <w:rsid w:val="0082769B"/>
    <w:rsid w:val="00841B37"/>
    <w:rsid w:val="00844BF4"/>
    <w:rsid w:val="00845475"/>
    <w:rsid w:val="008619D8"/>
    <w:rsid w:val="00874624"/>
    <w:rsid w:val="008811A7"/>
    <w:rsid w:val="008A7590"/>
    <w:rsid w:val="008F3432"/>
    <w:rsid w:val="009048FA"/>
    <w:rsid w:val="00910D3E"/>
    <w:rsid w:val="0091795F"/>
    <w:rsid w:val="00931DF2"/>
    <w:rsid w:val="009523D0"/>
    <w:rsid w:val="00961BDF"/>
    <w:rsid w:val="0096498C"/>
    <w:rsid w:val="00965A9E"/>
    <w:rsid w:val="009676BA"/>
    <w:rsid w:val="00974EB0"/>
    <w:rsid w:val="00992465"/>
    <w:rsid w:val="0099351D"/>
    <w:rsid w:val="009A68D1"/>
    <w:rsid w:val="009B0BC5"/>
    <w:rsid w:val="009C0564"/>
    <w:rsid w:val="009C689C"/>
    <w:rsid w:val="009C6B42"/>
    <w:rsid w:val="00A0406F"/>
    <w:rsid w:val="00A24B9A"/>
    <w:rsid w:val="00A30765"/>
    <w:rsid w:val="00A31AA7"/>
    <w:rsid w:val="00A35254"/>
    <w:rsid w:val="00A67009"/>
    <w:rsid w:val="00A848A0"/>
    <w:rsid w:val="00A87EF3"/>
    <w:rsid w:val="00AA4CA2"/>
    <w:rsid w:val="00AA4D00"/>
    <w:rsid w:val="00AE3AC8"/>
    <w:rsid w:val="00AE3B92"/>
    <w:rsid w:val="00AE7935"/>
    <w:rsid w:val="00AF13DD"/>
    <w:rsid w:val="00AF29F7"/>
    <w:rsid w:val="00AF5FB4"/>
    <w:rsid w:val="00B05E09"/>
    <w:rsid w:val="00B360DC"/>
    <w:rsid w:val="00B36F01"/>
    <w:rsid w:val="00B67FC8"/>
    <w:rsid w:val="00B76FA1"/>
    <w:rsid w:val="00B8560C"/>
    <w:rsid w:val="00BA497C"/>
    <w:rsid w:val="00BA68D2"/>
    <w:rsid w:val="00BC2F7D"/>
    <w:rsid w:val="00BC4988"/>
    <w:rsid w:val="00C104D3"/>
    <w:rsid w:val="00C11EF3"/>
    <w:rsid w:val="00C25A9C"/>
    <w:rsid w:val="00C46541"/>
    <w:rsid w:val="00C66C17"/>
    <w:rsid w:val="00C702CF"/>
    <w:rsid w:val="00C7409B"/>
    <w:rsid w:val="00C7534B"/>
    <w:rsid w:val="00C9126F"/>
    <w:rsid w:val="00C94C38"/>
    <w:rsid w:val="00CA3577"/>
    <w:rsid w:val="00CA651F"/>
    <w:rsid w:val="00CA7D57"/>
    <w:rsid w:val="00CC1847"/>
    <w:rsid w:val="00CC7E38"/>
    <w:rsid w:val="00CD4C30"/>
    <w:rsid w:val="00CD7AA4"/>
    <w:rsid w:val="00CE4B71"/>
    <w:rsid w:val="00CF4616"/>
    <w:rsid w:val="00CF6C32"/>
    <w:rsid w:val="00D35028"/>
    <w:rsid w:val="00D4192F"/>
    <w:rsid w:val="00D607C2"/>
    <w:rsid w:val="00D607E6"/>
    <w:rsid w:val="00D93E4C"/>
    <w:rsid w:val="00DA76D6"/>
    <w:rsid w:val="00DD56A7"/>
    <w:rsid w:val="00DE7252"/>
    <w:rsid w:val="00DF2C9B"/>
    <w:rsid w:val="00E379D5"/>
    <w:rsid w:val="00E52049"/>
    <w:rsid w:val="00E56FD5"/>
    <w:rsid w:val="00E6578D"/>
    <w:rsid w:val="00E6784F"/>
    <w:rsid w:val="00E734EB"/>
    <w:rsid w:val="00E958DC"/>
    <w:rsid w:val="00EA004E"/>
    <w:rsid w:val="00EB20EF"/>
    <w:rsid w:val="00EB4715"/>
    <w:rsid w:val="00EB7601"/>
    <w:rsid w:val="00EC567C"/>
    <w:rsid w:val="00ED24CB"/>
    <w:rsid w:val="00EE2F59"/>
    <w:rsid w:val="00EE5ECC"/>
    <w:rsid w:val="00EF2ADA"/>
    <w:rsid w:val="00EF3518"/>
    <w:rsid w:val="00EF5E09"/>
    <w:rsid w:val="00EF5F58"/>
    <w:rsid w:val="00F35F4D"/>
    <w:rsid w:val="00F400E1"/>
    <w:rsid w:val="00F43A11"/>
    <w:rsid w:val="00F55BCA"/>
    <w:rsid w:val="00F567F9"/>
    <w:rsid w:val="00F60BF3"/>
    <w:rsid w:val="00F6572A"/>
    <w:rsid w:val="00F65E7C"/>
    <w:rsid w:val="00F70B4C"/>
    <w:rsid w:val="00F71474"/>
    <w:rsid w:val="00F97167"/>
    <w:rsid w:val="00FB6566"/>
    <w:rsid w:val="00FB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B37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10D3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9B0BC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0D3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B0BC5"/>
    <w:rPr>
      <w:rFonts w:ascii="Cambria" w:hAnsi="Cambria" w:cs="Times New Roman"/>
      <w:b/>
      <w:bCs/>
      <w:color w:val="4F81BD"/>
    </w:rPr>
  </w:style>
  <w:style w:type="paragraph" w:styleId="Zhlav">
    <w:name w:val="header"/>
    <w:basedOn w:val="Normln"/>
    <w:link w:val="ZhlavChar"/>
    <w:uiPriority w:val="99"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83EDD"/>
    <w:rPr>
      <w:rFonts w:cs="Times New Roman"/>
    </w:rPr>
  </w:style>
  <w:style w:type="paragraph" w:styleId="Zpat">
    <w:name w:val="footer"/>
    <w:basedOn w:val="Normln"/>
    <w:link w:val="ZpatChar"/>
    <w:uiPriority w:val="99"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83E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8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3E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83EDD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9676BA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C94C38"/>
    <w:rPr>
      <w:rFonts w:cs="Times New Roman"/>
    </w:rPr>
  </w:style>
  <w:style w:type="table" w:styleId="Mkatabulky">
    <w:name w:val="Table Grid"/>
    <w:basedOn w:val="Normlntabulka"/>
    <w:uiPriority w:val="99"/>
    <w:rsid w:val="00E56F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678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B0BC5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b/>
      <w:bCs/>
      <w:color w:val="000000"/>
      <w:sz w:val="40"/>
      <w:szCs w:val="4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B0BC5"/>
    <w:rPr>
      <w:rFonts w:ascii="Times New Roman" w:hAnsi="Times New Roman" w:cs="Times New Roman"/>
      <w:b/>
      <w:bCs/>
      <w:color w:val="000000"/>
      <w:sz w:val="48"/>
      <w:szCs w:val="48"/>
      <w:lang w:eastAsia="cs-CZ"/>
    </w:rPr>
  </w:style>
  <w:style w:type="paragraph" w:customStyle="1" w:styleId="StylVlevo063cm">
    <w:name w:val="Styl Vlevo:  063 cm"/>
    <w:basedOn w:val="Normln"/>
    <w:uiPriority w:val="99"/>
    <w:rsid w:val="009B0BC5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194A4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94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94A4C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4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94A4C"/>
    <w:rPr>
      <w:rFonts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1601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B37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10D3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9B0BC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0D3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B0BC5"/>
    <w:rPr>
      <w:rFonts w:ascii="Cambria" w:hAnsi="Cambria" w:cs="Times New Roman"/>
      <w:b/>
      <w:bCs/>
      <w:color w:val="4F81BD"/>
    </w:rPr>
  </w:style>
  <w:style w:type="paragraph" w:styleId="Zhlav">
    <w:name w:val="header"/>
    <w:basedOn w:val="Normln"/>
    <w:link w:val="ZhlavChar"/>
    <w:uiPriority w:val="99"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83EDD"/>
    <w:rPr>
      <w:rFonts w:cs="Times New Roman"/>
    </w:rPr>
  </w:style>
  <w:style w:type="paragraph" w:styleId="Zpat">
    <w:name w:val="footer"/>
    <w:basedOn w:val="Normln"/>
    <w:link w:val="ZpatChar"/>
    <w:uiPriority w:val="99"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83E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8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3E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83EDD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9676BA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C94C38"/>
    <w:rPr>
      <w:rFonts w:cs="Times New Roman"/>
    </w:rPr>
  </w:style>
  <w:style w:type="table" w:styleId="Mkatabulky">
    <w:name w:val="Table Grid"/>
    <w:basedOn w:val="Normlntabulka"/>
    <w:uiPriority w:val="99"/>
    <w:rsid w:val="00E56F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678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B0BC5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b/>
      <w:bCs/>
      <w:color w:val="000000"/>
      <w:sz w:val="40"/>
      <w:szCs w:val="4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B0BC5"/>
    <w:rPr>
      <w:rFonts w:ascii="Times New Roman" w:hAnsi="Times New Roman" w:cs="Times New Roman"/>
      <w:b/>
      <w:bCs/>
      <w:color w:val="000000"/>
      <w:sz w:val="48"/>
      <w:szCs w:val="48"/>
      <w:lang w:eastAsia="cs-CZ"/>
    </w:rPr>
  </w:style>
  <w:style w:type="paragraph" w:customStyle="1" w:styleId="StylVlevo063cm">
    <w:name w:val="Styl Vlevo:  063 cm"/>
    <w:basedOn w:val="Normln"/>
    <w:uiPriority w:val="99"/>
    <w:rsid w:val="009B0BC5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194A4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94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94A4C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4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94A4C"/>
    <w:rPr>
      <w:rFonts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160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://epp.eurostat.ec.europa.eu/tgm/table.do?tab=table&amp;init=1&amp;language=en&amp;pcode=tec00021&amp;plugin=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yperlink" Target="http://www.mfcr.cz/cs/verejny-sektor/prognozy/statni-rozpoc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fcr.cz/cs/verejny-sektor/statni-rozpocet/plneni-statniho-rozpoctu/2014/statni-zaverecny-ucet-za-rok-2014-2175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://www.psp.cz/sqw/text/orig2.sqw?idd=111342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stats.oecd.org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99925\AppData\Local\Temp\Eurostat_Table_tec00021FlagNoDesc_18f8e95f-4d5c-42e5-a992-a69ac0b8822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setW\174847\Documents\vyuka\vefi1\2014\03_VP_14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kumenty\s\doktorske_studium\vyuka\VEFI1\vefi2014\03_VP_14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800" b="1" i="0" u="none" strike="noStrike" baseline="0">
                <a:effectLst/>
              </a:rPr>
              <a:t>Veřejné příjmy k HDP (</a:t>
            </a:r>
            <a:r>
              <a:rPr lang="en-US"/>
              <a:t>%</a:t>
            </a:r>
            <a:r>
              <a:rPr lang="cs-CZ"/>
              <a:t>)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% HDP</c:v>
          </c:tx>
          <c:spPr>
            <a:ln w="0"/>
          </c:spPr>
          <c:invertIfNegative val="0"/>
          <c:dPt>
            <c:idx val="12"/>
            <c:invertIfNegative val="0"/>
            <c:bubble3D val="0"/>
            <c:spPr>
              <a:solidFill>
                <a:srgbClr val="FFFF00"/>
              </a:solidFill>
              <a:ln w="0"/>
            </c:spPr>
          </c:dPt>
          <c:dPt>
            <c:idx val="20"/>
            <c:invertIfNegative val="0"/>
            <c:bubble3D val="0"/>
            <c:spPr>
              <a:solidFill>
                <a:srgbClr val="C00000"/>
              </a:solidFill>
              <a:ln w="0"/>
            </c:spPr>
          </c:dPt>
          <c:dLbls>
            <c:txPr>
              <a:bodyPr rot="5400000" vert="horz" anchor="ctr" anchorCtr="0"/>
              <a:lstStyle/>
              <a:p>
                <a:pPr>
                  <a:defRPr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'[Eurostat_Table_tec00021FlagNoDesc_18f8e95f-4d5c-42e5-a992-a69ac0b8822e.xls]Sheet0'!$A$5:$A$36</c:f>
              <c:strCache>
                <c:ptCount val="32"/>
                <c:pt idx="0">
                  <c:v>Romania</c:v>
                </c:pt>
                <c:pt idx="1">
                  <c:v>Switzerland</c:v>
                </c:pt>
                <c:pt idx="2">
                  <c:v>Lithuania</c:v>
                </c:pt>
                <c:pt idx="3">
                  <c:v>Ireland</c:v>
                </c:pt>
                <c:pt idx="4">
                  <c:v>Latvia</c:v>
                </c:pt>
                <c:pt idx="5">
                  <c:v>Bulgaria</c:v>
                </c:pt>
                <c:pt idx="6">
                  <c:v>United Kingdom</c:v>
                </c:pt>
                <c:pt idx="7">
                  <c:v>Spain</c:v>
                </c:pt>
                <c:pt idx="8">
                  <c:v>Estonia</c:v>
                </c:pt>
                <c:pt idx="9">
                  <c:v>Poland</c:v>
                </c:pt>
                <c:pt idx="10">
                  <c:v>Slovakia</c:v>
                </c:pt>
                <c:pt idx="11">
                  <c:v>Cyprus</c:v>
                </c:pt>
                <c:pt idx="12">
                  <c:v>Czech Republic</c:v>
                </c:pt>
                <c:pt idx="13">
                  <c:v>Malta</c:v>
                </c:pt>
                <c:pt idx="14">
                  <c:v>Croatia</c:v>
                </c:pt>
                <c:pt idx="15">
                  <c:v>Luxembourg</c:v>
                </c:pt>
                <c:pt idx="16">
                  <c:v>Netherlands</c:v>
                </c:pt>
                <c:pt idx="17">
                  <c:v>Portugal</c:v>
                </c:pt>
                <c:pt idx="18">
                  <c:v>Germany</c:v>
                </c:pt>
                <c:pt idx="19">
                  <c:v>Slovenia</c:v>
                </c:pt>
                <c:pt idx="20">
                  <c:v>EU (28 countries)</c:v>
                </c:pt>
                <c:pt idx="21">
                  <c:v>Iceland</c:v>
                </c:pt>
                <c:pt idx="22">
                  <c:v>Greece</c:v>
                </c:pt>
                <c:pt idx="23">
                  <c:v>Hungary</c:v>
                </c:pt>
                <c:pt idx="24">
                  <c:v>Italy</c:v>
                </c:pt>
                <c:pt idx="25">
                  <c:v>Austria</c:v>
                </c:pt>
                <c:pt idx="26">
                  <c:v>Sweden</c:v>
                </c:pt>
                <c:pt idx="27">
                  <c:v>Belgium</c:v>
                </c:pt>
                <c:pt idx="28">
                  <c:v>France</c:v>
                </c:pt>
                <c:pt idx="29">
                  <c:v>Norway</c:v>
                </c:pt>
                <c:pt idx="30">
                  <c:v>Finland</c:v>
                </c:pt>
                <c:pt idx="31">
                  <c:v>Denmark</c:v>
                </c:pt>
              </c:strCache>
            </c:strRef>
          </c:cat>
          <c:val>
            <c:numRef>
              <c:f>'[Eurostat_Table_tec00021FlagNoDesc_18f8e95f-4d5c-42e5-a992-a69ac0b8822e.xls]Sheet0'!$B$5:$B$36</c:f>
              <c:numCache>
                <c:formatCode>General</c:formatCode>
                <c:ptCount val="32"/>
                <c:pt idx="0">
                  <c:v>33.5</c:v>
                </c:pt>
                <c:pt idx="1">
                  <c:v>33.5</c:v>
                </c:pt>
                <c:pt idx="2">
                  <c:v>34.1</c:v>
                </c:pt>
                <c:pt idx="3">
                  <c:v>34.4</c:v>
                </c:pt>
                <c:pt idx="4">
                  <c:v>35.6</c:v>
                </c:pt>
                <c:pt idx="5">
                  <c:v>36.299999999999997</c:v>
                </c:pt>
                <c:pt idx="6">
                  <c:v>38.200000000000003</c:v>
                </c:pt>
                <c:pt idx="7">
                  <c:v>38.6</c:v>
                </c:pt>
                <c:pt idx="8">
                  <c:v>38.700000000000003</c:v>
                </c:pt>
                <c:pt idx="9">
                  <c:v>38.799999999999997</c:v>
                </c:pt>
                <c:pt idx="10">
                  <c:v>38.9</c:v>
                </c:pt>
                <c:pt idx="11">
                  <c:v>40.4</c:v>
                </c:pt>
                <c:pt idx="12">
                  <c:v>40.6</c:v>
                </c:pt>
                <c:pt idx="13">
                  <c:v>41.9</c:v>
                </c:pt>
                <c:pt idx="14">
                  <c:v>42.6</c:v>
                </c:pt>
                <c:pt idx="15">
                  <c:v>43.8</c:v>
                </c:pt>
                <c:pt idx="16">
                  <c:v>43.9</c:v>
                </c:pt>
                <c:pt idx="17">
                  <c:v>44.5</c:v>
                </c:pt>
                <c:pt idx="18">
                  <c:v>44.6</c:v>
                </c:pt>
                <c:pt idx="19">
                  <c:v>44.8</c:v>
                </c:pt>
                <c:pt idx="20">
                  <c:v>45.2</c:v>
                </c:pt>
                <c:pt idx="21">
                  <c:v>45.6</c:v>
                </c:pt>
                <c:pt idx="22">
                  <c:v>46.4</c:v>
                </c:pt>
                <c:pt idx="23">
                  <c:v>47.4</c:v>
                </c:pt>
                <c:pt idx="24">
                  <c:v>48.2</c:v>
                </c:pt>
                <c:pt idx="25">
                  <c:v>50</c:v>
                </c:pt>
                <c:pt idx="26">
                  <c:v>50.1</c:v>
                </c:pt>
                <c:pt idx="27">
                  <c:v>52</c:v>
                </c:pt>
                <c:pt idx="28">
                  <c:v>53.6</c:v>
                </c:pt>
                <c:pt idx="29">
                  <c:v>54.7</c:v>
                </c:pt>
                <c:pt idx="30">
                  <c:v>54.9</c:v>
                </c:pt>
                <c:pt idx="31">
                  <c:v>58.4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50398336"/>
        <c:axId val="50399872"/>
      </c:barChart>
      <c:catAx>
        <c:axId val="50398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50399872"/>
        <c:crosses val="autoZero"/>
        <c:auto val="1"/>
        <c:lblAlgn val="ctr"/>
        <c:lblOffset val="100"/>
        <c:noMultiLvlLbl val="0"/>
      </c:catAx>
      <c:valAx>
        <c:axId val="503998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0398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3013698630137"/>
          <c:y val="8.3333604601577474E-2"/>
          <c:w val="0.86472602739726023"/>
          <c:h val="0.54666844618634824"/>
        </c:manualLayout>
      </c:layout>
      <c:barChart>
        <c:barDir val="col"/>
        <c:grouping val="percentStacked"/>
        <c:varyColors val="0"/>
        <c:ser>
          <c:idx val="1"/>
          <c:order val="0"/>
          <c:tx>
            <c:strRef>
              <c:f>CR_struktura_DP!$A$19</c:f>
              <c:strCache>
                <c:ptCount val="1"/>
                <c:pt idx="0">
                  <c:v>Pojistné sociální zabezpečení (557,4 mld. Kč)</c:v>
                </c:pt>
              </c:strCache>
            </c:strRef>
          </c:tx>
          <c:spPr>
            <a:solidFill>
              <a:srgbClr val="FF99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CR_struktura_DP!$C$18:$N$18</c:f>
              <c:strCache>
                <c:ptCount val="12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2013*</c:v>
                </c:pt>
                <c:pt idx="11">
                  <c:v>2014*</c:v>
                </c:pt>
              </c:strCache>
            </c:strRef>
          </c:cat>
          <c:val>
            <c:numRef>
              <c:f>CR_struktura_DP!$C$19:$N$19</c:f>
              <c:numCache>
                <c:formatCode>0.0</c:formatCode>
                <c:ptCount val="12"/>
                <c:pt idx="0">
                  <c:v>40.198927134555205</c:v>
                </c:pt>
                <c:pt idx="1">
                  <c:v>40.321910695742481</c:v>
                </c:pt>
                <c:pt idx="2">
                  <c:v>39.254716981132077</c:v>
                </c:pt>
                <c:pt idx="3">
                  <c:v>40.2165999271933</c:v>
                </c:pt>
                <c:pt idx="4">
                  <c:v>42.157630773455232</c:v>
                </c:pt>
                <c:pt idx="5">
                  <c:v>42.468141147306035</c:v>
                </c:pt>
                <c:pt idx="6">
                  <c:v>43.571550692426051</c:v>
                </c:pt>
                <c:pt idx="7">
                  <c:v>42.828767690143174</c:v>
                </c:pt>
                <c:pt idx="8">
                  <c:v>43.048603261747139</c:v>
                </c:pt>
                <c:pt idx="9">
                  <c:v>42.633031139140712</c:v>
                </c:pt>
                <c:pt idx="10">
                  <c:v>42.263381848449242</c:v>
                </c:pt>
                <c:pt idx="11">
                  <c:v>41.966571299503094</c:v>
                </c:pt>
              </c:numCache>
            </c:numRef>
          </c:val>
        </c:ser>
        <c:ser>
          <c:idx val="2"/>
          <c:order val="1"/>
          <c:tx>
            <c:strRef>
              <c:f>CR_struktura_DP!$A$20</c:f>
              <c:strCache>
                <c:ptCount val="1"/>
                <c:pt idx="0">
                  <c:v>DPH (301,5 mld. Kč)</c:v>
                </c:pt>
              </c:strCache>
            </c:strRef>
          </c:tx>
          <c:spPr>
            <a:solidFill>
              <a:srgbClr val="FFCC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CR_struktura_DP!$C$18:$N$18</c:f>
              <c:strCache>
                <c:ptCount val="12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2013*</c:v>
                </c:pt>
                <c:pt idx="11">
                  <c:v>2014*</c:v>
                </c:pt>
              </c:strCache>
            </c:strRef>
          </c:cat>
          <c:val>
            <c:numRef>
              <c:f>CR_struktura_DP!$C$20:$N$20</c:f>
              <c:numCache>
                <c:formatCode>0.0</c:formatCode>
                <c:ptCount val="12"/>
                <c:pt idx="0">
                  <c:v>18.372820742065269</c:v>
                </c:pt>
                <c:pt idx="1">
                  <c:v>18.878504672897201</c:v>
                </c:pt>
                <c:pt idx="2">
                  <c:v>19.518867924528301</c:v>
                </c:pt>
                <c:pt idx="3">
                  <c:v>19.848926101201311</c:v>
                </c:pt>
                <c:pt idx="4">
                  <c:v>18.365220762229349</c:v>
                </c:pt>
                <c:pt idx="5">
                  <c:v>19.305109036681252</c:v>
                </c:pt>
                <c:pt idx="6">
                  <c:v>21.208753633099672</c:v>
                </c:pt>
                <c:pt idx="7">
                  <c:v>21.84060249937929</c:v>
                </c:pt>
                <c:pt idx="8">
                  <c:v>21.742289681898921</c:v>
                </c:pt>
                <c:pt idx="9">
                  <c:v>21.521482065431613</c:v>
                </c:pt>
                <c:pt idx="10">
                  <c:v>22.769173324205951</c:v>
                </c:pt>
                <c:pt idx="11">
                  <c:v>22.699894594187626</c:v>
                </c:pt>
              </c:numCache>
            </c:numRef>
          </c:val>
        </c:ser>
        <c:ser>
          <c:idx val="3"/>
          <c:order val="2"/>
          <c:tx>
            <c:strRef>
              <c:f>CR_struktura_DP!$A$21</c:f>
              <c:strCache>
                <c:ptCount val="1"/>
                <c:pt idx="0">
                  <c:v>DPPO (127,8 mld. Kč)</c:v>
                </c:pt>
              </c:strCache>
            </c:strRef>
          </c:tx>
          <c:spPr>
            <a:solidFill>
              <a:srgbClr val="FFFF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CR_struktura_DP!$C$18:$N$18</c:f>
              <c:strCache>
                <c:ptCount val="12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2013*</c:v>
                </c:pt>
                <c:pt idx="11">
                  <c:v>2014*</c:v>
                </c:pt>
              </c:strCache>
            </c:strRef>
          </c:cat>
          <c:val>
            <c:numRef>
              <c:f>CR_struktura_DP!$C$21:$N$21</c:f>
              <c:numCache>
                <c:formatCode>0.0</c:formatCode>
                <c:ptCount val="12"/>
                <c:pt idx="0">
                  <c:v>12.95261510952168</c:v>
                </c:pt>
                <c:pt idx="1">
                  <c:v>12.44029075804777</c:v>
                </c:pt>
                <c:pt idx="2">
                  <c:v>13.660377358490566</c:v>
                </c:pt>
                <c:pt idx="3">
                  <c:v>12.904987258827813</c:v>
                </c:pt>
                <c:pt idx="4">
                  <c:v>13.440369565744097</c:v>
                </c:pt>
                <c:pt idx="5">
                  <c:v>14.534608978580005</c:v>
                </c:pt>
                <c:pt idx="6">
                  <c:v>10.865105146178831</c:v>
                </c:pt>
                <c:pt idx="7">
                  <c:v>10.725813125879334</c:v>
                </c:pt>
                <c:pt idx="8">
                  <c:v>9.9547876634910377</c:v>
                </c:pt>
                <c:pt idx="9">
                  <c:v>10.540007883326762</c:v>
                </c:pt>
                <c:pt idx="10">
                  <c:v>9.7937783447814475</c:v>
                </c:pt>
                <c:pt idx="11">
                  <c:v>9.622044872760128</c:v>
                </c:pt>
              </c:numCache>
            </c:numRef>
          </c:val>
        </c:ser>
        <c:ser>
          <c:idx val="4"/>
          <c:order val="3"/>
          <c:tx>
            <c:strRef>
              <c:f>CR_struktura_DP!$A$22</c:f>
              <c:strCache>
                <c:ptCount val="1"/>
                <c:pt idx="0">
                  <c:v>DPFO (157,5 mld. Kč)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CR_struktura_DP!$C$18:$N$18</c:f>
              <c:strCache>
                <c:ptCount val="12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2013*</c:v>
                </c:pt>
                <c:pt idx="11">
                  <c:v>2014*</c:v>
                </c:pt>
              </c:strCache>
            </c:strRef>
          </c:cat>
          <c:val>
            <c:numRef>
              <c:f>CR_struktura_DP!$C$22:$N$22</c:f>
              <c:numCache>
                <c:formatCode>0.0</c:formatCode>
                <c:ptCount val="12"/>
                <c:pt idx="0">
                  <c:v>13.746088511399195</c:v>
                </c:pt>
                <c:pt idx="1">
                  <c:v>13.842159916926274</c:v>
                </c:pt>
                <c:pt idx="2">
                  <c:v>13.433962264150946</c:v>
                </c:pt>
                <c:pt idx="3">
                  <c:v>12.449945394976339</c:v>
                </c:pt>
                <c:pt idx="4">
                  <c:v>12.232173863884157</c:v>
                </c:pt>
                <c:pt idx="5">
                  <c:v>11.101987062788083</c:v>
                </c:pt>
                <c:pt idx="6">
                  <c:v>10.89929902547444</c:v>
                </c:pt>
                <c:pt idx="7">
                  <c:v>10.866506662252753</c:v>
                </c:pt>
                <c:pt idx="8">
                  <c:v>10.810592604553529</c:v>
                </c:pt>
                <c:pt idx="9">
                  <c:v>10.815924320063065</c:v>
                </c:pt>
                <c:pt idx="10">
                  <c:v>11.053978576596057</c:v>
                </c:pt>
                <c:pt idx="11">
                  <c:v>11.858153892486072</c:v>
                </c:pt>
              </c:numCache>
            </c:numRef>
          </c:val>
        </c:ser>
        <c:ser>
          <c:idx val="5"/>
          <c:order val="4"/>
          <c:tx>
            <c:strRef>
              <c:f>CR_struktura_DP!$A$23</c:f>
              <c:strCache>
                <c:ptCount val="1"/>
                <c:pt idx="0">
                  <c:v>Spotřební daně (146,8 mld. Kč)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CR_struktura_DP!$C$18:$N$18</c:f>
              <c:strCache>
                <c:ptCount val="12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2013*</c:v>
                </c:pt>
                <c:pt idx="11">
                  <c:v>2014*</c:v>
                </c:pt>
              </c:strCache>
            </c:strRef>
          </c:cat>
          <c:val>
            <c:numRef>
              <c:f>CR_struktura_DP!$C$23:$N$23</c:f>
              <c:numCache>
                <c:formatCode>0.0</c:formatCode>
                <c:ptCount val="12"/>
                <c:pt idx="0">
                  <c:v>9.4099240053643278</c:v>
                </c:pt>
                <c:pt idx="1">
                  <c:v>9.9480789200415387</c:v>
                </c:pt>
                <c:pt idx="2">
                  <c:v>10.433962264150942</c:v>
                </c:pt>
                <c:pt idx="3">
                  <c:v>10.875500546050237</c:v>
                </c:pt>
                <c:pt idx="4">
                  <c:v>11.220229201831676</c:v>
                </c:pt>
                <c:pt idx="5">
                  <c:v>10.304837897509394</c:v>
                </c:pt>
                <c:pt idx="6">
                  <c:v>11.207043939134891</c:v>
                </c:pt>
                <c:pt idx="7">
                  <c:v>11.445832988496235</c:v>
                </c:pt>
                <c:pt idx="8">
                  <c:v>11.835943807524625</c:v>
                </c:pt>
                <c:pt idx="9">
                  <c:v>11.572723689396927</c:v>
                </c:pt>
                <c:pt idx="10">
                  <c:v>11.295128003671692</c:v>
                </c:pt>
                <c:pt idx="11">
                  <c:v>11.052552326456862</c:v>
                </c:pt>
              </c:numCache>
            </c:numRef>
          </c:val>
        </c:ser>
        <c:ser>
          <c:idx val="7"/>
          <c:order val="5"/>
          <c:tx>
            <c:strRef>
              <c:f>CR_struktura_DP!$A$24</c:f>
              <c:strCache>
                <c:ptCount val="1"/>
                <c:pt idx="0">
                  <c:v>Majetkové daně (19,7 mld. Kč)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CR_struktura_DP!$C$18:$N$18</c:f>
              <c:strCache>
                <c:ptCount val="12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2013*</c:v>
                </c:pt>
                <c:pt idx="11">
                  <c:v>2014*</c:v>
                </c:pt>
              </c:strCache>
            </c:strRef>
          </c:cat>
          <c:val>
            <c:numRef>
              <c:f>CR_struktura_DP!$C$24:$N$24</c:f>
              <c:numCache>
                <c:formatCode>0.0</c:formatCode>
                <c:ptCount val="12"/>
                <c:pt idx="0">
                  <c:v>1.5198927134555209</c:v>
                </c:pt>
                <c:pt idx="1">
                  <c:v>1.5887850467289724</c:v>
                </c:pt>
                <c:pt idx="2">
                  <c:v>1.2358490566037736</c:v>
                </c:pt>
                <c:pt idx="3">
                  <c:v>1.2286130323989808</c:v>
                </c:pt>
                <c:pt idx="4">
                  <c:v>1.2518070440393794</c:v>
                </c:pt>
                <c:pt idx="5">
                  <c:v>1.2007591896812175</c:v>
                </c:pt>
                <c:pt idx="6">
                  <c:v>1.230979654641819</c:v>
                </c:pt>
                <c:pt idx="7">
                  <c:v>1.3572788214847304</c:v>
                </c:pt>
                <c:pt idx="8">
                  <c:v>1.6389471984498627</c:v>
                </c:pt>
                <c:pt idx="9">
                  <c:v>1.6318486401261334</c:v>
                </c:pt>
                <c:pt idx="10">
                  <c:v>1.4702336037837118</c:v>
                </c:pt>
                <c:pt idx="11">
                  <c:v>1.4832103598855597</c:v>
                </c:pt>
              </c:numCache>
            </c:numRef>
          </c:val>
        </c:ser>
        <c:ser>
          <c:idx val="8"/>
          <c:order val="6"/>
          <c:tx>
            <c:strRef>
              <c:f>CR_struktura_DP!$A$25</c:f>
              <c:strCache>
                <c:ptCount val="1"/>
                <c:pt idx="0">
                  <c:v>Ostatní daňové příjmy (17,5 mld. Kč)</c:v>
                </c:pt>
              </c:strCache>
            </c:strRef>
          </c:tx>
          <c:spPr>
            <a:solidFill>
              <a:srgbClr val="33CC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CR_struktura_DP!$C$18:$N$18</c:f>
              <c:strCache>
                <c:ptCount val="12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2013*</c:v>
                </c:pt>
                <c:pt idx="11">
                  <c:v>2014*</c:v>
                </c:pt>
              </c:strCache>
            </c:strRef>
          </c:cat>
          <c:val>
            <c:numRef>
              <c:f>CR_struktura_DP!$C$25:$N$25</c:f>
              <c:numCache>
                <c:formatCode>0.0</c:formatCode>
                <c:ptCount val="12"/>
                <c:pt idx="0">
                  <c:v>2.6486365668305765</c:v>
                </c:pt>
                <c:pt idx="1">
                  <c:v>2.554517133956387</c:v>
                </c:pt>
                <c:pt idx="2">
                  <c:v>2.4622641509433962</c:v>
                </c:pt>
                <c:pt idx="3">
                  <c:v>2.4754277393520203</c:v>
                </c:pt>
                <c:pt idx="4">
                  <c:v>1.3325687888161135</c:v>
                </c:pt>
                <c:pt idx="5">
                  <c:v>1.0845566874540029</c:v>
                </c:pt>
                <c:pt idx="6">
                  <c:v>1.0172679090442811</c:v>
                </c:pt>
                <c:pt idx="7">
                  <c:v>0.93519821236447909</c:v>
                </c:pt>
                <c:pt idx="8">
                  <c:v>0.96883578233489431</c:v>
                </c:pt>
                <c:pt idx="9">
                  <c:v>1.2849822625147811</c:v>
                </c:pt>
                <c:pt idx="10">
                  <c:v>1.3543262985118745</c:v>
                </c:pt>
                <c:pt idx="11">
                  <c:v>1.3175726547206748</c:v>
                </c:pt>
              </c:numCache>
            </c:numRef>
          </c:val>
        </c:ser>
        <c:ser>
          <c:idx val="9"/>
          <c:order val="7"/>
          <c:tx>
            <c:strRef>
              <c:f>CR_struktura_DP!$A$26</c:f>
              <c:strCache>
                <c:ptCount val="1"/>
                <c:pt idx="0">
                  <c:v>Clo (0,0 mld. Kč)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CR_struktura_DP!$C$18:$N$18</c:f>
              <c:strCache>
                <c:ptCount val="12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2013*</c:v>
                </c:pt>
                <c:pt idx="11">
                  <c:v>2014*</c:v>
                </c:pt>
              </c:strCache>
            </c:strRef>
          </c:cat>
          <c:val>
            <c:numRef>
              <c:f>CR_struktura_DP!$C$26:$N$26</c:f>
              <c:numCache>
                <c:formatCode>0.0</c:formatCode>
                <c:ptCount val="12"/>
                <c:pt idx="0">
                  <c:v>1.1510952168082254</c:v>
                </c:pt>
                <c:pt idx="1">
                  <c:v>0.42575285565939774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50427392"/>
        <c:axId val="50428928"/>
      </c:barChart>
      <c:catAx>
        <c:axId val="50427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50428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04289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50427392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1.1986348241123325E-2"/>
          <c:y val="0.75666911410993232"/>
          <c:w val="0.9743151165510251"/>
          <c:h val="0.2200008439459537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882352941176471"/>
          <c:y val="7.5301204819277115E-2"/>
          <c:w val="0.87058823529411766"/>
          <c:h val="0.617469879518072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OECD_tax_12!$B$1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FFCC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9"/>
            <c:invertIfNegative val="0"/>
            <c:bubble3D val="0"/>
          </c:dPt>
          <c:dPt>
            <c:idx val="11"/>
            <c:invertIfNegative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3"/>
            <c:invertIfNegative val="0"/>
            <c:bubble3D val="0"/>
          </c:dPt>
          <c:dPt>
            <c:idx val="15"/>
            <c:invertIfNegative val="0"/>
            <c:bubble3D val="0"/>
          </c:dPt>
          <c:dLbls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  <a:r>
                      <a:rPr lang="cs-CZ"/>
                      <a:t>,0</a:t>
                    </a:r>
                    <a:endParaRPr lang="en-US"/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rot="-450000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OECD_tax_12!$A$2:$A$26</c:f>
              <c:strCache>
                <c:ptCount val="25"/>
                <c:pt idx="0">
                  <c:v>United States</c:v>
                </c:pt>
                <c:pt idx="1">
                  <c:v>Korea</c:v>
                </c:pt>
                <c:pt idx="2">
                  <c:v>Turkey</c:v>
                </c:pt>
                <c:pt idx="3">
                  <c:v>Switzerland</c:v>
                </c:pt>
                <c:pt idx="4">
                  <c:v>Slovak Republic</c:v>
                </c:pt>
                <c:pt idx="5">
                  <c:v>Estonia</c:v>
                </c:pt>
                <c:pt idx="6">
                  <c:v>Portugal</c:v>
                </c:pt>
                <c:pt idx="7">
                  <c:v>New Zealand</c:v>
                </c:pt>
                <c:pt idx="8">
                  <c:v>Spain</c:v>
                </c:pt>
                <c:pt idx="9">
                  <c:v>Greece</c:v>
                </c:pt>
                <c:pt idx="10">
                  <c:v>United Kingdom</c:v>
                </c:pt>
                <c:pt idx="11">
                  <c:v>Czech Republic</c:v>
                </c:pt>
                <c:pt idx="12">
                  <c:v>Iceland</c:v>
                </c:pt>
                <c:pt idx="13">
                  <c:v>Slovenia</c:v>
                </c:pt>
                <c:pt idx="14">
                  <c:v>Germany</c:v>
                </c:pt>
                <c:pt idx="15">
                  <c:v>Luxembourg</c:v>
                </c:pt>
                <c:pt idx="16">
                  <c:v>Hungary</c:v>
                </c:pt>
                <c:pt idx="17">
                  <c:v>Norway</c:v>
                </c:pt>
                <c:pt idx="18">
                  <c:v>Austria</c:v>
                </c:pt>
                <c:pt idx="19">
                  <c:v>Finland</c:v>
                </c:pt>
                <c:pt idx="20">
                  <c:v>Sweden</c:v>
                </c:pt>
                <c:pt idx="21">
                  <c:v>Italy</c:v>
                </c:pt>
                <c:pt idx="22">
                  <c:v>Belgium</c:v>
                </c:pt>
                <c:pt idx="23">
                  <c:v>France</c:v>
                </c:pt>
                <c:pt idx="24">
                  <c:v>Denmark</c:v>
                </c:pt>
              </c:strCache>
            </c:strRef>
          </c:cat>
          <c:val>
            <c:numRef>
              <c:f>OECD_tax_12!$B$2:$B$26</c:f>
              <c:numCache>
                <c:formatCode>0.0</c:formatCode>
                <c:ptCount val="25"/>
                <c:pt idx="0">
                  <c:v>24.3</c:v>
                </c:pt>
                <c:pt idx="1">
                  <c:v>26.8</c:v>
                </c:pt>
                <c:pt idx="2">
                  <c:v>27.7</c:v>
                </c:pt>
                <c:pt idx="3">
                  <c:v>28.2</c:v>
                </c:pt>
                <c:pt idx="4">
                  <c:v>28.5</c:v>
                </c:pt>
                <c:pt idx="5">
                  <c:v>32.5</c:v>
                </c:pt>
                <c:pt idx="6">
                  <c:v>32.5</c:v>
                </c:pt>
                <c:pt idx="7">
                  <c:v>32.9</c:v>
                </c:pt>
                <c:pt idx="8">
                  <c:v>32.9</c:v>
                </c:pt>
                <c:pt idx="9">
                  <c:v>33.799999999999997</c:v>
                </c:pt>
                <c:pt idx="10">
                  <c:v>35.200000000000003</c:v>
                </c:pt>
                <c:pt idx="11">
                  <c:v>35.5</c:v>
                </c:pt>
                <c:pt idx="12">
                  <c:v>37.200000000000003</c:v>
                </c:pt>
                <c:pt idx="13">
                  <c:v>37.4</c:v>
                </c:pt>
                <c:pt idx="14">
                  <c:v>37.6</c:v>
                </c:pt>
                <c:pt idx="15">
                  <c:v>37.799999999999997</c:v>
                </c:pt>
                <c:pt idx="16">
                  <c:v>38.9</c:v>
                </c:pt>
                <c:pt idx="17">
                  <c:v>42.2</c:v>
                </c:pt>
                <c:pt idx="18">
                  <c:v>43.2</c:v>
                </c:pt>
                <c:pt idx="19">
                  <c:v>44.1</c:v>
                </c:pt>
                <c:pt idx="20">
                  <c:v>44.3</c:v>
                </c:pt>
                <c:pt idx="21">
                  <c:v>44.4</c:v>
                </c:pt>
                <c:pt idx="22">
                  <c:v>45.3</c:v>
                </c:pt>
                <c:pt idx="23">
                  <c:v>45.3</c:v>
                </c:pt>
                <c:pt idx="24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50453888"/>
        <c:axId val="50476160"/>
      </c:barChart>
      <c:catAx>
        <c:axId val="50453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50476160"/>
        <c:crosses val="autoZero"/>
        <c:auto val="1"/>
        <c:lblAlgn val="ctr"/>
        <c:lblOffset val="20"/>
        <c:tickLblSkip val="1"/>
        <c:tickMarkSkip val="1"/>
        <c:noMultiLvlLbl val="0"/>
      </c:catAx>
      <c:valAx>
        <c:axId val="50476160"/>
        <c:scaling>
          <c:orientation val="minMax"/>
          <c:max val="5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% GDP</a:t>
                </a:r>
              </a:p>
            </c:rich>
          </c:tx>
          <c:layout>
            <c:manualLayout>
              <c:xMode val="edge"/>
              <c:yMode val="edge"/>
              <c:x val="2.3529411764705882E-2"/>
              <c:y val="0.31024081843784129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50453888"/>
        <c:crosses val="autoZero"/>
        <c:crossBetween val="between"/>
        <c:majorUnit val="10"/>
        <c:minorUnit val="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Výchozí návrh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Výchozí návrh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7B7C-E24E-464C-A575-BEBBB377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6052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Cvičení č</vt:lpstr>
      <vt:lpstr>Cvičení č</vt:lpstr>
    </vt:vector>
  </TitlesOfParts>
  <Company>Ekonomicko-správní fakulta Masarykovy univerzity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č</dc:title>
  <dc:creator>Furova Lenka</dc:creator>
  <cp:lastModifiedBy>Hrůza Filip</cp:lastModifiedBy>
  <cp:revision>2</cp:revision>
  <cp:lastPrinted>2015-11-11T13:57:00Z</cp:lastPrinted>
  <dcterms:created xsi:type="dcterms:W3CDTF">2015-11-11T14:49:00Z</dcterms:created>
  <dcterms:modified xsi:type="dcterms:W3CDTF">2015-11-11T14:49:00Z</dcterms:modified>
</cp:coreProperties>
</file>