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3EC3B" w14:textId="77777777" w:rsidR="00844C47" w:rsidRDefault="00A17C5F" w:rsidP="00DC1DF7">
      <w:pPr>
        <w:outlineLvl w:val="0"/>
      </w:pPr>
      <w:r>
        <w:t>LR Cost</w:t>
      </w:r>
    </w:p>
    <w:p w14:paraId="4B0A8C71" w14:textId="77777777" w:rsidR="00A17C5F" w:rsidRDefault="00A17C5F"/>
    <w:p w14:paraId="6EBAB24D" w14:textId="77777777" w:rsidR="00A17C5F" w:rsidRPr="00044236" w:rsidRDefault="00A17C5F" w:rsidP="00A17C5F">
      <w:pPr>
        <w:pStyle w:val="ListParagraph"/>
        <w:numPr>
          <w:ilvl w:val="0"/>
          <w:numId w:val="2"/>
        </w:numPr>
        <w:jc w:val="both"/>
      </w:pPr>
      <w:r>
        <w:t xml:space="preserve">Assume that the production of less-than-truckload (LTL) motor carrier services depends upon three inputs: capital, labour, and fuel. The production function for LTL ton-miles is </w:t>
      </w:r>
      <w:r>
        <w:rPr>
          <w:i/>
        </w:rPr>
        <w:t xml:space="preserve">TM </w:t>
      </w:r>
      <w:r>
        <w:t xml:space="preserve">= </w:t>
      </w:r>
      <w:r>
        <w:rPr>
          <w:i/>
        </w:rPr>
        <w:t>f(L,K,F,</w:t>
      </w:r>
      <w:r>
        <w:rPr>
          <w:rFonts w:ascii="Cambria" w:hAnsi="Cambria"/>
          <w:i/>
        </w:rPr>
        <w:t>γ)</w:t>
      </w:r>
      <w:r>
        <w:rPr>
          <w:rFonts w:ascii="Cambria" w:hAnsi="Cambria"/>
        </w:rPr>
        <w:t xml:space="preserve">, where </w:t>
      </w:r>
      <w:r>
        <w:rPr>
          <w:rFonts w:ascii="Cambria" w:hAnsi="Cambria"/>
          <w:i/>
        </w:rPr>
        <w:t xml:space="preserve">γ </w:t>
      </w:r>
      <w:r>
        <w:rPr>
          <w:rFonts w:ascii="Cambria" w:hAnsi="Cambria"/>
        </w:rPr>
        <w:t>is the state of technology.</w:t>
      </w:r>
    </w:p>
    <w:p w14:paraId="78969B81" w14:textId="77777777" w:rsidR="00044236" w:rsidRPr="00A17C5F" w:rsidRDefault="00044236" w:rsidP="00044236">
      <w:pPr>
        <w:jc w:val="both"/>
      </w:pPr>
    </w:p>
    <w:p w14:paraId="0B57195B" w14:textId="4E517DBD" w:rsidR="00A17C5F" w:rsidRPr="00A17C5F" w:rsidRDefault="00A17C5F" w:rsidP="00A17C5F">
      <w:pPr>
        <w:pStyle w:val="ListParagraph"/>
        <w:numPr>
          <w:ilvl w:val="1"/>
          <w:numId w:val="2"/>
        </w:numPr>
        <w:jc w:val="both"/>
      </w:pPr>
      <w:r>
        <w:rPr>
          <w:rFonts w:ascii="Cambria" w:hAnsi="Cambria"/>
        </w:rPr>
        <w:t xml:space="preserve">Holding fuel and capital constant, graph the total, marginal, and average productivity curves for </w:t>
      </w:r>
      <w:r w:rsidR="00044236">
        <w:rPr>
          <w:rFonts w:ascii="Cambria" w:hAnsi="Cambria"/>
        </w:rPr>
        <w:t>labour</w:t>
      </w:r>
      <w:r>
        <w:rPr>
          <w:rFonts w:ascii="Cambria" w:hAnsi="Cambria"/>
        </w:rPr>
        <w:t>. Graphically depict the expected effect on the total product of labour if the LTL firm invests in more capital.</w:t>
      </w:r>
    </w:p>
    <w:p w14:paraId="27746265" w14:textId="77777777" w:rsidR="00A17C5F" w:rsidRPr="00A17C5F" w:rsidRDefault="00A17C5F" w:rsidP="00A17C5F">
      <w:pPr>
        <w:pStyle w:val="ListParagraph"/>
        <w:numPr>
          <w:ilvl w:val="1"/>
          <w:numId w:val="2"/>
        </w:numPr>
        <w:jc w:val="both"/>
      </w:pPr>
      <w:r>
        <w:rPr>
          <w:rFonts w:ascii="Cambria" w:hAnsi="Cambria"/>
        </w:rPr>
        <w:t xml:space="preserve">In general, what is the cost constraint that an LRL firm faces? Graph the isocost equation under the assumption that capital is held fixed at </w:t>
      </w:r>
      <m:oMath>
        <m:acc>
          <m:accPr>
            <m:chr m:val="̅"/>
            <m:ctrlPr>
              <w:rPr>
                <w:rFonts w:ascii="Cambria Math" w:hAnsi="Cambria Math"/>
                <w:i/>
              </w:rPr>
            </m:ctrlPr>
          </m:accPr>
          <m:e>
            <m:r>
              <w:rPr>
                <w:rFonts w:ascii="Cambria Math" w:hAnsi="Cambria Math"/>
              </w:rPr>
              <m:t>K</m:t>
            </m:r>
          </m:e>
        </m:acc>
      </m:oMath>
      <w:r>
        <w:rPr>
          <w:rFonts w:ascii="Cambria" w:hAnsi="Cambria"/>
        </w:rPr>
        <w:t>.</w:t>
      </w:r>
    </w:p>
    <w:p w14:paraId="36EF8838" w14:textId="77777777" w:rsidR="00A17C5F" w:rsidRPr="00044236" w:rsidRDefault="00A17C5F" w:rsidP="00A17C5F">
      <w:pPr>
        <w:pStyle w:val="ListParagraph"/>
        <w:numPr>
          <w:ilvl w:val="1"/>
          <w:numId w:val="2"/>
        </w:numPr>
        <w:jc w:val="both"/>
      </w:pPr>
      <w:r>
        <w:rPr>
          <w:rFonts w:ascii="Cambria" w:hAnsi="Cambria"/>
        </w:rPr>
        <w:t xml:space="preserve">Holding capital constant at </w:t>
      </w:r>
      <m:oMath>
        <m:acc>
          <m:accPr>
            <m:chr m:val="̅"/>
            <m:ctrlPr>
              <w:rPr>
                <w:rFonts w:ascii="Cambria Math" w:hAnsi="Cambria Math"/>
                <w:i/>
              </w:rPr>
            </m:ctrlPr>
          </m:accPr>
          <m:e>
            <m:r>
              <w:rPr>
                <w:rFonts w:ascii="Cambria Math" w:hAnsi="Cambria Math"/>
              </w:rPr>
              <m:t>K</m:t>
            </m:r>
          </m:e>
        </m:acc>
      </m:oMath>
      <w:r>
        <w:rPr>
          <w:rFonts w:ascii="Cambria" w:hAnsi="Cambria"/>
        </w:rPr>
        <w:t>, use isoquant and isocost curves to predict the impact that an increase in fuel price will have upon an LTL’s optimal use of fuel and labour. Also depict the expected effect upon the consumption of fuel and labour if the per unit price of capital increases.</w:t>
      </w:r>
    </w:p>
    <w:p w14:paraId="7E71A947" w14:textId="77777777" w:rsidR="00044236" w:rsidRPr="00A17C5F" w:rsidRDefault="00044236" w:rsidP="00044236">
      <w:pPr>
        <w:jc w:val="both"/>
      </w:pPr>
    </w:p>
    <w:p w14:paraId="1E49A9C8" w14:textId="77777777" w:rsidR="00A17C5F" w:rsidRDefault="00A17C5F" w:rsidP="00A17C5F">
      <w:pPr>
        <w:pStyle w:val="ListParagraph"/>
        <w:numPr>
          <w:ilvl w:val="0"/>
          <w:numId w:val="2"/>
        </w:numPr>
        <w:jc w:val="both"/>
      </w:pPr>
      <w:r>
        <w:t>Suppose that the production function for owner-operators in the truckload sector of the motor carrier industry required that capital and labour be used in fixed proportions: one driver with each truck.</w:t>
      </w:r>
    </w:p>
    <w:p w14:paraId="03EA6A5E" w14:textId="77777777" w:rsidR="00044236" w:rsidRDefault="00044236" w:rsidP="00044236">
      <w:pPr>
        <w:jc w:val="both"/>
      </w:pPr>
    </w:p>
    <w:p w14:paraId="0B03248B" w14:textId="77777777" w:rsidR="00A17C5F" w:rsidRDefault="00A17C5F" w:rsidP="00A17C5F">
      <w:pPr>
        <w:pStyle w:val="ListParagraph"/>
        <w:numPr>
          <w:ilvl w:val="1"/>
          <w:numId w:val="2"/>
        </w:numPr>
        <w:jc w:val="both"/>
      </w:pPr>
      <w:r>
        <w:t>Identify the production function for owner-operator services and graphically depict the set of isoquants for this production function.</w:t>
      </w:r>
    </w:p>
    <w:p w14:paraId="129D9588" w14:textId="77777777" w:rsidR="00A17C5F" w:rsidRDefault="00A17C5F" w:rsidP="00A17C5F">
      <w:pPr>
        <w:pStyle w:val="ListParagraph"/>
        <w:numPr>
          <w:ilvl w:val="1"/>
          <w:numId w:val="2"/>
        </w:numPr>
        <w:jc w:val="both"/>
      </w:pPr>
      <w:r>
        <w:t>Define the elasticity of substitution and discuss the extent to which capital and labour are substitutable for this production technology.</w:t>
      </w:r>
    </w:p>
    <w:p w14:paraId="427E3C40" w14:textId="77777777" w:rsidR="00A17C5F" w:rsidRDefault="00A17C5F" w:rsidP="00A17C5F">
      <w:pPr>
        <w:pStyle w:val="ListParagraph"/>
        <w:numPr>
          <w:ilvl w:val="1"/>
          <w:numId w:val="2"/>
        </w:numPr>
        <w:jc w:val="both"/>
      </w:pPr>
      <w:r>
        <w:t xml:space="preserve">Graphically identify the optimal use of capital and labour for a given set of labour and capital input prices, </w:t>
      </w:r>
      <w:r>
        <w:rPr>
          <w:i/>
        </w:rPr>
        <w:t>w</w:t>
      </w:r>
      <w:r>
        <w:t xml:space="preserve"> and </w:t>
      </w:r>
      <w:r>
        <w:rPr>
          <w:i/>
        </w:rPr>
        <w:t>r</w:t>
      </w:r>
      <w:r>
        <w:t>, respectively. What effect on the optimal capital : labour ratio will occur if the relative labour wages increase by 10 %, all else held constant?</w:t>
      </w:r>
    </w:p>
    <w:p w14:paraId="7FDA45C7" w14:textId="68673348" w:rsidR="00A17C5F" w:rsidRDefault="00A17C5F" w:rsidP="00A17C5F">
      <w:pPr>
        <w:pStyle w:val="ListParagraph"/>
        <w:numPr>
          <w:ilvl w:val="1"/>
          <w:numId w:val="2"/>
        </w:numPr>
        <w:jc w:val="both"/>
      </w:pPr>
      <w:r>
        <w:t>When truckload services are produced with this technology, what will be the impact on output if</w:t>
      </w:r>
      <w:r w:rsidR="00044236">
        <w:t xml:space="preserve"> capital and labour increase by</w:t>
      </w:r>
      <w:r w:rsidR="00044236">
        <w:br/>
      </w:r>
      <w:r>
        <w:t>15 %?</w:t>
      </w:r>
    </w:p>
    <w:p w14:paraId="32E28FD9" w14:textId="77777777" w:rsidR="00044236" w:rsidRDefault="00044236" w:rsidP="00044236">
      <w:pPr>
        <w:jc w:val="both"/>
      </w:pPr>
    </w:p>
    <w:p w14:paraId="73B3DE06" w14:textId="77777777" w:rsidR="00A17C5F" w:rsidRDefault="00A17C5F" w:rsidP="00A17C5F">
      <w:pPr>
        <w:pStyle w:val="ListParagraph"/>
        <w:numPr>
          <w:ilvl w:val="0"/>
          <w:numId w:val="2"/>
        </w:numPr>
        <w:jc w:val="both"/>
      </w:pPr>
      <w:r>
        <w:t>Suppose that a transport firm’s cost of producing carrier services is solely a function of labour, which is given by the following production function:</w:t>
      </w:r>
    </w:p>
    <w:p w14:paraId="56597A66" w14:textId="77777777" w:rsidR="00A17C5F" w:rsidRDefault="00A17C5F" w:rsidP="00A17C5F">
      <w:pPr>
        <w:jc w:val="both"/>
      </w:pPr>
    </w:p>
    <w:p w14:paraId="41B97C63" w14:textId="77777777" w:rsidR="00A17C5F" w:rsidRDefault="00A17C5F" w:rsidP="00DC1DF7">
      <w:pPr>
        <w:ind w:left="709"/>
        <w:jc w:val="center"/>
        <w:outlineLvl w:val="0"/>
      </w:pPr>
      <w:r>
        <w:rPr>
          <w:i/>
        </w:rPr>
        <w:t>T</w:t>
      </w:r>
      <w:r>
        <w:t xml:space="preserve"> = 5</w:t>
      </w:r>
      <w:r>
        <w:rPr>
          <w:i/>
        </w:rPr>
        <w:t>L</w:t>
      </w:r>
    </w:p>
    <w:p w14:paraId="03E5B9EF" w14:textId="77777777" w:rsidR="00A17C5F" w:rsidRPr="00A17C5F" w:rsidRDefault="00A17C5F" w:rsidP="00A17C5F">
      <w:pPr>
        <w:jc w:val="both"/>
      </w:pPr>
    </w:p>
    <w:p w14:paraId="1F1AC2BE" w14:textId="77777777" w:rsidR="00A17C5F" w:rsidRDefault="00A17C5F" w:rsidP="00A17C5F">
      <w:pPr>
        <w:pStyle w:val="ListParagraph"/>
        <w:numPr>
          <w:ilvl w:val="1"/>
          <w:numId w:val="2"/>
        </w:numPr>
        <w:jc w:val="both"/>
      </w:pPr>
      <w:r>
        <w:t>What is the labour input requirement per unit of output produced?</w:t>
      </w:r>
    </w:p>
    <w:p w14:paraId="60ADC059" w14:textId="77777777" w:rsidR="00A17C5F" w:rsidRDefault="00A17C5F" w:rsidP="00A17C5F">
      <w:pPr>
        <w:pStyle w:val="ListParagraph"/>
        <w:numPr>
          <w:ilvl w:val="1"/>
          <w:numId w:val="2"/>
        </w:numPr>
        <w:jc w:val="both"/>
      </w:pPr>
      <w:r>
        <w:t xml:space="preserve">What is the optimal amount of labour used, and what is the cost function for this transportation firm? What is the firm’s </w:t>
      </w:r>
      <w:r w:rsidR="00D91477">
        <w:t>marginal cost and average cost of production?</w:t>
      </w:r>
    </w:p>
    <w:p w14:paraId="04B9018F" w14:textId="77777777" w:rsidR="00D91477" w:rsidRDefault="00D91477" w:rsidP="00A17C5F">
      <w:pPr>
        <w:pStyle w:val="ListParagraph"/>
        <w:numPr>
          <w:ilvl w:val="1"/>
          <w:numId w:val="2"/>
        </w:numPr>
        <w:jc w:val="both"/>
      </w:pPr>
      <w:r>
        <w:t>Using the cost function obtained in (b), demonstrate that this firm produces output under constant returns to scale.</w:t>
      </w:r>
    </w:p>
    <w:p w14:paraId="5A27479E" w14:textId="77777777" w:rsidR="00044236" w:rsidRDefault="00044236" w:rsidP="00044236">
      <w:pPr>
        <w:jc w:val="both"/>
      </w:pPr>
    </w:p>
    <w:p w14:paraId="487D7BA7" w14:textId="77777777" w:rsidR="00D91477" w:rsidRDefault="00D91477" w:rsidP="00D91477">
      <w:pPr>
        <w:pStyle w:val="ListParagraph"/>
        <w:numPr>
          <w:ilvl w:val="0"/>
          <w:numId w:val="2"/>
        </w:numPr>
        <w:jc w:val="both"/>
      </w:pPr>
      <w:r>
        <w:lastRenderedPageBreak/>
        <w:t>Suppose that an airline company’s long-run production depends only upon labour according to the following function:</w:t>
      </w:r>
    </w:p>
    <w:p w14:paraId="10FD920F" w14:textId="77777777" w:rsidR="00D91477" w:rsidRDefault="00D91477" w:rsidP="00D91477">
      <w:pPr>
        <w:pStyle w:val="ListParagraph"/>
        <w:jc w:val="both"/>
      </w:pPr>
    </w:p>
    <w:p w14:paraId="6AD8FB80" w14:textId="77777777" w:rsidR="00D91477" w:rsidRDefault="00C250E1" w:rsidP="00DC1DF7">
      <w:pPr>
        <w:pStyle w:val="ListParagraph"/>
        <w:jc w:val="center"/>
        <w:outlineLvl w:val="0"/>
        <w:rPr>
          <w:rFonts w:ascii="Cambria" w:hAnsi="Cambria"/>
          <w:i/>
        </w:rPr>
      </w:pPr>
      <w:r>
        <w:t>Passenger</w:t>
      </w:r>
      <w:r w:rsidR="00DE36C3">
        <w:t>-</w:t>
      </w:r>
      <w:r w:rsidR="00D91477">
        <w:t>Miles (</w:t>
      </w:r>
      <w:r w:rsidR="00D91477" w:rsidRPr="00D91477">
        <w:rPr>
          <w:i/>
        </w:rPr>
        <w:t>PM</w:t>
      </w:r>
      <w:r w:rsidR="00D91477">
        <w:t xml:space="preserve">) = </w:t>
      </w:r>
      <w:r w:rsidR="00D91477" w:rsidRPr="00D91477">
        <w:rPr>
          <w:i/>
        </w:rPr>
        <w:t>AL</w:t>
      </w:r>
      <w:r w:rsidR="00D91477" w:rsidRPr="00D91477">
        <w:rPr>
          <w:rFonts w:ascii="Cambria" w:hAnsi="Cambria"/>
          <w:i/>
          <w:vertAlign w:val="superscript"/>
        </w:rPr>
        <w:t>α</w:t>
      </w:r>
    </w:p>
    <w:p w14:paraId="2135443B" w14:textId="77777777" w:rsidR="00D91477" w:rsidRPr="00D91477" w:rsidRDefault="00D91477" w:rsidP="00D91477">
      <w:pPr>
        <w:pStyle w:val="ListParagraph"/>
        <w:jc w:val="center"/>
        <w:rPr>
          <w:rFonts w:ascii="Cambria" w:hAnsi="Cambria"/>
        </w:rPr>
      </w:pPr>
    </w:p>
    <w:p w14:paraId="1387401C" w14:textId="77777777" w:rsidR="00D91477" w:rsidRPr="00D91477" w:rsidRDefault="00D91477" w:rsidP="00D91477">
      <w:pPr>
        <w:pStyle w:val="ListParagraph"/>
        <w:numPr>
          <w:ilvl w:val="1"/>
          <w:numId w:val="2"/>
        </w:numPr>
        <w:jc w:val="both"/>
      </w:pPr>
      <w:r>
        <w:rPr>
          <w:rFonts w:ascii="Cambria" w:hAnsi="Cambria"/>
        </w:rPr>
        <w:t>What is the air carrier’s optimal use of labour in the short run?</w:t>
      </w:r>
    </w:p>
    <w:p w14:paraId="46B3403F" w14:textId="77777777" w:rsidR="00D91477" w:rsidRPr="00D91477" w:rsidRDefault="00D91477" w:rsidP="00D91477">
      <w:pPr>
        <w:pStyle w:val="ListParagraph"/>
        <w:numPr>
          <w:ilvl w:val="1"/>
          <w:numId w:val="2"/>
        </w:numPr>
        <w:jc w:val="both"/>
      </w:pPr>
      <w:r>
        <w:rPr>
          <w:rFonts w:ascii="Cambria" w:hAnsi="Cambria"/>
        </w:rPr>
        <w:t>What is the long-run total cost function for this air carrier? What is the average cost of production?</w:t>
      </w:r>
    </w:p>
    <w:p w14:paraId="65B49510" w14:textId="77777777" w:rsidR="00D91477" w:rsidRPr="00D91477" w:rsidRDefault="00D91477" w:rsidP="00D91477">
      <w:pPr>
        <w:pStyle w:val="ListParagraph"/>
        <w:numPr>
          <w:ilvl w:val="1"/>
          <w:numId w:val="2"/>
        </w:numPr>
        <w:jc w:val="both"/>
      </w:pPr>
      <w:r>
        <w:rPr>
          <w:rFonts w:ascii="Cambria" w:hAnsi="Cambria"/>
        </w:rPr>
        <w:t>It can be shown that the marginal cost of production for this technology equals</w:t>
      </w:r>
    </w:p>
    <w:p w14:paraId="5BC78165" w14:textId="77777777" w:rsidR="00D91477" w:rsidRDefault="00D91477" w:rsidP="00D91477">
      <w:pPr>
        <w:jc w:val="both"/>
      </w:pPr>
    </w:p>
    <w:p w14:paraId="0FBBDFD4" w14:textId="77777777" w:rsidR="00D91477" w:rsidRDefault="00D91477" w:rsidP="00DC1DF7">
      <w:pPr>
        <w:tabs>
          <w:tab w:val="left" w:pos="2597"/>
          <w:tab w:val="center" w:pos="4150"/>
        </w:tabs>
        <w:ind w:left="1418"/>
        <w:jc w:val="center"/>
        <w:outlineLvl w:val="0"/>
      </w:pPr>
      <w:r>
        <w:rPr>
          <w:i/>
        </w:rPr>
        <w:t>MC</w:t>
      </w:r>
      <w:r>
        <w:t xml:space="preserve"> = </w:t>
      </w:r>
      <m:oMath>
        <m:f>
          <m:fPr>
            <m:ctrlPr>
              <w:rPr>
                <w:rFonts w:ascii="Cambria Math" w:hAnsi="Cambria Math"/>
                <w:i/>
              </w:rPr>
            </m:ctrlPr>
          </m:fPr>
          <m:num>
            <m:r>
              <w:rPr>
                <w:rFonts w:ascii="Cambria Math" w:hAnsi="Cambria Math"/>
              </w:rPr>
              <m:t>1</m:t>
            </m:r>
          </m:num>
          <m:den>
            <m:r>
              <w:rPr>
                <w:rFonts w:ascii="Cambria Math" w:hAnsi="Cambria Math"/>
              </w:rPr>
              <m:t>α</m:t>
            </m:r>
          </m:den>
        </m:f>
      </m:oMath>
      <w:r>
        <w:rPr>
          <w:rFonts w:ascii="Cambria" w:hAnsi="Cambria"/>
          <w:i/>
        </w:rPr>
        <w:t xml:space="preserve"> κ</w:t>
      </w:r>
      <w:r>
        <w:t xml:space="preserve"> </w:t>
      </w:r>
      <m:oMath>
        <m:sSup>
          <m:sSupPr>
            <m:ctrlPr>
              <w:rPr>
                <w:rFonts w:ascii="Cambria Math" w:hAnsi="Cambria Math"/>
                <w:i/>
              </w:rPr>
            </m:ctrlPr>
          </m:sSupPr>
          <m:e>
            <m:r>
              <m:rPr>
                <m:sty m:val="p"/>
              </m:rPr>
              <w:rPr>
                <w:rFonts w:ascii="Cambria Math" w:hAnsi="Cambria Math"/>
              </w:rPr>
              <m:t>(</m:t>
            </m:r>
            <m:r>
              <w:rPr>
                <w:rFonts w:ascii="Cambria Math" w:hAnsi="Cambria Math"/>
              </w:rPr>
              <m:t>PM)</m:t>
            </m:r>
          </m:e>
          <m:sup>
            <m:r>
              <w:rPr>
                <w:rFonts w:ascii="Cambria Math" w:hAnsi="Cambria Math"/>
              </w:rPr>
              <m:t>(1-α</m:t>
            </m:r>
            <m:r>
              <m:rPr>
                <m:sty m:val="p"/>
              </m:rPr>
              <w:rPr>
                <w:rFonts w:ascii="Cambria Math" w:hAnsi="Cambria Math"/>
              </w:rPr>
              <m:t>)/</m:t>
            </m:r>
            <m:r>
              <w:rPr>
                <w:rFonts w:ascii="Cambria Math" w:hAnsi="Cambria Math"/>
              </w:rPr>
              <m:t>α</m:t>
            </m:r>
          </m:sup>
        </m:sSup>
      </m:oMath>
    </w:p>
    <w:p w14:paraId="35867D37" w14:textId="77777777" w:rsidR="00D91477" w:rsidRDefault="00D91477" w:rsidP="00D91477">
      <w:pPr>
        <w:jc w:val="both"/>
      </w:pPr>
    </w:p>
    <w:p w14:paraId="037E7F7A" w14:textId="77777777" w:rsidR="00D91477" w:rsidRDefault="00D91477" w:rsidP="00D91477">
      <w:pPr>
        <w:ind w:left="1418" w:firstLine="22"/>
        <w:jc w:val="both"/>
      </w:pPr>
      <w:r>
        <w:t xml:space="preserve">Using this expression for marginal cost and the expression for average cost derived in (b), what are the returns to scale for this production technology? For what values of </w:t>
      </w:r>
      <m:oMath>
        <m:r>
          <w:rPr>
            <w:rFonts w:ascii="Cambria Math" w:hAnsi="Cambria Math"/>
          </w:rPr>
          <m:t>α</m:t>
        </m:r>
      </m:oMath>
      <w:r>
        <w:t xml:space="preserve"> will this firm operate under constant, increasing, and decreasing returns to scale?</w:t>
      </w:r>
    </w:p>
    <w:p w14:paraId="00073D28" w14:textId="77777777" w:rsidR="00044236" w:rsidRPr="00D91477" w:rsidRDefault="00044236" w:rsidP="00D91477">
      <w:pPr>
        <w:ind w:left="1418" w:firstLine="22"/>
        <w:jc w:val="both"/>
      </w:pPr>
    </w:p>
    <w:p w14:paraId="26ED0C4A" w14:textId="77777777" w:rsidR="00D91477" w:rsidRDefault="00D91477" w:rsidP="00D91477">
      <w:pPr>
        <w:pStyle w:val="ListParagraph"/>
        <w:numPr>
          <w:ilvl w:val="0"/>
          <w:numId w:val="2"/>
        </w:numPr>
        <w:jc w:val="both"/>
      </w:pPr>
      <w:r>
        <w:t>Over the years, there have been several studies of input substitutability in the public transit industry. Among the studies’ results, the elasticity of substitution between labour and fuel averaged around 0.43, while elasticity of substitution between capital and fuel has been estimated as 0.35.</w:t>
      </w:r>
    </w:p>
    <w:p w14:paraId="30C1E63F" w14:textId="77777777" w:rsidR="00044236" w:rsidRDefault="00044236" w:rsidP="00044236">
      <w:pPr>
        <w:jc w:val="both"/>
      </w:pPr>
    </w:p>
    <w:p w14:paraId="6EFD49B9" w14:textId="734FA614" w:rsidR="00D91477" w:rsidRDefault="00D91477" w:rsidP="00D91477">
      <w:pPr>
        <w:pStyle w:val="ListParagraph"/>
        <w:numPr>
          <w:ilvl w:val="1"/>
          <w:numId w:val="2"/>
        </w:numPr>
        <w:jc w:val="both"/>
      </w:pPr>
      <w:r>
        <w:t>Define the elasticity of substitution</w:t>
      </w:r>
      <w:r w:rsidR="00044236">
        <w:t xml:space="preserve"> between fuel and labour. Given</w:t>
      </w:r>
      <w:r>
        <w:t xml:space="preserve"> the </w:t>
      </w:r>
      <w:r w:rsidR="00425B38">
        <w:t>above information, what effect will a 10% increase in the relative price of labour have upon the fuel : labour ration?</w:t>
      </w:r>
    </w:p>
    <w:p w14:paraId="06022C0E" w14:textId="77777777" w:rsidR="00425B38" w:rsidRDefault="00425B38" w:rsidP="00D91477">
      <w:pPr>
        <w:pStyle w:val="ListParagraph"/>
        <w:numPr>
          <w:ilvl w:val="1"/>
          <w:numId w:val="2"/>
        </w:numPr>
        <w:jc w:val="both"/>
      </w:pPr>
      <w:r>
        <w:t>Are fuel and capital substitutes or complements in the production of public transit services?</w:t>
      </w:r>
    </w:p>
    <w:p w14:paraId="1C60D3A7" w14:textId="03875725" w:rsidR="00425B38" w:rsidRDefault="00425B38" w:rsidP="00D91477">
      <w:pPr>
        <w:pStyle w:val="ListParagraph"/>
        <w:numPr>
          <w:ilvl w:val="1"/>
          <w:numId w:val="2"/>
        </w:numPr>
        <w:jc w:val="both"/>
      </w:pPr>
      <w:r>
        <w:t xml:space="preserve">As manager of a local public transit district, you are concerned </w:t>
      </w:r>
      <w:r w:rsidR="00044236">
        <w:t>about</w:t>
      </w:r>
      <w:r>
        <w:t xml:space="preserve"> rising energy prices, which raise the cost of fuel to the district. In order to conserve fuel for those bus routes with the highest passenger loads, you schedule your services so that your bus fleet, on average, stays idle for a longer period of time. Is this response consistent with an elasticity of substitution between fuel and capital that lies in the 0.3 range?</w:t>
      </w:r>
    </w:p>
    <w:p w14:paraId="51A35256" w14:textId="77777777" w:rsidR="00044236" w:rsidRDefault="00044236" w:rsidP="00044236">
      <w:pPr>
        <w:jc w:val="both"/>
      </w:pPr>
    </w:p>
    <w:p w14:paraId="49A47AD8" w14:textId="77777777" w:rsidR="00425B38" w:rsidRDefault="00425B38" w:rsidP="00425B38">
      <w:pPr>
        <w:pStyle w:val="ListParagraph"/>
        <w:numPr>
          <w:ilvl w:val="0"/>
          <w:numId w:val="2"/>
        </w:numPr>
        <w:jc w:val="both"/>
      </w:pPr>
      <w:r>
        <w:t>Consider the following production function for a railroad, which is hypothesized to depend upon four inputs – capital (</w:t>
      </w:r>
      <w:r>
        <w:rPr>
          <w:i/>
        </w:rPr>
        <w:t>K</w:t>
      </w:r>
      <w:r>
        <w:t>), labour (</w:t>
      </w:r>
      <w:r>
        <w:rPr>
          <w:i/>
        </w:rPr>
        <w:t>L</w:t>
      </w:r>
      <w:r>
        <w:t>), fuel (</w:t>
      </w:r>
      <w:r>
        <w:rPr>
          <w:i/>
        </w:rPr>
        <w:t>F</w:t>
      </w:r>
      <w:r>
        <w:t>), and network size (</w:t>
      </w:r>
      <w:r>
        <w:rPr>
          <w:i/>
        </w:rPr>
        <w:t>N</w:t>
      </w:r>
      <w:r>
        <w:t>):</w:t>
      </w:r>
    </w:p>
    <w:p w14:paraId="46098DC1" w14:textId="77777777" w:rsidR="00425B38" w:rsidRDefault="00425B38" w:rsidP="00425B38">
      <w:pPr>
        <w:jc w:val="both"/>
      </w:pPr>
    </w:p>
    <w:p w14:paraId="7790046B" w14:textId="77777777" w:rsidR="00425B38" w:rsidRDefault="00425B38" w:rsidP="00DC1DF7">
      <w:pPr>
        <w:tabs>
          <w:tab w:val="left" w:pos="2816"/>
          <w:tab w:val="center" w:pos="4330"/>
        </w:tabs>
        <w:ind w:left="709"/>
        <w:jc w:val="center"/>
        <w:outlineLvl w:val="0"/>
      </w:pPr>
      <w:r>
        <w:t xml:space="preserve">Ton-miles = </w:t>
      </w:r>
      <w:r>
        <w:rPr>
          <w:i/>
        </w:rPr>
        <w:t xml:space="preserve">f </w:t>
      </w:r>
      <w:r>
        <w:t>(</w:t>
      </w:r>
      <w:r>
        <w:rPr>
          <w:i/>
        </w:rPr>
        <w:t>K,L,F,N;</w:t>
      </w:r>
      <w:r>
        <w:rPr>
          <w:rFonts w:ascii="Cambria" w:hAnsi="Cambria"/>
          <w:i/>
        </w:rPr>
        <w:t>γ</w:t>
      </w:r>
      <w:r>
        <w:t>)</w:t>
      </w:r>
    </w:p>
    <w:p w14:paraId="6B067EDF" w14:textId="77777777" w:rsidR="00425B38" w:rsidRDefault="00425B38" w:rsidP="00425B38">
      <w:pPr>
        <w:jc w:val="center"/>
      </w:pPr>
    </w:p>
    <w:p w14:paraId="733E108B" w14:textId="77777777" w:rsidR="00425B38" w:rsidRDefault="00425B38" w:rsidP="00425B38">
      <w:pPr>
        <w:ind w:left="709" w:firstLine="11"/>
        <w:jc w:val="both"/>
      </w:pPr>
      <w:r>
        <w:t>Based upon this production technology, distinguish between following returns to scale concepts:</w:t>
      </w:r>
    </w:p>
    <w:p w14:paraId="2F0D951D" w14:textId="77777777" w:rsidR="00425B38" w:rsidRDefault="00425B38" w:rsidP="00425B38">
      <w:pPr>
        <w:jc w:val="both"/>
      </w:pPr>
    </w:p>
    <w:p w14:paraId="371E53AD" w14:textId="77777777" w:rsidR="00425B38" w:rsidRDefault="00425B38" w:rsidP="00425B38">
      <w:pPr>
        <w:pStyle w:val="ListParagraph"/>
        <w:numPr>
          <w:ilvl w:val="0"/>
          <w:numId w:val="3"/>
        </w:numPr>
        <w:ind w:left="1134"/>
        <w:jc w:val="both"/>
      </w:pPr>
      <w:r>
        <w:t>economies of capital utilization</w:t>
      </w:r>
    </w:p>
    <w:p w14:paraId="217CDB08" w14:textId="77777777" w:rsidR="00425B38" w:rsidRDefault="00425B38" w:rsidP="00425B38">
      <w:pPr>
        <w:pStyle w:val="ListParagraph"/>
        <w:numPr>
          <w:ilvl w:val="0"/>
          <w:numId w:val="3"/>
        </w:numPr>
        <w:ind w:left="1134"/>
        <w:jc w:val="both"/>
      </w:pPr>
      <w:r>
        <w:t>economies of traffic density</w:t>
      </w:r>
    </w:p>
    <w:p w14:paraId="4DEB8AD0" w14:textId="77777777" w:rsidR="00425B38" w:rsidRDefault="00425B38" w:rsidP="00425B38">
      <w:pPr>
        <w:pStyle w:val="ListParagraph"/>
        <w:numPr>
          <w:ilvl w:val="0"/>
          <w:numId w:val="3"/>
        </w:numPr>
        <w:ind w:left="1134"/>
        <w:jc w:val="both"/>
      </w:pPr>
      <w:r>
        <w:t>economies of network size</w:t>
      </w:r>
    </w:p>
    <w:p w14:paraId="60391D49" w14:textId="77777777" w:rsidR="00425B38" w:rsidRDefault="00425B38" w:rsidP="00425B38">
      <w:pPr>
        <w:pStyle w:val="ListParagraph"/>
        <w:numPr>
          <w:ilvl w:val="0"/>
          <w:numId w:val="3"/>
        </w:numPr>
        <w:ind w:left="1134"/>
        <w:jc w:val="both"/>
      </w:pPr>
      <w:r>
        <w:t>generalized economies of scale</w:t>
      </w:r>
    </w:p>
    <w:p w14:paraId="0A255D8D" w14:textId="77777777" w:rsidR="00425B38" w:rsidRDefault="00425B38" w:rsidP="00425B38">
      <w:pPr>
        <w:jc w:val="both"/>
      </w:pPr>
    </w:p>
    <w:p w14:paraId="5682B081" w14:textId="77777777" w:rsidR="00425B38" w:rsidRDefault="00425B38" w:rsidP="00425B38">
      <w:pPr>
        <w:ind w:left="720"/>
        <w:jc w:val="both"/>
      </w:pPr>
      <w:r>
        <w:t>In your answer, be sure to identify which inputs are held fixed and which inputs are not held fixed. Also identify whether the economies of scale measure is a short- or long-run concept.</w:t>
      </w:r>
    </w:p>
    <w:p w14:paraId="3F3188A8" w14:textId="77777777" w:rsidR="003427D1" w:rsidRDefault="003427D1" w:rsidP="00425B38">
      <w:pPr>
        <w:ind w:left="720"/>
        <w:jc w:val="both"/>
      </w:pPr>
    </w:p>
    <w:p w14:paraId="6EBA2D3C" w14:textId="77777777" w:rsidR="00754352" w:rsidRDefault="00425B38" w:rsidP="00754352">
      <w:pPr>
        <w:pStyle w:val="ListParagraph"/>
        <w:numPr>
          <w:ilvl w:val="0"/>
          <w:numId w:val="2"/>
        </w:numPr>
        <w:jc w:val="both"/>
      </w:pPr>
      <w:r>
        <w:t>Callan and Thomas (1992) estimated a long-run translog cost function for the household goods sector of the motor carrier</w:t>
      </w:r>
      <w:r w:rsidR="00754352">
        <w:t xml:space="preserve"> industry. The dependent variable was total long-run costs and the independent variables included:</w:t>
      </w:r>
    </w:p>
    <w:p w14:paraId="776657F8" w14:textId="77777777" w:rsidR="00754352" w:rsidRDefault="00754352" w:rsidP="00754352">
      <w:pPr>
        <w:jc w:val="both"/>
      </w:pPr>
    </w:p>
    <w:p w14:paraId="2C49CAFE" w14:textId="77777777" w:rsidR="00754352" w:rsidRDefault="00754352" w:rsidP="00754352">
      <w:pPr>
        <w:pStyle w:val="ListParagraph"/>
        <w:numPr>
          <w:ilvl w:val="0"/>
          <w:numId w:val="5"/>
        </w:numPr>
        <w:ind w:left="1134"/>
        <w:jc w:val="both"/>
      </w:pPr>
      <w:r>
        <w:t>the quantity of ton-miles produced</w:t>
      </w:r>
    </w:p>
    <w:p w14:paraId="25FD3C87" w14:textId="77777777" w:rsidR="00754352" w:rsidRDefault="00754352" w:rsidP="00754352">
      <w:pPr>
        <w:pStyle w:val="ListParagraph"/>
        <w:numPr>
          <w:ilvl w:val="0"/>
          <w:numId w:val="5"/>
        </w:numPr>
        <w:ind w:left="1134"/>
        <w:jc w:val="both"/>
      </w:pPr>
      <w:r>
        <w:t>the average length of haul, in miles</w:t>
      </w:r>
    </w:p>
    <w:p w14:paraId="7F07E11A" w14:textId="77777777" w:rsidR="00754352" w:rsidRDefault="00754352" w:rsidP="00754352">
      <w:pPr>
        <w:pStyle w:val="ListParagraph"/>
        <w:numPr>
          <w:ilvl w:val="0"/>
          <w:numId w:val="5"/>
        </w:numPr>
        <w:ind w:left="1134"/>
        <w:jc w:val="both"/>
      </w:pPr>
      <w:r>
        <w:t>the average load, in tons</w:t>
      </w:r>
    </w:p>
    <w:p w14:paraId="6C53AF62" w14:textId="77777777" w:rsidR="00754352" w:rsidRDefault="00754352" w:rsidP="00754352">
      <w:pPr>
        <w:pStyle w:val="ListParagraph"/>
        <w:numPr>
          <w:ilvl w:val="0"/>
          <w:numId w:val="5"/>
        </w:numPr>
        <w:ind w:left="1134"/>
        <w:jc w:val="both"/>
      </w:pPr>
      <w:r>
        <w:t>the percentage of household goods shipped, defined as a percentage of the total operating revenues generated by the shipment of personal effects and household goods</w:t>
      </w:r>
    </w:p>
    <w:p w14:paraId="617C3610" w14:textId="77777777" w:rsidR="00754352" w:rsidRDefault="00754352" w:rsidP="00754352">
      <w:pPr>
        <w:pStyle w:val="ListParagraph"/>
        <w:numPr>
          <w:ilvl w:val="0"/>
          <w:numId w:val="5"/>
        </w:numPr>
        <w:ind w:left="1134"/>
        <w:jc w:val="both"/>
      </w:pPr>
      <w:r>
        <w:t>the input prices for labour, fuel, capital, and materials</w:t>
      </w:r>
    </w:p>
    <w:p w14:paraId="75330091" w14:textId="77777777" w:rsidR="00754352" w:rsidRDefault="00754352" w:rsidP="00754352">
      <w:pPr>
        <w:jc w:val="both"/>
      </w:pPr>
    </w:p>
    <w:p w14:paraId="40A9A513" w14:textId="77777777" w:rsidR="00754352" w:rsidRPr="00754352" w:rsidRDefault="00754352" w:rsidP="005D5ECB">
      <w:pPr>
        <w:spacing w:after="120"/>
        <w:ind w:left="720"/>
        <w:jc w:val="both"/>
        <w:outlineLvl w:val="0"/>
        <w:rPr>
          <w:sz w:val="20"/>
          <w:szCs w:val="20"/>
        </w:rPr>
      </w:pPr>
      <w:r>
        <w:rPr>
          <w:b/>
          <w:sz w:val="20"/>
          <w:szCs w:val="20"/>
        </w:rPr>
        <w:t xml:space="preserve">Table 5.13 </w:t>
      </w:r>
      <w:r>
        <w:rPr>
          <w:sz w:val="20"/>
          <w:szCs w:val="20"/>
        </w:rPr>
        <w:t>First-order coefficients at the sample mean*</w:t>
      </w:r>
    </w:p>
    <w:tbl>
      <w:tblPr>
        <w:tblStyle w:val="TableGrid"/>
        <w:tblW w:w="7716" w:type="dxa"/>
        <w:tblInd w:w="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gridCol w:w="2977"/>
      </w:tblGrid>
      <w:tr w:rsidR="00754352" w:rsidRPr="00B03E3F" w14:paraId="07317EFE" w14:textId="77777777" w:rsidTr="00C250E1">
        <w:trPr>
          <w:trHeight w:val="486"/>
        </w:trPr>
        <w:tc>
          <w:tcPr>
            <w:tcW w:w="4739" w:type="dxa"/>
            <w:tcBorders>
              <w:top w:val="single" w:sz="18" w:space="0" w:color="auto"/>
              <w:bottom w:val="single" w:sz="18" w:space="0" w:color="auto"/>
            </w:tcBorders>
            <w:vAlign w:val="center"/>
          </w:tcPr>
          <w:p w14:paraId="472EA10B" w14:textId="77777777" w:rsidR="00754352" w:rsidRPr="00B03E3F" w:rsidRDefault="00754352" w:rsidP="00754352">
            <w:pPr>
              <w:rPr>
                <w:sz w:val="20"/>
                <w:szCs w:val="20"/>
              </w:rPr>
            </w:pPr>
            <w:r w:rsidRPr="00B03E3F">
              <w:rPr>
                <w:sz w:val="20"/>
                <w:szCs w:val="20"/>
              </w:rPr>
              <w:t>Regre</w:t>
            </w:r>
            <w:r>
              <w:rPr>
                <w:sz w:val="20"/>
                <w:szCs w:val="20"/>
              </w:rPr>
              <w:t>s</w:t>
            </w:r>
            <w:r w:rsidRPr="00B03E3F">
              <w:rPr>
                <w:sz w:val="20"/>
                <w:szCs w:val="20"/>
              </w:rPr>
              <w:t>sor</w:t>
            </w:r>
          </w:p>
        </w:tc>
        <w:tc>
          <w:tcPr>
            <w:tcW w:w="2977" w:type="dxa"/>
            <w:tcBorders>
              <w:top w:val="single" w:sz="18" w:space="0" w:color="auto"/>
              <w:bottom w:val="single" w:sz="18" w:space="0" w:color="auto"/>
            </w:tcBorders>
            <w:vAlign w:val="center"/>
          </w:tcPr>
          <w:p w14:paraId="62E50659" w14:textId="77777777" w:rsidR="00754352" w:rsidRPr="00754352" w:rsidRDefault="00754352" w:rsidP="00754352">
            <w:pPr>
              <w:rPr>
                <w:sz w:val="20"/>
                <w:szCs w:val="20"/>
              </w:rPr>
            </w:pPr>
            <w:r>
              <w:rPr>
                <w:sz w:val="20"/>
                <w:szCs w:val="20"/>
              </w:rPr>
              <w:t>Coefficient Estimate (</w:t>
            </w:r>
            <w:r>
              <w:rPr>
                <w:i/>
                <w:sz w:val="20"/>
                <w:szCs w:val="20"/>
              </w:rPr>
              <w:t>t</w:t>
            </w:r>
            <w:r>
              <w:rPr>
                <w:sz w:val="20"/>
                <w:szCs w:val="20"/>
              </w:rPr>
              <w:t>-statistic)</w:t>
            </w:r>
          </w:p>
        </w:tc>
      </w:tr>
      <w:tr w:rsidR="00754352" w:rsidRPr="00B03E3F" w14:paraId="5E8BAB45" w14:textId="77777777" w:rsidTr="00C250E1">
        <w:tc>
          <w:tcPr>
            <w:tcW w:w="4739" w:type="dxa"/>
            <w:tcBorders>
              <w:top w:val="single" w:sz="18" w:space="0" w:color="auto"/>
            </w:tcBorders>
          </w:tcPr>
          <w:p w14:paraId="10E19704" w14:textId="77777777" w:rsidR="00754352" w:rsidRPr="00B03E3F" w:rsidRDefault="00754352" w:rsidP="00754352">
            <w:pPr>
              <w:rPr>
                <w:sz w:val="20"/>
                <w:szCs w:val="20"/>
              </w:rPr>
            </w:pPr>
            <w:r>
              <w:rPr>
                <w:sz w:val="20"/>
                <w:szCs w:val="20"/>
              </w:rPr>
              <w:t>Constant term</w:t>
            </w:r>
          </w:p>
        </w:tc>
        <w:tc>
          <w:tcPr>
            <w:tcW w:w="2977" w:type="dxa"/>
            <w:tcBorders>
              <w:top w:val="single" w:sz="18" w:space="0" w:color="auto"/>
            </w:tcBorders>
          </w:tcPr>
          <w:p w14:paraId="396B2588" w14:textId="77777777" w:rsidR="00754352" w:rsidRPr="00B03E3F" w:rsidRDefault="00754352" w:rsidP="00754352">
            <w:pPr>
              <w:rPr>
                <w:sz w:val="20"/>
                <w:szCs w:val="20"/>
              </w:rPr>
            </w:pPr>
            <w:r w:rsidRPr="00B03E3F">
              <w:rPr>
                <w:sz w:val="20"/>
                <w:szCs w:val="20"/>
              </w:rPr>
              <w:t>15.78 (488</w:t>
            </w:r>
            <w:r>
              <w:rPr>
                <w:sz w:val="20"/>
                <w:szCs w:val="20"/>
              </w:rPr>
              <w:t>.</w:t>
            </w:r>
            <w:r w:rsidRPr="00B03E3F">
              <w:rPr>
                <w:sz w:val="20"/>
                <w:szCs w:val="20"/>
              </w:rPr>
              <w:t>5)</w:t>
            </w:r>
          </w:p>
        </w:tc>
      </w:tr>
      <w:tr w:rsidR="00754352" w:rsidRPr="00B03E3F" w14:paraId="0E85BE33" w14:textId="77777777" w:rsidTr="00C250E1">
        <w:tc>
          <w:tcPr>
            <w:tcW w:w="4739" w:type="dxa"/>
          </w:tcPr>
          <w:p w14:paraId="2F36603E" w14:textId="77777777" w:rsidR="00754352" w:rsidRPr="00B03E3F" w:rsidRDefault="00754352" w:rsidP="00754352">
            <w:pPr>
              <w:rPr>
                <w:sz w:val="20"/>
                <w:szCs w:val="20"/>
              </w:rPr>
            </w:pPr>
            <w:r>
              <w:rPr>
                <w:sz w:val="20"/>
                <w:szCs w:val="20"/>
              </w:rPr>
              <w:t>Output</w:t>
            </w:r>
          </w:p>
        </w:tc>
        <w:tc>
          <w:tcPr>
            <w:tcW w:w="2977" w:type="dxa"/>
          </w:tcPr>
          <w:p w14:paraId="5416ECC2" w14:textId="77777777" w:rsidR="00754352" w:rsidRPr="00B03E3F" w:rsidRDefault="00754352" w:rsidP="00754352">
            <w:pPr>
              <w:rPr>
                <w:sz w:val="20"/>
                <w:szCs w:val="20"/>
              </w:rPr>
            </w:pPr>
            <w:r w:rsidRPr="00B03E3F">
              <w:rPr>
                <w:sz w:val="20"/>
                <w:szCs w:val="20"/>
              </w:rPr>
              <w:t>1</w:t>
            </w:r>
            <w:r>
              <w:rPr>
                <w:sz w:val="20"/>
                <w:szCs w:val="20"/>
              </w:rPr>
              <w:t>.</w:t>
            </w:r>
            <w:r w:rsidRPr="00B03E3F">
              <w:rPr>
                <w:sz w:val="20"/>
                <w:szCs w:val="20"/>
              </w:rPr>
              <w:t>004 (39</w:t>
            </w:r>
            <w:r>
              <w:rPr>
                <w:sz w:val="20"/>
                <w:szCs w:val="20"/>
              </w:rPr>
              <w:t>.</w:t>
            </w:r>
            <w:r w:rsidRPr="00B03E3F">
              <w:rPr>
                <w:sz w:val="20"/>
                <w:szCs w:val="20"/>
              </w:rPr>
              <w:t>1)</w:t>
            </w:r>
          </w:p>
        </w:tc>
      </w:tr>
      <w:tr w:rsidR="00754352" w:rsidRPr="00B03E3F" w14:paraId="54174864" w14:textId="77777777" w:rsidTr="00C250E1">
        <w:tc>
          <w:tcPr>
            <w:tcW w:w="4739" w:type="dxa"/>
          </w:tcPr>
          <w:p w14:paraId="3BDE5756" w14:textId="77777777" w:rsidR="00754352" w:rsidRPr="00B03E3F" w:rsidRDefault="00754352" w:rsidP="00754352">
            <w:pPr>
              <w:rPr>
                <w:sz w:val="20"/>
                <w:szCs w:val="20"/>
              </w:rPr>
            </w:pPr>
            <w:r>
              <w:rPr>
                <w:sz w:val="20"/>
                <w:szCs w:val="20"/>
              </w:rPr>
              <w:t>Price of Labour</w:t>
            </w:r>
          </w:p>
        </w:tc>
        <w:tc>
          <w:tcPr>
            <w:tcW w:w="2977" w:type="dxa"/>
          </w:tcPr>
          <w:p w14:paraId="5BC9498B" w14:textId="77777777" w:rsidR="00754352" w:rsidRPr="00B03E3F" w:rsidRDefault="00754352" w:rsidP="00754352">
            <w:pPr>
              <w:rPr>
                <w:sz w:val="20"/>
                <w:szCs w:val="20"/>
              </w:rPr>
            </w:pPr>
            <w:r w:rsidRPr="00B03E3F">
              <w:rPr>
                <w:sz w:val="20"/>
                <w:szCs w:val="20"/>
              </w:rPr>
              <w:t>0</w:t>
            </w:r>
            <w:r>
              <w:rPr>
                <w:sz w:val="20"/>
                <w:szCs w:val="20"/>
              </w:rPr>
              <w:t>.</w:t>
            </w:r>
            <w:r w:rsidRPr="00B03E3F">
              <w:rPr>
                <w:sz w:val="20"/>
                <w:szCs w:val="20"/>
              </w:rPr>
              <w:t>310 (45</w:t>
            </w:r>
            <w:r>
              <w:rPr>
                <w:sz w:val="20"/>
                <w:szCs w:val="20"/>
              </w:rPr>
              <w:t>.</w:t>
            </w:r>
            <w:r w:rsidRPr="00B03E3F">
              <w:rPr>
                <w:sz w:val="20"/>
                <w:szCs w:val="20"/>
              </w:rPr>
              <w:t>6)</w:t>
            </w:r>
          </w:p>
        </w:tc>
      </w:tr>
      <w:tr w:rsidR="00754352" w:rsidRPr="00B03E3F" w14:paraId="11627543" w14:textId="77777777" w:rsidTr="00C250E1">
        <w:tc>
          <w:tcPr>
            <w:tcW w:w="4739" w:type="dxa"/>
          </w:tcPr>
          <w:p w14:paraId="1C40F793" w14:textId="77777777" w:rsidR="00754352" w:rsidRPr="00B03E3F" w:rsidRDefault="00754352" w:rsidP="00754352">
            <w:pPr>
              <w:rPr>
                <w:sz w:val="20"/>
                <w:szCs w:val="20"/>
              </w:rPr>
            </w:pPr>
            <w:r>
              <w:rPr>
                <w:sz w:val="20"/>
                <w:szCs w:val="20"/>
              </w:rPr>
              <w:t>Price of Capital</w:t>
            </w:r>
          </w:p>
        </w:tc>
        <w:tc>
          <w:tcPr>
            <w:tcW w:w="2977" w:type="dxa"/>
          </w:tcPr>
          <w:p w14:paraId="036694AD" w14:textId="77777777" w:rsidR="00754352" w:rsidRPr="00B03E3F" w:rsidRDefault="00754352" w:rsidP="00754352">
            <w:pPr>
              <w:rPr>
                <w:sz w:val="20"/>
                <w:szCs w:val="20"/>
              </w:rPr>
            </w:pPr>
            <w:r w:rsidRPr="00B03E3F">
              <w:rPr>
                <w:sz w:val="20"/>
                <w:szCs w:val="20"/>
              </w:rPr>
              <w:t>0</w:t>
            </w:r>
            <w:r>
              <w:rPr>
                <w:sz w:val="20"/>
                <w:szCs w:val="20"/>
              </w:rPr>
              <w:t>.</w:t>
            </w:r>
            <w:r w:rsidRPr="00B03E3F">
              <w:rPr>
                <w:sz w:val="20"/>
                <w:szCs w:val="20"/>
              </w:rPr>
              <w:t>501 (54</w:t>
            </w:r>
            <w:r>
              <w:rPr>
                <w:sz w:val="20"/>
                <w:szCs w:val="20"/>
              </w:rPr>
              <w:t>.</w:t>
            </w:r>
            <w:r w:rsidRPr="00B03E3F">
              <w:rPr>
                <w:sz w:val="20"/>
                <w:szCs w:val="20"/>
              </w:rPr>
              <w:t>5)</w:t>
            </w:r>
          </w:p>
        </w:tc>
      </w:tr>
      <w:tr w:rsidR="00754352" w:rsidRPr="00B03E3F" w14:paraId="0941D70D" w14:textId="77777777" w:rsidTr="00C250E1">
        <w:tc>
          <w:tcPr>
            <w:tcW w:w="4739" w:type="dxa"/>
          </w:tcPr>
          <w:p w14:paraId="0939389A" w14:textId="77777777" w:rsidR="00754352" w:rsidRPr="00B03E3F" w:rsidRDefault="00754352" w:rsidP="00754352">
            <w:pPr>
              <w:rPr>
                <w:sz w:val="20"/>
                <w:szCs w:val="20"/>
              </w:rPr>
            </w:pPr>
            <w:r>
              <w:rPr>
                <w:sz w:val="20"/>
                <w:szCs w:val="20"/>
              </w:rPr>
              <w:t>Price of Fuel</w:t>
            </w:r>
          </w:p>
        </w:tc>
        <w:tc>
          <w:tcPr>
            <w:tcW w:w="2977" w:type="dxa"/>
          </w:tcPr>
          <w:p w14:paraId="733D1454" w14:textId="77777777" w:rsidR="00754352" w:rsidRPr="00B03E3F" w:rsidRDefault="00754352" w:rsidP="00754352">
            <w:pPr>
              <w:rPr>
                <w:sz w:val="20"/>
                <w:szCs w:val="20"/>
              </w:rPr>
            </w:pPr>
            <w:r w:rsidRPr="00B03E3F">
              <w:rPr>
                <w:sz w:val="20"/>
                <w:szCs w:val="20"/>
              </w:rPr>
              <w:t>0</w:t>
            </w:r>
            <w:r>
              <w:rPr>
                <w:sz w:val="20"/>
                <w:szCs w:val="20"/>
              </w:rPr>
              <w:t>.</w:t>
            </w:r>
            <w:r w:rsidRPr="00B03E3F">
              <w:rPr>
                <w:sz w:val="20"/>
                <w:szCs w:val="20"/>
              </w:rPr>
              <w:t>023 (19</w:t>
            </w:r>
            <w:r>
              <w:rPr>
                <w:sz w:val="20"/>
                <w:szCs w:val="20"/>
              </w:rPr>
              <w:t>.</w:t>
            </w:r>
            <w:r w:rsidRPr="00B03E3F">
              <w:rPr>
                <w:sz w:val="20"/>
                <w:szCs w:val="20"/>
              </w:rPr>
              <w:t>2)</w:t>
            </w:r>
          </w:p>
        </w:tc>
      </w:tr>
      <w:tr w:rsidR="00754352" w:rsidRPr="00B03E3F" w14:paraId="17EFBB0B" w14:textId="77777777" w:rsidTr="00C250E1">
        <w:tc>
          <w:tcPr>
            <w:tcW w:w="4739" w:type="dxa"/>
          </w:tcPr>
          <w:p w14:paraId="3DE3BD01" w14:textId="77777777" w:rsidR="00754352" w:rsidRPr="00B03E3F" w:rsidRDefault="00754352" w:rsidP="00754352">
            <w:pPr>
              <w:rPr>
                <w:sz w:val="20"/>
                <w:szCs w:val="20"/>
              </w:rPr>
            </w:pPr>
            <w:r>
              <w:rPr>
                <w:sz w:val="20"/>
                <w:szCs w:val="20"/>
              </w:rPr>
              <w:t>Average Load Per Vehicle</w:t>
            </w:r>
          </w:p>
        </w:tc>
        <w:tc>
          <w:tcPr>
            <w:tcW w:w="2977" w:type="dxa"/>
          </w:tcPr>
          <w:p w14:paraId="64D69A71" w14:textId="77777777" w:rsidR="00754352" w:rsidRPr="00B03E3F" w:rsidRDefault="00DE36C3" w:rsidP="00754352">
            <w:pPr>
              <w:rPr>
                <w:sz w:val="20"/>
                <w:szCs w:val="20"/>
              </w:rPr>
            </w:pPr>
            <w:r>
              <w:rPr>
                <w:sz w:val="20"/>
                <w:szCs w:val="20"/>
              </w:rPr>
              <w:t>–</w:t>
            </w:r>
            <w:r w:rsidR="00754352" w:rsidRPr="00B03E3F">
              <w:rPr>
                <w:sz w:val="20"/>
                <w:szCs w:val="20"/>
              </w:rPr>
              <w:t>0</w:t>
            </w:r>
            <w:r w:rsidR="00754352">
              <w:rPr>
                <w:sz w:val="20"/>
                <w:szCs w:val="20"/>
              </w:rPr>
              <w:t>.</w:t>
            </w:r>
            <w:r>
              <w:rPr>
                <w:sz w:val="20"/>
                <w:szCs w:val="20"/>
              </w:rPr>
              <w:t>228 (–</w:t>
            </w:r>
            <w:r w:rsidR="00754352" w:rsidRPr="00B03E3F">
              <w:rPr>
                <w:sz w:val="20"/>
                <w:szCs w:val="20"/>
              </w:rPr>
              <w:t>3</w:t>
            </w:r>
            <w:r w:rsidR="00754352">
              <w:rPr>
                <w:sz w:val="20"/>
                <w:szCs w:val="20"/>
              </w:rPr>
              <w:t>.</w:t>
            </w:r>
            <w:r w:rsidR="00754352" w:rsidRPr="00B03E3F">
              <w:rPr>
                <w:sz w:val="20"/>
                <w:szCs w:val="20"/>
              </w:rPr>
              <w:t>4)</w:t>
            </w:r>
          </w:p>
        </w:tc>
      </w:tr>
      <w:tr w:rsidR="00754352" w:rsidRPr="00B03E3F" w14:paraId="5862A275" w14:textId="77777777" w:rsidTr="00C250E1">
        <w:tc>
          <w:tcPr>
            <w:tcW w:w="4739" w:type="dxa"/>
          </w:tcPr>
          <w:p w14:paraId="62E74E3D" w14:textId="77777777" w:rsidR="00754352" w:rsidRPr="00B03E3F" w:rsidRDefault="00754352" w:rsidP="00754352">
            <w:pPr>
              <w:rPr>
                <w:sz w:val="20"/>
                <w:szCs w:val="20"/>
              </w:rPr>
            </w:pPr>
            <w:r>
              <w:rPr>
                <w:sz w:val="20"/>
                <w:szCs w:val="20"/>
              </w:rPr>
              <w:t>Average Length of Haul</w:t>
            </w:r>
          </w:p>
        </w:tc>
        <w:tc>
          <w:tcPr>
            <w:tcW w:w="2977" w:type="dxa"/>
          </w:tcPr>
          <w:p w14:paraId="5EB171AB" w14:textId="77777777" w:rsidR="00754352" w:rsidRPr="00B03E3F" w:rsidRDefault="00DE36C3" w:rsidP="00754352">
            <w:pPr>
              <w:rPr>
                <w:sz w:val="20"/>
                <w:szCs w:val="20"/>
              </w:rPr>
            </w:pPr>
            <w:r>
              <w:rPr>
                <w:sz w:val="20"/>
                <w:szCs w:val="20"/>
              </w:rPr>
              <w:t>–</w:t>
            </w:r>
            <w:r w:rsidR="00754352" w:rsidRPr="00B03E3F">
              <w:rPr>
                <w:sz w:val="20"/>
                <w:szCs w:val="20"/>
              </w:rPr>
              <w:t>0</w:t>
            </w:r>
            <w:r w:rsidR="00754352">
              <w:rPr>
                <w:sz w:val="20"/>
                <w:szCs w:val="20"/>
              </w:rPr>
              <w:t>.</w:t>
            </w:r>
            <w:r>
              <w:rPr>
                <w:sz w:val="20"/>
                <w:szCs w:val="20"/>
              </w:rPr>
              <w:t>264 (–</w:t>
            </w:r>
            <w:r w:rsidR="00754352" w:rsidRPr="00B03E3F">
              <w:rPr>
                <w:sz w:val="20"/>
                <w:szCs w:val="20"/>
              </w:rPr>
              <w:t>3</w:t>
            </w:r>
            <w:r w:rsidR="00754352">
              <w:rPr>
                <w:sz w:val="20"/>
                <w:szCs w:val="20"/>
              </w:rPr>
              <w:t>.</w:t>
            </w:r>
            <w:r w:rsidR="00754352" w:rsidRPr="00B03E3F">
              <w:rPr>
                <w:sz w:val="20"/>
                <w:szCs w:val="20"/>
              </w:rPr>
              <w:t>7)</w:t>
            </w:r>
          </w:p>
        </w:tc>
      </w:tr>
      <w:tr w:rsidR="00754352" w:rsidRPr="00B03E3F" w14:paraId="08B308D3" w14:textId="77777777" w:rsidTr="00C250E1">
        <w:trPr>
          <w:trHeight w:val="185"/>
        </w:trPr>
        <w:tc>
          <w:tcPr>
            <w:tcW w:w="4739" w:type="dxa"/>
          </w:tcPr>
          <w:p w14:paraId="5AFF4D93" w14:textId="77777777" w:rsidR="00754352" w:rsidRPr="00B03E3F" w:rsidRDefault="00754352" w:rsidP="00754352">
            <w:pPr>
              <w:rPr>
                <w:sz w:val="20"/>
                <w:szCs w:val="20"/>
              </w:rPr>
            </w:pPr>
            <w:r>
              <w:rPr>
                <w:sz w:val="20"/>
                <w:szCs w:val="20"/>
              </w:rPr>
              <w:t>Percentage of Household Goods Shipped</w:t>
            </w:r>
          </w:p>
        </w:tc>
        <w:tc>
          <w:tcPr>
            <w:tcW w:w="2977" w:type="dxa"/>
          </w:tcPr>
          <w:p w14:paraId="0F4FEFE6" w14:textId="77777777" w:rsidR="00754352" w:rsidRPr="00B03E3F" w:rsidRDefault="00DE36C3" w:rsidP="00754352">
            <w:pPr>
              <w:rPr>
                <w:sz w:val="20"/>
                <w:szCs w:val="20"/>
              </w:rPr>
            </w:pPr>
            <w:r>
              <w:rPr>
                <w:sz w:val="20"/>
                <w:szCs w:val="20"/>
              </w:rPr>
              <w:t>–</w:t>
            </w:r>
            <w:r w:rsidR="00754352" w:rsidRPr="00B03E3F">
              <w:rPr>
                <w:sz w:val="20"/>
                <w:szCs w:val="20"/>
              </w:rPr>
              <w:t>1</w:t>
            </w:r>
            <w:r w:rsidR="00754352">
              <w:rPr>
                <w:sz w:val="20"/>
                <w:szCs w:val="20"/>
              </w:rPr>
              <w:t>.</w:t>
            </w:r>
            <w:r>
              <w:rPr>
                <w:sz w:val="20"/>
                <w:szCs w:val="20"/>
              </w:rPr>
              <w:t>547 (–</w:t>
            </w:r>
            <w:r w:rsidR="00754352" w:rsidRPr="00B03E3F">
              <w:rPr>
                <w:sz w:val="20"/>
                <w:szCs w:val="20"/>
              </w:rPr>
              <w:t>7</w:t>
            </w:r>
            <w:r w:rsidR="00754352">
              <w:rPr>
                <w:sz w:val="20"/>
                <w:szCs w:val="20"/>
              </w:rPr>
              <w:t>.</w:t>
            </w:r>
            <w:r w:rsidR="00754352" w:rsidRPr="00B03E3F">
              <w:rPr>
                <w:sz w:val="20"/>
                <w:szCs w:val="20"/>
              </w:rPr>
              <w:t>0)</w:t>
            </w:r>
          </w:p>
        </w:tc>
      </w:tr>
      <w:tr w:rsidR="00754352" w:rsidRPr="00B03E3F" w14:paraId="73A78EF4" w14:textId="77777777" w:rsidTr="00C250E1">
        <w:trPr>
          <w:trHeight w:val="386"/>
        </w:trPr>
        <w:tc>
          <w:tcPr>
            <w:tcW w:w="4739" w:type="dxa"/>
            <w:vAlign w:val="bottom"/>
          </w:tcPr>
          <w:p w14:paraId="576637F4" w14:textId="77777777" w:rsidR="00754352" w:rsidRPr="00B03E3F" w:rsidRDefault="00754352" w:rsidP="00754352">
            <w:pPr>
              <w:rPr>
                <w:sz w:val="20"/>
                <w:szCs w:val="20"/>
              </w:rPr>
            </w:pPr>
            <w:r w:rsidRPr="00B03E3F">
              <w:rPr>
                <w:i/>
                <w:sz w:val="20"/>
                <w:szCs w:val="20"/>
              </w:rPr>
              <w:t>R</w:t>
            </w:r>
            <w:r w:rsidRPr="00B03E3F">
              <w:rPr>
                <w:sz w:val="20"/>
                <w:szCs w:val="20"/>
                <w:vertAlign w:val="superscript"/>
              </w:rPr>
              <w:t>2</w:t>
            </w:r>
            <w:r>
              <w:rPr>
                <w:sz w:val="20"/>
                <w:szCs w:val="20"/>
              </w:rPr>
              <w:t xml:space="preserve"> = 0.</w:t>
            </w:r>
            <w:r w:rsidRPr="00B03E3F">
              <w:rPr>
                <w:sz w:val="20"/>
                <w:szCs w:val="20"/>
              </w:rPr>
              <w:t>90</w:t>
            </w:r>
          </w:p>
        </w:tc>
        <w:tc>
          <w:tcPr>
            <w:tcW w:w="2977" w:type="dxa"/>
            <w:vAlign w:val="bottom"/>
          </w:tcPr>
          <w:p w14:paraId="077D796A" w14:textId="77777777" w:rsidR="00754352" w:rsidRPr="00B03E3F" w:rsidRDefault="00754352" w:rsidP="00754352">
            <w:pPr>
              <w:rPr>
                <w:sz w:val="20"/>
                <w:szCs w:val="20"/>
              </w:rPr>
            </w:pPr>
          </w:p>
        </w:tc>
      </w:tr>
      <w:tr w:rsidR="00754352" w:rsidRPr="00B03E3F" w14:paraId="098B4D38" w14:textId="77777777" w:rsidTr="00C250E1">
        <w:tc>
          <w:tcPr>
            <w:tcW w:w="4739" w:type="dxa"/>
            <w:tcBorders>
              <w:bottom w:val="single" w:sz="18" w:space="0" w:color="auto"/>
            </w:tcBorders>
          </w:tcPr>
          <w:p w14:paraId="7E24105C" w14:textId="77777777" w:rsidR="00754352" w:rsidRPr="00B03E3F" w:rsidRDefault="00754352" w:rsidP="00754352">
            <w:pPr>
              <w:rPr>
                <w:sz w:val="20"/>
                <w:szCs w:val="20"/>
              </w:rPr>
            </w:pPr>
            <w:r>
              <w:rPr>
                <w:sz w:val="20"/>
                <w:szCs w:val="20"/>
              </w:rPr>
              <w:t>Number of observations</w:t>
            </w:r>
            <w:r w:rsidRPr="00B03E3F">
              <w:rPr>
                <w:sz w:val="20"/>
                <w:szCs w:val="20"/>
              </w:rPr>
              <w:t xml:space="preserve"> = 356</w:t>
            </w:r>
          </w:p>
        </w:tc>
        <w:tc>
          <w:tcPr>
            <w:tcW w:w="2977" w:type="dxa"/>
            <w:tcBorders>
              <w:bottom w:val="single" w:sz="18" w:space="0" w:color="auto"/>
            </w:tcBorders>
          </w:tcPr>
          <w:p w14:paraId="4894A503" w14:textId="77777777" w:rsidR="00754352" w:rsidRPr="00B03E3F" w:rsidRDefault="00754352" w:rsidP="00754352">
            <w:pPr>
              <w:rPr>
                <w:sz w:val="20"/>
                <w:szCs w:val="20"/>
              </w:rPr>
            </w:pPr>
          </w:p>
        </w:tc>
      </w:tr>
    </w:tbl>
    <w:p w14:paraId="401E0AC0" w14:textId="77777777" w:rsidR="00754352" w:rsidRPr="00DC1DF7" w:rsidRDefault="00754352" w:rsidP="005D5ECB">
      <w:pPr>
        <w:spacing w:before="120"/>
        <w:jc w:val="both"/>
        <w:rPr>
          <w:sz w:val="20"/>
          <w:szCs w:val="20"/>
        </w:rPr>
      </w:pPr>
      <w:r w:rsidRPr="00DC1DF7">
        <w:rPr>
          <w:sz w:val="20"/>
          <w:szCs w:val="20"/>
        </w:rPr>
        <w:tab/>
        <w:t>* The estimated translog cost function has the following form:</w:t>
      </w:r>
    </w:p>
    <w:p w14:paraId="5B8F446F" w14:textId="77777777" w:rsidR="00754352" w:rsidRDefault="00754352" w:rsidP="00754352"/>
    <w:p w14:paraId="22414A9D" w14:textId="77777777" w:rsidR="00DC1DF7" w:rsidRDefault="00DC1DF7" w:rsidP="00DC1DF7">
      <w:pPr>
        <w:ind w:left="720" w:hanging="11"/>
        <w:jc w:val="center"/>
        <w:rPr>
          <w:sz w:val="20"/>
          <w:szCs w:val="20"/>
        </w:rPr>
      </w:pPr>
      <w:r w:rsidRPr="00F00C5A">
        <w:rPr>
          <w:sz w:val="20"/>
          <w:szCs w:val="20"/>
        </w:rPr>
        <w:t xml:space="preserve">ln </w:t>
      </w:r>
      <w:r w:rsidRPr="00F00C5A">
        <w:rPr>
          <w:i/>
          <w:sz w:val="20"/>
          <w:szCs w:val="20"/>
        </w:rPr>
        <w:t>C</w:t>
      </w:r>
      <w:r w:rsidRPr="00F00C5A">
        <w:rPr>
          <w:sz w:val="20"/>
          <w:szCs w:val="20"/>
        </w:rPr>
        <w:t>(</w:t>
      </w:r>
      <w:r w:rsidRPr="00F00C5A">
        <w:rPr>
          <w:i/>
          <w:sz w:val="20"/>
          <w:szCs w:val="20"/>
        </w:rPr>
        <w:t>T</w:t>
      </w:r>
      <w:r w:rsidRPr="00F00C5A">
        <w:rPr>
          <w:sz w:val="20"/>
          <w:szCs w:val="20"/>
        </w:rPr>
        <w:t>;</w:t>
      </w:r>
      <w:r w:rsidRPr="00F00C5A">
        <w:rPr>
          <w:i/>
          <w:sz w:val="20"/>
          <w:szCs w:val="20"/>
        </w:rPr>
        <w:t xml:space="preserve"> p</w:t>
      </w:r>
      <w:r w:rsidRPr="00F00C5A">
        <w:rPr>
          <w:sz w:val="20"/>
          <w:szCs w:val="20"/>
        </w:rPr>
        <w:t>,</w:t>
      </w:r>
      <w:r w:rsidRPr="00F00C5A">
        <w:rPr>
          <w:i/>
          <w:sz w:val="20"/>
          <w:szCs w:val="20"/>
        </w:rPr>
        <w:t xml:space="preserve"> o</w:t>
      </w:r>
      <w:r w:rsidRPr="00F00C5A">
        <w:rPr>
          <w:sz w:val="20"/>
          <w:szCs w:val="20"/>
        </w:rPr>
        <w:t xml:space="preserve">) = </w:t>
      </w:r>
      <w:r w:rsidRPr="00F00C5A">
        <w:rPr>
          <w:rFonts w:ascii="Cambria" w:hAnsi="Cambria"/>
          <w:i/>
          <w:sz w:val="20"/>
          <w:szCs w:val="20"/>
        </w:rPr>
        <w:t>α</w:t>
      </w:r>
      <w:r w:rsidRPr="00F00C5A">
        <w:rPr>
          <w:sz w:val="20"/>
          <w:szCs w:val="20"/>
          <w:vertAlign w:val="subscript"/>
        </w:rPr>
        <w:t>0</w:t>
      </w:r>
      <w:r w:rsidRPr="00F00C5A">
        <w:rPr>
          <w:sz w:val="20"/>
          <w:szCs w:val="20"/>
        </w:rPr>
        <w:t xml:space="preserve"> + </w:t>
      </w:r>
      <w:r w:rsidRPr="00F00C5A">
        <w:rPr>
          <w:rFonts w:ascii="Cambria" w:hAnsi="Cambria"/>
          <w:i/>
          <w:sz w:val="20"/>
          <w:szCs w:val="20"/>
        </w:rPr>
        <w:t>α</w:t>
      </w:r>
      <w:r w:rsidRPr="00F00C5A">
        <w:rPr>
          <w:sz w:val="20"/>
          <w:szCs w:val="20"/>
          <w:vertAlign w:val="subscript"/>
        </w:rPr>
        <w:t>1</w:t>
      </w:r>
      <w:r w:rsidRPr="00F00C5A">
        <w:rPr>
          <w:sz w:val="20"/>
          <w:szCs w:val="20"/>
        </w:rPr>
        <w:t xml:space="preserve"> (ln </w:t>
      </w:r>
      <w:r w:rsidRPr="00F00C5A">
        <w:rPr>
          <w:i/>
          <w:sz w:val="20"/>
          <w:szCs w:val="20"/>
        </w:rPr>
        <w:t>T</w:t>
      </w:r>
      <w:r w:rsidRPr="00F00C5A">
        <w:rPr>
          <w:sz w:val="20"/>
          <w:szCs w:val="20"/>
        </w:rPr>
        <w:t xml:space="preserve"> – ln </w:t>
      </w:r>
      <m:oMath>
        <m:acc>
          <m:accPr>
            <m:chr m:val="̅"/>
            <m:ctrlPr>
              <w:rPr>
                <w:rFonts w:ascii="Cambria Math" w:hAnsi="Cambria Math"/>
                <w:i/>
                <w:sz w:val="20"/>
                <w:szCs w:val="20"/>
              </w:rPr>
            </m:ctrlPr>
          </m:accPr>
          <m:e>
            <m:r>
              <w:rPr>
                <w:rFonts w:ascii="Cambria Math" w:hAnsi="Cambria Math"/>
                <w:sz w:val="20"/>
                <w:szCs w:val="20"/>
              </w:rPr>
              <m:t>T</m:t>
            </m:r>
          </m:e>
        </m:acc>
      </m:oMath>
      <w:r w:rsidRPr="00F00C5A">
        <w:rPr>
          <w:sz w:val="20"/>
          <w:szCs w:val="20"/>
        </w:rPr>
        <w:t xml:space="preserve">) + </w:t>
      </w:r>
      <m:oMath>
        <m:nary>
          <m:naryPr>
            <m:chr m:val="∑"/>
            <m:limLoc m:val="undOvr"/>
            <m:ctrlPr>
              <w:rPr>
                <w:rFonts w:ascii="Cambria Math" w:hAnsi="Cambria Math"/>
                <w:i/>
                <w:sz w:val="20"/>
                <w:szCs w:val="20"/>
              </w:rPr>
            </m:ctrlPr>
          </m:naryPr>
          <m:sub>
            <m:r>
              <w:rPr>
                <w:rFonts w:ascii="Cambria Math" w:hAnsi="Cambria Math"/>
                <w:sz w:val="20"/>
                <w:szCs w:val="20"/>
              </w:rPr>
              <m:t>i</m:t>
            </m:r>
            <m:r>
              <m:rPr>
                <m:sty m:val="p"/>
              </m:rPr>
              <w:rPr>
                <w:rFonts w:ascii="Cambria Math" w:hAnsi="Cambria Math"/>
                <w:sz w:val="20"/>
                <w:szCs w:val="20"/>
              </w:rPr>
              <m:t>=2</m:t>
            </m:r>
          </m:sub>
          <m:sup>
            <m:r>
              <w:rPr>
                <w:rFonts w:ascii="Cambria Math" w:hAnsi="Cambria Math"/>
                <w:sz w:val="20"/>
                <w:szCs w:val="20"/>
              </w:rPr>
              <m:t>5</m:t>
            </m:r>
          </m:sup>
          <m:e>
            <m:r>
              <w:rPr>
                <w:rFonts w:ascii="Cambria Math" w:hAnsi="Cambria Math"/>
                <w:sz w:val="20"/>
                <w:szCs w:val="20"/>
              </w:rPr>
              <m:t xml:space="preserve"> </m:t>
            </m:r>
          </m:e>
        </m:nary>
      </m:oMath>
      <w:r w:rsidRPr="00F00C5A">
        <w:rPr>
          <w:rFonts w:ascii="Cambria" w:hAnsi="Cambria"/>
          <w:i/>
          <w:sz w:val="20"/>
          <w:szCs w:val="20"/>
        </w:rPr>
        <w:t>α</w:t>
      </w:r>
      <w:r w:rsidRPr="00F00C5A">
        <w:rPr>
          <w:i/>
          <w:sz w:val="20"/>
          <w:szCs w:val="20"/>
          <w:vertAlign w:val="subscript"/>
        </w:rPr>
        <w:t>i</w:t>
      </w:r>
      <w:r w:rsidRPr="00F00C5A">
        <w:rPr>
          <w:sz w:val="20"/>
          <w:szCs w:val="20"/>
        </w:rPr>
        <w:t xml:space="preserve"> (ln </w:t>
      </w:r>
      <w:r w:rsidRPr="00F00C5A">
        <w:rPr>
          <w:i/>
          <w:sz w:val="20"/>
          <w:szCs w:val="20"/>
        </w:rPr>
        <w:t>p</w:t>
      </w:r>
      <w:r w:rsidRPr="00F00C5A">
        <w:rPr>
          <w:i/>
          <w:sz w:val="20"/>
          <w:szCs w:val="20"/>
          <w:vertAlign w:val="subscript"/>
        </w:rPr>
        <w:t>i</w:t>
      </w:r>
      <w:r w:rsidRPr="00F00C5A">
        <w:rPr>
          <w:sz w:val="20"/>
          <w:szCs w:val="20"/>
        </w:rPr>
        <w:t xml:space="preserve"> – ln </w:t>
      </w:r>
      <m:oMath>
        <m:acc>
          <m:accPr>
            <m:chr m:val="̅"/>
            <m:ctrlPr>
              <w:rPr>
                <w:rFonts w:ascii="Cambria Math" w:hAnsi="Cambria Math"/>
                <w:i/>
                <w:sz w:val="20"/>
                <w:szCs w:val="20"/>
              </w:rPr>
            </m:ctrlPr>
          </m:accPr>
          <m:e>
            <m:r>
              <w:rPr>
                <w:rFonts w:ascii="Cambria Math" w:hAnsi="Cambria Math"/>
                <w:sz w:val="20"/>
                <w:szCs w:val="20"/>
              </w:rPr>
              <m:t>p</m:t>
            </m:r>
          </m:e>
        </m:acc>
      </m:oMath>
      <w:r w:rsidRPr="00F00C5A">
        <w:rPr>
          <w:i/>
          <w:sz w:val="20"/>
          <w:szCs w:val="20"/>
          <w:vertAlign w:val="subscript"/>
        </w:rPr>
        <w:t>i</w:t>
      </w:r>
      <w:r w:rsidRPr="00F00C5A">
        <w:rPr>
          <w:sz w:val="20"/>
          <w:szCs w:val="20"/>
        </w:rPr>
        <w:t xml:space="preserve">) + </w:t>
      </w:r>
      <m:oMath>
        <m:nary>
          <m:naryPr>
            <m:chr m:val="∑"/>
            <m:limLoc m:val="undOvr"/>
            <m:ctrlPr>
              <w:rPr>
                <w:rFonts w:ascii="Cambria Math" w:hAnsi="Cambria Math"/>
                <w:i/>
                <w:sz w:val="20"/>
                <w:szCs w:val="20"/>
              </w:rPr>
            </m:ctrlPr>
          </m:naryPr>
          <m:sub>
            <m:r>
              <w:rPr>
                <w:rFonts w:ascii="Cambria Math" w:hAnsi="Cambria Math"/>
                <w:sz w:val="20"/>
                <w:szCs w:val="20"/>
              </w:rPr>
              <m:t>i</m:t>
            </m:r>
            <m:r>
              <m:rPr>
                <m:sty m:val="p"/>
              </m:rPr>
              <w:rPr>
                <w:rFonts w:ascii="Cambria Math" w:hAnsi="Cambria Math"/>
                <w:sz w:val="20"/>
                <w:szCs w:val="20"/>
              </w:rPr>
              <m:t>=6</m:t>
            </m:r>
          </m:sub>
          <m:sup>
            <m:r>
              <w:rPr>
                <w:rFonts w:ascii="Cambria Math" w:hAnsi="Cambria Math"/>
                <w:sz w:val="20"/>
                <w:szCs w:val="20"/>
              </w:rPr>
              <m:t>8</m:t>
            </m:r>
          </m:sup>
          <m:e>
            <m:r>
              <w:rPr>
                <w:rFonts w:ascii="Cambria Math" w:hAnsi="Cambria Math"/>
                <w:sz w:val="20"/>
                <w:szCs w:val="20"/>
              </w:rPr>
              <m:t xml:space="preserve"> </m:t>
            </m:r>
          </m:e>
        </m:nary>
      </m:oMath>
      <w:r w:rsidRPr="00F00C5A">
        <w:rPr>
          <w:rFonts w:ascii="Cambria" w:hAnsi="Cambria"/>
          <w:i/>
          <w:sz w:val="20"/>
          <w:szCs w:val="20"/>
        </w:rPr>
        <w:t>α</w:t>
      </w:r>
      <w:r w:rsidRPr="00F00C5A">
        <w:rPr>
          <w:i/>
          <w:sz w:val="20"/>
          <w:szCs w:val="20"/>
          <w:vertAlign w:val="subscript"/>
        </w:rPr>
        <w:t>i</w:t>
      </w:r>
      <w:r w:rsidRPr="00F00C5A">
        <w:rPr>
          <w:sz w:val="20"/>
          <w:szCs w:val="20"/>
        </w:rPr>
        <w:t xml:space="preserve"> (ln </w:t>
      </w:r>
      <w:r w:rsidRPr="00F00C5A">
        <w:rPr>
          <w:i/>
          <w:sz w:val="20"/>
          <w:szCs w:val="20"/>
        </w:rPr>
        <w:t>o</w:t>
      </w:r>
      <w:r w:rsidRPr="00F00C5A">
        <w:rPr>
          <w:i/>
          <w:sz w:val="20"/>
          <w:szCs w:val="20"/>
          <w:vertAlign w:val="subscript"/>
        </w:rPr>
        <w:t>i</w:t>
      </w:r>
      <w:r w:rsidRPr="00F00C5A">
        <w:rPr>
          <w:sz w:val="20"/>
          <w:szCs w:val="20"/>
        </w:rPr>
        <w:t xml:space="preserve"> – ln </w:t>
      </w:r>
      <m:oMath>
        <m:acc>
          <m:accPr>
            <m:chr m:val="̅"/>
            <m:ctrlPr>
              <w:rPr>
                <w:rFonts w:ascii="Cambria Math" w:hAnsi="Cambria Math"/>
                <w:i/>
                <w:sz w:val="20"/>
                <w:szCs w:val="20"/>
              </w:rPr>
            </m:ctrlPr>
          </m:accPr>
          <m:e>
            <m:r>
              <w:rPr>
                <w:rFonts w:ascii="Cambria Math" w:hAnsi="Cambria Math"/>
                <w:sz w:val="20"/>
                <w:szCs w:val="20"/>
              </w:rPr>
              <m:t>o</m:t>
            </m:r>
          </m:e>
        </m:acc>
      </m:oMath>
      <w:r w:rsidRPr="00F00C5A">
        <w:rPr>
          <w:i/>
          <w:sz w:val="20"/>
          <w:szCs w:val="20"/>
          <w:vertAlign w:val="subscript"/>
        </w:rPr>
        <w:t>i</w:t>
      </w:r>
      <w:r w:rsidRPr="00F00C5A">
        <w:rPr>
          <w:sz w:val="20"/>
          <w:szCs w:val="20"/>
        </w:rPr>
        <w:t xml:space="preserve">) </w:t>
      </w:r>
      <w:r>
        <w:rPr>
          <w:sz w:val="20"/>
          <w:szCs w:val="20"/>
        </w:rPr>
        <w:t>+</w:t>
      </w:r>
    </w:p>
    <w:p w14:paraId="3DD83F47" w14:textId="77777777" w:rsidR="00DC1DF7" w:rsidRPr="00F00C5A" w:rsidRDefault="00DC1DF7" w:rsidP="00DC1DF7">
      <w:pPr>
        <w:ind w:left="720" w:hanging="11"/>
        <w:jc w:val="center"/>
        <w:rPr>
          <w:sz w:val="20"/>
          <w:szCs w:val="20"/>
        </w:rPr>
      </w:pPr>
      <w:r>
        <w:rPr>
          <w:sz w:val="20"/>
          <w:szCs w:val="20"/>
        </w:rPr>
        <w:t>+ “second-order and interaction terms”</w:t>
      </w:r>
      <w:r>
        <w:rPr>
          <w:vanish/>
          <w:sz w:val="20"/>
          <w:szCs w:val="20"/>
        </w:rPr>
        <w:t>““”“”““”</w:t>
      </w:r>
      <w:r w:rsidRPr="00F00C5A">
        <w:rPr>
          <w:sz w:val="20"/>
          <w:szCs w:val="20"/>
        </w:rPr>
        <w:t xml:space="preserve"> </w:t>
      </w:r>
      <w:r>
        <w:rPr>
          <w:vanish/>
          <w:sz w:val="20"/>
          <w:szCs w:val="20"/>
        </w:rPr>
        <w:t>“H</w:t>
      </w:r>
      <w:r w:rsidRPr="00F00C5A">
        <w:rPr>
          <w:sz w:val="20"/>
          <w:szCs w:val="20"/>
        </w:rPr>
        <w:t xml:space="preserve">+ </w:t>
      </w:r>
      <w:r w:rsidRPr="00F00C5A">
        <w:rPr>
          <w:rFonts w:ascii="Cambria" w:hAnsi="Cambria"/>
          <w:i/>
          <w:sz w:val="20"/>
          <w:szCs w:val="20"/>
        </w:rPr>
        <w:t>ε</w:t>
      </w:r>
    </w:p>
    <w:p w14:paraId="2C006342" w14:textId="77777777" w:rsidR="00DC1DF7" w:rsidRDefault="00DC1DF7" w:rsidP="00DC1DF7">
      <w:pPr>
        <w:ind w:left="720" w:hanging="11"/>
        <w:jc w:val="center"/>
        <w:rPr>
          <w:sz w:val="20"/>
          <w:szCs w:val="20"/>
        </w:rPr>
      </w:pPr>
    </w:p>
    <w:p w14:paraId="25EC9400" w14:textId="77777777" w:rsidR="00DC1DF7" w:rsidRPr="00DC1DF7" w:rsidRDefault="00DC1DF7" w:rsidP="00DC1DF7">
      <w:pPr>
        <w:ind w:left="720" w:hanging="11"/>
        <w:jc w:val="both"/>
        <w:rPr>
          <w:sz w:val="20"/>
          <w:szCs w:val="20"/>
        </w:rPr>
      </w:pPr>
      <w:r>
        <w:rPr>
          <w:i/>
          <w:sz w:val="20"/>
          <w:szCs w:val="20"/>
        </w:rPr>
        <w:t>Source</w:t>
      </w:r>
      <w:r>
        <w:rPr>
          <w:sz w:val="20"/>
          <w:szCs w:val="20"/>
        </w:rPr>
        <w:t xml:space="preserve">: Reprinted from Callan, S. and Thomas, J. 1992: Constant returns to scale in the post-deregulatory period: the case of specialized motor carriers. </w:t>
      </w:r>
      <w:r>
        <w:rPr>
          <w:i/>
          <w:sz w:val="20"/>
          <w:szCs w:val="20"/>
        </w:rPr>
        <w:t>Logistics and Transportation Review</w:t>
      </w:r>
      <w:r>
        <w:rPr>
          <w:sz w:val="20"/>
          <w:szCs w:val="20"/>
        </w:rPr>
        <w:t>, 25, 271–88, with permission from Elsevier Science</w:t>
      </w:r>
    </w:p>
    <w:p w14:paraId="7FF6803D" w14:textId="77777777" w:rsidR="00DC1DF7" w:rsidRPr="00C250E1" w:rsidRDefault="00DC1DF7" w:rsidP="00754352">
      <w:pPr>
        <w:rPr>
          <w:sz w:val="20"/>
          <w:szCs w:val="20"/>
        </w:rPr>
      </w:pPr>
    </w:p>
    <w:p w14:paraId="2EA2A5DD" w14:textId="77777777" w:rsidR="00754352" w:rsidRDefault="00DC1DF7" w:rsidP="00DC1DF7">
      <w:pPr>
        <w:pStyle w:val="ListParagraph"/>
        <w:numPr>
          <w:ilvl w:val="1"/>
          <w:numId w:val="2"/>
        </w:numPr>
        <w:jc w:val="both"/>
      </w:pPr>
      <w:r>
        <w:t>For each of the explanatory variables, discuss the effect that you expect this variable to have upon long-run total costs.</w:t>
      </w:r>
    </w:p>
    <w:p w14:paraId="30C1D2F2" w14:textId="54B19E88" w:rsidR="00DC1DF7" w:rsidRDefault="00DC1DF7" w:rsidP="00DC1DF7">
      <w:pPr>
        <w:pStyle w:val="ListParagraph"/>
        <w:numPr>
          <w:ilvl w:val="1"/>
          <w:numId w:val="2"/>
        </w:numPr>
        <w:jc w:val="both"/>
      </w:pPr>
      <w:r>
        <w:t>Data for the analysis was based upon Class I (revenues greater than $5 million) and Class II (revenues between $1 million and $5 million) interstate household goods carriers operating in 1984. Table 5.13 gives the “first-ord</w:t>
      </w:r>
      <w:r w:rsidR="00605698">
        <w:t>er” coefficients and associated</w:t>
      </w:r>
      <w:r w:rsidR="00605698">
        <w:br/>
      </w:r>
      <w:r>
        <w:rPr>
          <w:i/>
        </w:rPr>
        <w:t>t</w:t>
      </w:r>
      <w:r w:rsidR="00605698">
        <w:t>-statistics</w:t>
      </w:r>
      <w:r>
        <w:t xml:space="preserve"> for this model. Interpret the coefficient estimates. At the sample mean, are the results in the table consistent with the expected effects that you identified in (a)?</w:t>
      </w:r>
    </w:p>
    <w:p w14:paraId="16C66895" w14:textId="77777777" w:rsidR="006E3DFF" w:rsidRDefault="00DC1DF7" w:rsidP="006E3DFF">
      <w:pPr>
        <w:pStyle w:val="ListParagraph"/>
        <w:numPr>
          <w:ilvl w:val="1"/>
          <w:numId w:val="2"/>
        </w:numPr>
        <w:jc w:val="both"/>
      </w:pPr>
      <w:r>
        <w:t>Based upon</w:t>
      </w:r>
      <w:r w:rsidR="006E3DFF">
        <w:t xml:space="preserve"> the estimated value, at the sample mean, do household goods carriers operate under constant, increasing, or decreasing returns to scale? Test the null hypothesis that the coefficient is significantly different from one. What is the total operating cost of the average household goods carrier?</w:t>
      </w:r>
    </w:p>
    <w:p w14:paraId="54A6C75D" w14:textId="7A06AC0A" w:rsidR="006E3DFF" w:rsidRDefault="006E3DFF" w:rsidP="006E3DFF">
      <w:pPr>
        <w:pStyle w:val="ListParagraph"/>
        <w:numPr>
          <w:ilvl w:val="1"/>
          <w:numId w:val="2"/>
        </w:numPr>
        <w:jc w:val="both"/>
      </w:pPr>
      <w:r>
        <w:t>What impact on total cost would you expect if household goods carriers increased their percentage of nonhousehold carriage (for examp</w:t>
      </w:r>
      <w:r w:rsidR="00605698">
        <w:t>le, business shipments) by 15 %?</w:t>
      </w:r>
      <w:r>
        <w:t xml:space="preserve"> What effect is this likely to have upon the costs of the “typical” carrier? Suppose that the typical household goods firm desired to increase its market area by lengthening its average length of haul by 10 %. In doing so, however, it experiences a 5% increase in its labour costs. What will be the net effect on total costs of the typical firm?</w:t>
      </w:r>
    </w:p>
    <w:p w14:paraId="3D1BB5C7" w14:textId="77777777" w:rsidR="00605698" w:rsidRDefault="00605698" w:rsidP="00605698">
      <w:pPr>
        <w:jc w:val="both"/>
      </w:pPr>
    </w:p>
    <w:p w14:paraId="1D3B0D35" w14:textId="77777777" w:rsidR="006E3DFF" w:rsidRDefault="006E3DFF" w:rsidP="006E3DFF">
      <w:pPr>
        <w:pStyle w:val="ListParagraph"/>
        <w:numPr>
          <w:ilvl w:val="0"/>
          <w:numId w:val="2"/>
        </w:numPr>
        <w:jc w:val="both"/>
      </w:pPr>
      <w:r>
        <w:t>In 1968, Keeler (1971) identified the per seat-mile costs (shown in table 5.14) associated with four major intercity modes of travel: rail, air, automobile, and intercity bus.</w:t>
      </w:r>
    </w:p>
    <w:p w14:paraId="7D767C99" w14:textId="77777777" w:rsidR="006E3DFF" w:rsidRDefault="006E3DFF" w:rsidP="006E3DFF">
      <w:pPr>
        <w:jc w:val="both"/>
      </w:pPr>
    </w:p>
    <w:p w14:paraId="4596EB53" w14:textId="77777777" w:rsidR="006E3DFF" w:rsidRDefault="00C250E1" w:rsidP="005D5ECB">
      <w:pPr>
        <w:spacing w:after="120"/>
        <w:ind w:left="720"/>
        <w:jc w:val="both"/>
        <w:rPr>
          <w:sz w:val="20"/>
          <w:szCs w:val="20"/>
        </w:rPr>
      </w:pPr>
      <w:r>
        <w:rPr>
          <w:b/>
          <w:sz w:val="20"/>
          <w:szCs w:val="20"/>
        </w:rPr>
        <w:t xml:space="preserve">Table 5.14 </w:t>
      </w:r>
      <w:r>
        <w:rPr>
          <w:sz w:val="20"/>
          <w:szCs w:val="20"/>
        </w:rPr>
        <w:t>Intercity modal costs, 1968</w:t>
      </w:r>
    </w:p>
    <w:tbl>
      <w:tblPr>
        <w:tblStyle w:val="TableGrid"/>
        <w:tblW w:w="0" w:type="auto"/>
        <w:tblInd w:w="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3"/>
        <w:gridCol w:w="1843"/>
      </w:tblGrid>
      <w:tr w:rsidR="00C250E1" w:rsidRPr="00B03E3F" w14:paraId="51F4812C" w14:textId="77777777" w:rsidTr="00C250E1">
        <w:trPr>
          <w:trHeight w:val="486"/>
        </w:trPr>
        <w:tc>
          <w:tcPr>
            <w:tcW w:w="5873" w:type="dxa"/>
            <w:tcBorders>
              <w:top w:val="single" w:sz="18" w:space="0" w:color="auto"/>
              <w:bottom w:val="single" w:sz="18" w:space="0" w:color="auto"/>
            </w:tcBorders>
            <w:vAlign w:val="center"/>
          </w:tcPr>
          <w:p w14:paraId="49CE9ECD" w14:textId="77777777" w:rsidR="00C250E1" w:rsidRPr="00B03E3F" w:rsidRDefault="00C250E1" w:rsidP="00C250E1">
            <w:pPr>
              <w:rPr>
                <w:sz w:val="20"/>
                <w:szCs w:val="20"/>
              </w:rPr>
            </w:pPr>
            <w:r>
              <w:rPr>
                <w:sz w:val="20"/>
                <w:szCs w:val="20"/>
              </w:rPr>
              <w:t>Mode</w:t>
            </w:r>
          </w:p>
        </w:tc>
        <w:tc>
          <w:tcPr>
            <w:tcW w:w="1843" w:type="dxa"/>
            <w:tcBorders>
              <w:top w:val="single" w:sz="18" w:space="0" w:color="auto"/>
              <w:bottom w:val="single" w:sz="18" w:space="0" w:color="auto"/>
            </w:tcBorders>
            <w:vAlign w:val="center"/>
          </w:tcPr>
          <w:p w14:paraId="16AEFB89" w14:textId="77777777" w:rsidR="00C250E1" w:rsidRPr="00B03E3F" w:rsidRDefault="00C250E1" w:rsidP="00C250E1">
            <w:pPr>
              <w:rPr>
                <w:sz w:val="20"/>
                <w:szCs w:val="20"/>
              </w:rPr>
            </w:pPr>
            <w:r>
              <w:rPr>
                <w:sz w:val="20"/>
                <w:szCs w:val="20"/>
              </w:rPr>
              <w:t>Cost Per Seat</w:t>
            </w:r>
            <w:r w:rsidR="00DE36C3">
              <w:rPr>
                <w:sz w:val="20"/>
                <w:szCs w:val="20"/>
              </w:rPr>
              <w:t>-</w:t>
            </w:r>
            <w:r>
              <w:rPr>
                <w:sz w:val="20"/>
                <w:szCs w:val="20"/>
              </w:rPr>
              <w:t>Mile (cents)</w:t>
            </w:r>
          </w:p>
        </w:tc>
      </w:tr>
      <w:tr w:rsidR="00C250E1" w:rsidRPr="00B03E3F" w14:paraId="5A1964E0" w14:textId="77777777" w:rsidTr="00C250E1">
        <w:tc>
          <w:tcPr>
            <w:tcW w:w="5873" w:type="dxa"/>
            <w:tcBorders>
              <w:top w:val="single" w:sz="18" w:space="0" w:color="auto"/>
            </w:tcBorders>
          </w:tcPr>
          <w:p w14:paraId="2C0C5CFD" w14:textId="77777777" w:rsidR="00C250E1" w:rsidRPr="00B03E3F" w:rsidRDefault="00C250E1" w:rsidP="00C250E1">
            <w:pPr>
              <w:rPr>
                <w:sz w:val="20"/>
                <w:szCs w:val="20"/>
              </w:rPr>
            </w:pPr>
            <w:r>
              <w:rPr>
                <w:sz w:val="20"/>
                <w:szCs w:val="20"/>
              </w:rPr>
              <w:t>Intercity Bus (200-mile trip)</w:t>
            </w:r>
          </w:p>
        </w:tc>
        <w:tc>
          <w:tcPr>
            <w:tcW w:w="1843" w:type="dxa"/>
            <w:tcBorders>
              <w:top w:val="single" w:sz="18" w:space="0" w:color="auto"/>
            </w:tcBorders>
          </w:tcPr>
          <w:p w14:paraId="71580DE1" w14:textId="77777777" w:rsidR="00C250E1" w:rsidRPr="00B03E3F" w:rsidRDefault="00C250E1" w:rsidP="00C250E1">
            <w:pPr>
              <w:rPr>
                <w:sz w:val="20"/>
                <w:szCs w:val="20"/>
              </w:rPr>
            </w:pPr>
            <w:r>
              <w:rPr>
                <w:sz w:val="20"/>
                <w:szCs w:val="20"/>
              </w:rPr>
              <w:t>1.</w:t>
            </w:r>
            <w:r w:rsidRPr="00B03E3F">
              <w:rPr>
                <w:sz w:val="20"/>
                <w:szCs w:val="20"/>
              </w:rPr>
              <w:t>44</w:t>
            </w:r>
          </w:p>
        </w:tc>
      </w:tr>
      <w:tr w:rsidR="00C250E1" w:rsidRPr="00B03E3F" w14:paraId="251A1B72" w14:textId="77777777" w:rsidTr="00C250E1">
        <w:tc>
          <w:tcPr>
            <w:tcW w:w="5873" w:type="dxa"/>
          </w:tcPr>
          <w:p w14:paraId="1B3FD432" w14:textId="77777777" w:rsidR="00C250E1" w:rsidRPr="00B03E3F" w:rsidRDefault="00C250E1" w:rsidP="00C250E1">
            <w:pPr>
              <w:rPr>
                <w:sz w:val="20"/>
                <w:szCs w:val="20"/>
              </w:rPr>
            </w:pPr>
            <w:r>
              <w:rPr>
                <w:sz w:val="20"/>
                <w:szCs w:val="20"/>
              </w:rPr>
              <w:t>Air (Lockheed 1,011, 256-seat configuration, 250-mile trip)</w:t>
            </w:r>
          </w:p>
        </w:tc>
        <w:tc>
          <w:tcPr>
            <w:tcW w:w="1843" w:type="dxa"/>
          </w:tcPr>
          <w:p w14:paraId="7ABC4E70" w14:textId="77777777" w:rsidR="00C250E1" w:rsidRPr="00B03E3F" w:rsidRDefault="00C250E1" w:rsidP="00C250E1">
            <w:pPr>
              <w:rPr>
                <w:sz w:val="20"/>
                <w:szCs w:val="20"/>
              </w:rPr>
            </w:pPr>
            <w:r>
              <w:rPr>
                <w:sz w:val="20"/>
                <w:szCs w:val="20"/>
              </w:rPr>
              <w:t>3.</w:t>
            </w:r>
            <w:r w:rsidRPr="00B03E3F">
              <w:rPr>
                <w:sz w:val="20"/>
                <w:szCs w:val="20"/>
              </w:rPr>
              <w:t>00</w:t>
            </w:r>
          </w:p>
        </w:tc>
      </w:tr>
      <w:tr w:rsidR="00C250E1" w:rsidRPr="00B03E3F" w14:paraId="744DF69D" w14:textId="77777777" w:rsidTr="00C250E1">
        <w:tc>
          <w:tcPr>
            <w:tcW w:w="5873" w:type="dxa"/>
          </w:tcPr>
          <w:p w14:paraId="759BA885" w14:textId="77777777" w:rsidR="00C250E1" w:rsidRPr="00B03E3F" w:rsidRDefault="00C250E1" w:rsidP="00C250E1">
            <w:pPr>
              <w:rPr>
                <w:sz w:val="20"/>
                <w:szCs w:val="20"/>
              </w:rPr>
            </w:pPr>
            <w:r>
              <w:rPr>
                <w:sz w:val="20"/>
                <w:szCs w:val="20"/>
              </w:rPr>
              <w:t>Automobile (two occupants)</w:t>
            </w:r>
          </w:p>
        </w:tc>
        <w:tc>
          <w:tcPr>
            <w:tcW w:w="1843" w:type="dxa"/>
          </w:tcPr>
          <w:p w14:paraId="6F9CFAC9" w14:textId="77777777" w:rsidR="00C250E1" w:rsidRPr="00B03E3F" w:rsidRDefault="00C250E1" w:rsidP="00C250E1">
            <w:pPr>
              <w:rPr>
                <w:sz w:val="20"/>
                <w:szCs w:val="20"/>
              </w:rPr>
            </w:pPr>
            <w:r>
              <w:rPr>
                <w:sz w:val="20"/>
                <w:szCs w:val="20"/>
              </w:rPr>
              <w:t>4.</w:t>
            </w:r>
            <w:r w:rsidRPr="00B03E3F">
              <w:rPr>
                <w:sz w:val="20"/>
                <w:szCs w:val="20"/>
              </w:rPr>
              <w:t>5</w:t>
            </w:r>
          </w:p>
        </w:tc>
      </w:tr>
      <w:tr w:rsidR="00C250E1" w:rsidRPr="00B03E3F" w14:paraId="59E25226" w14:textId="77777777" w:rsidTr="00C250E1">
        <w:tc>
          <w:tcPr>
            <w:tcW w:w="5873" w:type="dxa"/>
            <w:tcBorders>
              <w:bottom w:val="single" w:sz="18" w:space="0" w:color="auto"/>
            </w:tcBorders>
          </w:tcPr>
          <w:p w14:paraId="6DFAE024" w14:textId="77777777" w:rsidR="00C250E1" w:rsidRPr="00B03E3F" w:rsidRDefault="00C250E1" w:rsidP="00C250E1">
            <w:pPr>
              <w:rPr>
                <w:sz w:val="20"/>
                <w:szCs w:val="20"/>
              </w:rPr>
            </w:pPr>
            <w:r>
              <w:rPr>
                <w:sz w:val="20"/>
                <w:szCs w:val="20"/>
              </w:rPr>
              <w:t>Rail (three-car train seating 240 passengers)</w:t>
            </w:r>
          </w:p>
        </w:tc>
        <w:tc>
          <w:tcPr>
            <w:tcW w:w="1843" w:type="dxa"/>
            <w:tcBorders>
              <w:bottom w:val="single" w:sz="18" w:space="0" w:color="auto"/>
            </w:tcBorders>
          </w:tcPr>
          <w:p w14:paraId="4C75AFB3" w14:textId="77777777" w:rsidR="00C250E1" w:rsidRPr="00B03E3F" w:rsidRDefault="00C250E1" w:rsidP="00C250E1">
            <w:pPr>
              <w:rPr>
                <w:sz w:val="20"/>
                <w:szCs w:val="20"/>
              </w:rPr>
            </w:pPr>
            <w:r>
              <w:rPr>
                <w:sz w:val="20"/>
                <w:szCs w:val="20"/>
              </w:rPr>
              <w:t>1.</w:t>
            </w:r>
            <w:r w:rsidRPr="00B03E3F">
              <w:rPr>
                <w:sz w:val="20"/>
                <w:szCs w:val="20"/>
              </w:rPr>
              <w:t>5</w:t>
            </w:r>
          </w:p>
        </w:tc>
      </w:tr>
    </w:tbl>
    <w:p w14:paraId="5A7659C3" w14:textId="77777777" w:rsidR="00C250E1" w:rsidRDefault="00C250E1" w:rsidP="005D5ECB">
      <w:pPr>
        <w:spacing w:before="120"/>
        <w:ind w:left="720"/>
        <w:jc w:val="both"/>
        <w:rPr>
          <w:rFonts w:ascii="Cambria" w:hAnsi="Cambria"/>
          <w:sz w:val="20"/>
          <w:szCs w:val="20"/>
        </w:rPr>
      </w:pPr>
      <w:r>
        <w:rPr>
          <w:i/>
          <w:sz w:val="20"/>
          <w:szCs w:val="20"/>
        </w:rPr>
        <w:t>Source</w:t>
      </w:r>
      <w:r>
        <w:rPr>
          <w:sz w:val="20"/>
          <w:szCs w:val="20"/>
        </w:rPr>
        <w:t xml:space="preserve">: Reprinted from Keeler (1971), table 7, p. 160, with the permission of The University of Chicago Press. Copyright </w:t>
      </w:r>
      <w:r w:rsidRPr="00F00C5A">
        <w:rPr>
          <w:rFonts w:ascii="Cambria" w:hAnsi="Cambria"/>
          <w:sz w:val="20"/>
          <w:szCs w:val="20"/>
        </w:rPr>
        <w:t>©</w:t>
      </w:r>
      <w:r>
        <w:rPr>
          <w:rFonts w:ascii="Cambria" w:hAnsi="Cambria"/>
          <w:sz w:val="20"/>
          <w:szCs w:val="20"/>
        </w:rPr>
        <w:t xml:space="preserve"> 1971 by The University </w:t>
      </w:r>
      <w:r w:rsidR="00566C35">
        <w:rPr>
          <w:rFonts w:ascii="Cambria" w:hAnsi="Cambria"/>
          <w:sz w:val="20"/>
          <w:szCs w:val="20"/>
        </w:rPr>
        <w:t>of Chicago. All rights reserved</w:t>
      </w:r>
    </w:p>
    <w:p w14:paraId="095E8581" w14:textId="77777777" w:rsidR="00C250E1" w:rsidRPr="00C250E1" w:rsidRDefault="00C250E1" w:rsidP="006E3DFF">
      <w:pPr>
        <w:ind w:left="720"/>
        <w:jc w:val="both"/>
        <w:rPr>
          <w:sz w:val="20"/>
          <w:szCs w:val="20"/>
        </w:rPr>
      </w:pPr>
    </w:p>
    <w:p w14:paraId="0A345C6A" w14:textId="77777777" w:rsidR="006E3DFF" w:rsidRDefault="00C250E1" w:rsidP="00C250E1">
      <w:pPr>
        <w:pStyle w:val="ListParagraph"/>
        <w:numPr>
          <w:ilvl w:val="1"/>
          <w:numId w:val="2"/>
        </w:numPr>
        <w:jc w:val="both"/>
      </w:pPr>
      <w:r>
        <w:t>What does this table tell us about the cost competitiveness of rail in comparison with the other three intercity modes?</w:t>
      </w:r>
    </w:p>
    <w:p w14:paraId="15CA0AFA" w14:textId="77777777" w:rsidR="00C250E1" w:rsidRDefault="00C250E1" w:rsidP="00C250E1">
      <w:pPr>
        <w:pStyle w:val="ListParagraph"/>
        <w:numPr>
          <w:ilvl w:val="1"/>
          <w:numId w:val="2"/>
        </w:numPr>
        <w:jc w:val="both"/>
      </w:pPr>
      <w:r>
        <w:t>Consider the following sets of statistics for 1990:</w:t>
      </w:r>
    </w:p>
    <w:p w14:paraId="0313E2B4" w14:textId="77777777" w:rsidR="0040435A" w:rsidRDefault="0040435A" w:rsidP="0040435A">
      <w:pPr>
        <w:pStyle w:val="ListParagraph"/>
        <w:ind w:firstLine="360"/>
        <w:jc w:val="both"/>
        <w:rPr>
          <w:sz w:val="20"/>
          <w:szCs w:val="20"/>
        </w:rPr>
      </w:pPr>
    </w:p>
    <w:p w14:paraId="2CECCA9D" w14:textId="77777777" w:rsidR="0040435A" w:rsidRPr="0040435A" w:rsidRDefault="0040435A" w:rsidP="005D5ECB">
      <w:pPr>
        <w:pStyle w:val="ListParagraph"/>
        <w:spacing w:after="120"/>
        <w:ind w:firstLine="720"/>
        <w:jc w:val="both"/>
        <w:rPr>
          <w:sz w:val="20"/>
          <w:szCs w:val="20"/>
        </w:rPr>
      </w:pPr>
      <w:r w:rsidRPr="0040435A">
        <w:rPr>
          <w:sz w:val="20"/>
          <w:szCs w:val="20"/>
        </w:rPr>
        <w:t>Intercity modal costs</w:t>
      </w:r>
    </w:p>
    <w:tbl>
      <w:tblPr>
        <w:tblStyle w:val="TableGrid"/>
        <w:tblW w:w="699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7"/>
        <w:gridCol w:w="1843"/>
        <w:gridCol w:w="2268"/>
      </w:tblGrid>
      <w:tr w:rsidR="0040435A" w:rsidRPr="00B03E3F" w14:paraId="364108D3" w14:textId="77777777" w:rsidTr="00605698">
        <w:trPr>
          <w:trHeight w:val="421"/>
        </w:trPr>
        <w:tc>
          <w:tcPr>
            <w:tcW w:w="2887" w:type="dxa"/>
            <w:tcBorders>
              <w:top w:val="single" w:sz="18" w:space="0" w:color="auto"/>
              <w:bottom w:val="single" w:sz="18" w:space="0" w:color="auto"/>
            </w:tcBorders>
            <w:vAlign w:val="center"/>
          </w:tcPr>
          <w:p w14:paraId="1325BDDC" w14:textId="77777777" w:rsidR="0040435A" w:rsidRPr="00B03E3F" w:rsidRDefault="0040435A" w:rsidP="0040435A">
            <w:pPr>
              <w:rPr>
                <w:sz w:val="20"/>
                <w:szCs w:val="20"/>
              </w:rPr>
            </w:pPr>
            <w:r>
              <w:rPr>
                <w:sz w:val="20"/>
                <w:szCs w:val="20"/>
              </w:rPr>
              <w:t>Mode</w:t>
            </w:r>
          </w:p>
        </w:tc>
        <w:tc>
          <w:tcPr>
            <w:tcW w:w="1843" w:type="dxa"/>
            <w:tcBorders>
              <w:top w:val="single" w:sz="18" w:space="0" w:color="auto"/>
              <w:bottom w:val="single" w:sz="18" w:space="0" w:color="auto"/>
            </w:tcBorders>
            <w:vAlign w:val="center"/>
          </w:tcPr>
          <w:p w14:paraId="29F15CB7" w14:textId="77777777" w:rsidR="0040435A" w:rsidRPr="00B03E3F" w:rsidRDefault="0040435A" w:rsidP="0040435A">
            <w:pPr>
              <w:rPr>
                <w:sz w:val="20"/>
                <w:szCs w:val="20"/>
              </w:rPr>
            </w:pPr>
            <w:r>
              <w:rPr>
                <w:sz w:val="20"/>
                <w:szCs w:val="20"/>
              </w:rPr>
              <w:t>Per-Mile Cost</w:t>
            </w:r>
          </w:p>
        </w:tc>
        <w:tc>
          <w:tcPr>
            <w:tcW w:w="2268" w:type="dxa"/>
            <w:tcBorders>
              <w:top w:val="single" w:sz="18" w:space="0" w:color="auto"/>
              <w:bottom w:val="single" w:sz="18" w:space="0" w:color="auto"/>
            </w:tcBorders>
            <w:vAlign w:val="center"/>
          </w:tcPr>
          <w:p w14:paraId="2B7EB05F" w14:textId="77777777" w:rsidR="0040435A" w:rsidRPr="00B03E3F" w:rsidRDefault="0040435A" w:rsidP="0040435A">
            <w:pPr>
              <w:rPr>
                <w:sz w:val="20"/>
                <w:szCs w:val="20"/>
              </w:rPr>
            </w:pPr>
            <w:r>
              <w:rPr>
                <w:sz w:val="20"/>
                <w:szCs w:val="20"/>
              </w:rPr>
              <w:t xml:space="preserve">Average Length </w:t>
            </w:r>
            <w:r w:rsidR="005D5ECB">
              <w:rPr>
                <w:sz w:val="20"/>
                <w:szCs w:val="20"/>
              </w:rPr>
              <w:t>of Trip</w:t>
            </w:r>
          </w:p>
        </w:tc>
      </w:tr>
      <w:tr w:rsidR="0040435A" w:rsidRPr="00B03E3F" w14:paraId="57FA3717" w14:textId="77777777" w:rsidTr="00605698">
        <w:trPr>
          <w:trHeight w:val="201"/>
        </w:trPr>
        <w:tc>
          <w:tcPr>
            <w:tcW w:w="2887" w:type="dxa"/>
            <w:tcBorders>
              <w:top w:val="single" w:sz="18" w:space="0" w:color="auto"/>
            </w:tcBorders>
          </w:tcPr>
          <w:p w14:paraId="77FC5819" w14:textId="77777777" w:rsidR="0040435A" w:rsidRPr="00B03E3F" w:rsidRDefault="005D5ECB" w:rsidP="0040435A">
            <w:pPr>
              <w:rPr>
                <w:sz w:val="20"/>
                <w:szCs w:val="20"/>
              </w:rPr>
            </w:pPr>
            <w:r>
              <w:rPr>
                <w:sz w:val="20"/>
                <w:szCs w:val="20"/>
              </w:rPr>
              <w:t>Certificated Air Carrier</w:t>
            </w:r>
          </w:p>
        </w:tc>
        <w:tc>
          <w:tcPr>
            <w:tcW w:w="1843" w:type="dxa"/>
            <w:tcBorders>
              <w:top w:val="single" w:sz="18" w:space="0" w:color="auto"/>
            </w:tcBorders>
          </w:tcPr>
          <w:p w14:paraId="26CCA1EF" w14:textId="77777777" w:rsidR="0040435A" w:rsidRPr="00B03E3F" w:rsidRDefault="005D5ECB" w:rsidP="0040435A">
            <w:pPr>
              <w:rPr>
                <w:sz w:val="20"/>
                <w:szCs w:val="20"/>
              </w:rPr>
            </w:pPr>
            <w:r>
              <w:rPr>
                <w:sz w:val="20"/>
                <w:szCs w:val="20"/>
              </w:rPr>
              <w:t>13.</w:t>
            </w:r>
            <w:r w:rsidR="0040435A">
              <w:rPr>
                <w:sz w:val="20"/>
                <w:szCs w:val="20"/>
              </w:rPr>
              <w:t>02</w:t>
            </w:r>
          </w:p>
        </w:tc>
        <w:tc>
          <w:tcPr>
            <w:tcW w:w="2268" w:type="dxa"/>
            <w:tcBorders>
              <w:top w:val="single" w:sz="18" w:space="0" w:color="auto"/>
            </w:tcBorders>
          </w:tcPr>
          <w:p w14:paraId="136D0234" w14:textId="77777777" w:rsidR="0040435A" w:rsidRPr="00B03E3F" w:rsidRDefault="0040435A" w:rsidP="0040435A">
            <w:pPr>
              <w:rPr>
                <w:sz w:val="20"/>
                <w:szCs w:val="20"/>
              </w:rPr>
            </w:pPr>
            <w:r>
              <w:rPr>
                <w:sz w:val="20"/>
                <w:szCs w:val="20"/>
              </w:rPr>
              <w:t>803</w:t>
            </w:r>
          </w:p>
        </w:tc>
      </w:tr>
      <w:tr w:rsidR="0040435A" w:rsidRPr="00B03E3F" w14:paraId="3A5BD82B" w14:textId="77777777" w:rsidTr="00605698">
        <w:trPr>
          <w:trHeight w:val="201"/>
        </w:trPr>
        <w:tc>
          <w:tcPr>
            <w:tcW w:w="2887" w:type="dxa"/>
          </w:tcPr>
          <w:p w14:paraId="35206205" w14:textId="77777777" w:rsidR="0040435A" w:rsidRPr="00B03E3F" w:rsidRDefault="005D5ECB" w:rsidP="0040435A">
            <w:pPr>
              <w:rPr>
                <w:sz w:val="20"/>
                <w:szCs w:val="20"/>
              </w:rPr>
            </w:pPr>
            <w:r>
              <w:rPr>
                <w:sz w:val="20"/>
                <w:szCs w:val="20"/>
              </w:rPr>
              <w:t>Rail</w:t>
            </w:r>
          </w:p>
        </w:tc>
        <w:tc>
          <w:tcPr>
            <w:tcW w:w="1843" w:type="dxa"/>
          </w:tcPr>
          <w:p w14:paraId="365D2C8A" w14:textId="77777777" w:rsidR="0040435A" w:rsidRPr="00B03E3F" w:rsidRDefault="0040435A" w:rsidP="0040435A">
            <w:pPr>
              <w:rPr>
                <w:sz w:val="20"/>
                <w:szCs w:val="20"/>
              </w:rPr>
            </w:pPr>
            <w:r>
              <w:rPr>
                <w:sz w:val="20"/>
                <w:szCs w:val="20"/>
              </w:rPr>
              <w:t>1</w:t>
            </w:r>
            <w:r w:rsidR="005D5ECB">
              <w:rPr>
                <w:sz w:val="20"/>
                <w:szCs w:val="20"/>
              </w:rPr>
              <w:t>2.</w:t>
            </w:r>
            <w:r>
              <w:rPr>
                <w:sz w:val="20"/>
                <w:szCs w:val="20"/>
              </w:rPr>
              <w:t>85</w:t>
            </w:r>
          </w:p>
        </w:tc>
        <w:tc>
          <w:tcPr>
            <w:tcW w:w="2268" w:type="dxa"/>
          </w:tcPr>
          <w:p w14:paraId="2F8271FE" w14:textId="77777777" w:rsidR="0040435A" w:rsidRPr="00B03E3F" w:rsidRDefault="0040435A" w:rsidP="0040435A">
            <w:pPr>
              <w:rPr>
                <w:sz w:val="20"/>
                <w:szCs w:val="20"/>
              </w:rPr>
            </w:pPr>
            <w:r>
              <w:rPr>
                <w:sz w:val="20"/>
                <w:szCs w:val="20"/>
              </w:rPr>
              <w:t>274</w:t>
            </w:r>
          </w:p>
        </w:tc>
      </w:tr>
      <w:tr w:rsidR="0040435A" w:rsidRPr="00B03E3F" w14:paraId="3E7A44FB" w14:textId="77777777" w:rsidTr="00605698">
        <w:trPr>
          <w:trHeight w:val="212"/>
        </w:trPr>
        <w:tc>
          <w:tcPr>
            <w:tcW w:w="2887" w:type="dxa"/>
          </w:tcPr>
          <w:p w14:paraId="7080BA9E" w14:textId="77777777" w:rsidR="0040435A" w:rsidRPr="00B03E3F" w:rsidRDefault="005D5ECB" w:rsidP="0040435A">
            <w:pPr>
              <w:rPr>
                <w:sz w:val="20"/>
                <w:szCs w:val="20"/>
              </w:rPr>
            </w:pPr>
            <w:r>
              <w:rPr>
                <w:sz w:val="20"/>
                <w:szCs w:val="20"/>
              </w:rPr>
              <w:t>Intercity Bus</w:t>
            </w:r>
          </w:p>
        </w:tc>
        <w:tc>
          <w:tcPr>
            <w:tcW w:w="1843" w:type="dxa"/>
          </w:tcPr>
          <w:p w14:paraId="158426CD" w14:textId="77777777" w:rsidR="0040435A" w:rsidRPr="00B03E3F" w:rsidRDefault="005D5ECB" w:rsidP="0040435A">
            <w:pPr>
              <w:rPr>
                <w:sz w:val="20"/>
                <w:szCs w:val="20"/>
              </w:rPr>
            </w:pPr>
            <w:r>
              <w:rPr>
                <w:sz w:val="20"/>
                <w:szCs w:val="20"/>
              </w:rPr>
              <w:t>11.</w:t>
            </w:r>
            <w:r w:rsidR="0040435A">
              <w:rPr>
                <w:sz w:val="20"/>
                <w:szCs w:val="20"/>
              </w:rPr>
              <w:t>55</w:t>
            </w:r>
          </w:p>
        </w:tc>
        <w:tc>
          <w:tcPr>
            <w:tcW w:w="2268" w:type="dxa"/>
          </w:tcPr>
          <w:p w14:paraId="09D1536D" w14:textId="77777777" w:rsidR="0040435A" w:rsidRPr="00B03E3F" w:rsidRDefault="0040435A" w:rsidP="0040435A">
            <w:pPr>
              <w:rPr>
                <w:sz w:val="20"/>
                <w:szCs w:val="20"/>
              </w:rPr>
            </w:pPr>
            <w:r>
              <w:rPr>
                <w:sz w:val="20"/>
                <w:szCs w:val="20"/>
              </w:rPr>
              <w:t>141</w:t>
            </w:r>
          </w:p>
        </w:tc>
      </w:tr>
      <w:tr w:rsidR="0040435A" w:rsidRPr="00B03E3F" w14:paraId="5897EB28" w14:textId="77777777" w:rsidTr="00605698">
        <w:trPr>
          <w:trHeight w:val="212"/>
        </w:trPr>
        <w:tc>
          <w:tcPr>
            <w:tcW w:w="2887" w:type="dxa"/>
            <w:tcBorders>
              <w:bottom w:val="single" w:sz="18" w:space="0" w:color="auto"/>
            </w:tcBorders>
          </w:tcPr>
          <w:p w14:paraId="73B5167D" w14:textId="77777777" w:rsidR="0040435A" w:rsidRPr="00B03E3F" w:rsidRDefault="005D5ECB" w:rsidP="0040435A">
            <w:pPr>
              <w:rPr>
                <w:sz w:val="20"/>
                <w:szCs w:val="20"/>
              </w:rPr>
            </w:pPr>
            <w:r>
              <w:rPr>
                <w:sz w:val="20"/>
                <w:szCs w:val="20"/>
              </w:rPr>
              <w:t>Automobile</w:t>
            </w:r>
          </w:p>
        </w:tc>
        <w:tc>
          <w:tcPr>
            <w:tcW w:w="1843" w:type="dxa"/>
            <w:tcBorders>
              <w:bottom w:val="single" w:sz="18" w:space="0" w:color="auto"/>
            </w:tcBorders>
          </w:tcPr>
          <w:p w14:paraId="052CBA4A" w14:textId="77777777" w:rsidR="0040435A" w:rsidRPr="00B03E3F" w:rsidRDefault="005D5ECB" w:rsidP="0040435A">
            <w:pPr>
              <w:rPr>
                <w:sz w:val="20"/>
                <w:szCs w:val="20"/>
              </w:rPr>
            </w:pPr>
            <w:r>
              <w:rPr>
                <w:sz w:val="20"/>
                <w:szCs w:val="20"/>
              </w:rPr>
              <w:t>13.</w:t>
            </w:r>
            <w:r w:rsidR="0040435A">
              <w:rPr>
                <w:sz w:val="20"/>
                <w:szCs w:val="20"/>
              </w:rPr>
              <w:t>33*</w:t>
            </w:r>
          </w:p>
        </w:tc>
        <w:tc>
          <w:tcPr>
            <w:tcW w:w="2268" w:type="dxa"/>
            <w:tcBorders>
              <w:bottom w:val="single" w:sz="18" w:space="0" w:color="auto"/>
            </w:tcBorders>
          </w:tcPr>
          <w:p w14:paraId="1FF36C8C" w14:textId="77777777" w:rsidR="0040435A" w:rsidRPr="00B03E3F" w:rsidRDefault="0040435A" w:rsidP="0040435A">
            <w:pPr>
              <w:rPr>
                <w:sz w:val="20"/>
                <w:szCs w:val="20"/>
              </w:rPr>
            </w:pPr>
            <w:r>
              <w:rPr>
                <w:sz w:val="20"/>
                <w:szCs w:val="20"/>
              </w:rPr>
              <w:t>115*</w:t>
            </w:r>
          </w:p>
        </w:tc>
      </w:tr>
    </w:tbl>
    <w:p w14:paraId="5725557E" w14:textId="77777777" w:rsidR="0040435A" w:rsidRPr="005D5ECB" w:rsidRDefault="005D5ECB" w:rsidP="005D5ECB">
      <w:pPr>
        <w:spacing w:before="120"/>
        <w:ind w:left="1440"/>
        <w:jc w:val="both"/>
        <w:rPr>
          <w:sz w:val="20"/>
          <w:szCs w:val="20"/>
        </w:rPr>
      </w:pPr>
      <w:r>
        <w:rPr>
          <w:sz w:val="20"/>
          <w:szCs w:val="20"/>
        </w:rPr>
        <w:t>* Per mile costs of operating vehicle occupant: assumes 1.62 occupants per vehicle in 1990. Average Length of Trip for automobile is based upon intercity vacation trips.</w:t>
      </w:r>
    </w:p>
    <w:p w14:paraId="4E4D9532" w14:textId="77777777" w:rsidR="0040435A" w:rsidRPr="005D5ECB" w:rsidRDefault="0040435A" w:rsidP="005D5ECB">
      <w:pPr>
        <w:jc w:val="both"/>
        <w:rPr>
          <w:sz w:val="20"/>
          <w:szCs w:val="20"/>
        </w:rPr>
      </w:pPr>
    </w:p>
    <w:p w14:paraId="11617183" w14:textId="3FF2F900" w:rsidR="005D5ECB" w:rsidRDefault="005D5ECB" w:rsidP="005D5ECB">
      <w:pPr>
        <w:ind w:left="720"/>
        <w:jc w:val="both"/>
      </w:pPr>
      <w:r>
        <w:t xml:space="preserve">Based upon this information, can you </w:t>
      </w:r>
      <w:r w:rsidR="00044236">
        <w:t>conclude</w:t>
      </w:r>
      <w:r>
        <w:t xml:space="preserve"> that rail trips are competitive with air trips? How about intercity bus and automobile trips? Use the concept of economies of distance to argue that rail trips </w:t>
      </w:r>
      <w:r>
        <w:rPr>
          <w:i/>
        </w:rPr>
        <w:t xml:space="preserve">will be more competitive </w:t>
      </w:r>
      <w:r>
        <w:t xml:space="preserve">with shorter-haul air trips, but </w:t>
      </w:r>
      <w:r>
        <w:rPr>
          <w:i/>
        </w:rPr>
        <w:t xml:space="preserve">will be less competitive </w:t>
      </w:r>
      <w:r>
        <w:t>with longer-haul intercity bus and auto trips.</w:t>
      </w:r>
    </w:p>
    <w:p w14:paraId="236404AD" w14:textId="77777777" w:rsidR="002E2776" w:rsidRPr="005D5ECB" w:rsidRDefault="002E2776" w:rsidP="005D5ECB">
      <w:pPr>
        <w:ind w:left="720"/>
        <w:jc w:val="both"/>
      </w:pPr>
    </w:p>
    <w:p w14:paraId="624C79F7" w14:textId="34832CF8" w:rsidR="0040435A" w:rsidRDefault="005D5ECB" w:rsidP="005D5ECB">
      <w:pPr>
        <w:pStyle w:val="ListParagraph"/>
        <w:numPr>
          <w:ilvl w:val="0"/>
          <w:numId w:val="2"/>
        </w:numPr>
        <w:jc w:val="both"/>
      </w:pPr>
      <w:r>
        <w:t xml:space="preserve">Barbera et al. (1987) used a translog cost function to </w:t>
      </w:r>
      <w:r w:rsidR="00044236">
        <w:t>analyse</w:t>
      </w:r>
      <w:r>
        <w:t xml:space="preserve"> the cost structure for all Class I railroads (revenues over $253.7 million annually, 1993 dollars) for the period 1979–83. The dependent variable was long-run total costs and the explanatory variables included:</w:t>
      </w:r>
    </w:p>
    <w:p w14:paraId="2AEFEE98" w14:textId="77777777" w:rsidR="005D5ECB" w:rsidRDefault="005D5ECB" w:rsidP="005D5ECB">
      <w:pPr>
        <w:jc w:val="both"/>
      </w:pPr>
    </w:p>
    <w:p w14:paraId="51A10C58" w14:textId="77777777" w:rsidR="005D5ECB" w:rsidRDefault="005D5ECB" w:rsidP="00DE36C3">
      <w:pPr>
        <w:pStyle w:val="ListParagraph"/>
        <w:numPr>
          <w:ilvl w:val="0"/>
          <w:numId w:val="8"/>
        </w:numPr>
        <w:ind w:left="1134"/>
        <w:jc w:val="both"/>
      </w:pPr>
      <w:r>
        <w:t>the level of output, measured as net freight ton-miles</w:t>
      </w:r>
    </w:p>
    <w:p w14:paraId="2A635E9E" w14:textId="77777777" w:rsidR="00DE36C3" w:rsidRDefault="00DE36C3" w:rsidP="00DE36C3">
      <w:pPr>
        <w:pStyle w:val="ListParagraph"/>
        <w:numPr>
          <w:ilvl w:val="0"/>
          <w:numId w:val="8"/>
        </w:numPr>
        <w:ind w:left="1134"/>
        <w:jc w:val="both"/>
      </w:pPr>
      <w:r>
        <w:t>the operating characteristic, measured as net freight tons</w:t>
      </w:r>
    </w:p>
    <w:p w14:paraId="41319449" w14:textId="77777777" w:rsidR="00DE36C3" w:rsidRDefault="00DE36C3" w:rsidP="00DE36C3">
      <w:pPr>
        <w:pStyle w:val="ListParagraph"/>
        <w:numPr>
          <w:ilvl w:val="0"/>
          <w:numId w:val="8"/>
        </w:numPr>
        <w:ind w:left="1134"/>
        <w:jc w:val="both"/>
      </w:pPr>
      <w:r>
        <w:t>the network size, measured as miles of track operated</w:t>
      </w:r>
    </w:p>
    <w:p w14:paraId="261299E6" w14:textId="77777777" w:rsidR="00DE36C3" w:rsidRDefault="00DE36C3" w:rsidP="00DE36C3">
      <w:pPr>
        <w:pStyle w:val="ListParagraph"/>
        <w:numPr>
          <w:ilvl w:val="0"/>
          <w:numId w:val="8"/>
        </w:numPr>
        <w:ind w:left="1134"/>
        <w:jc w:val="both"/>
      </w:pPr>
      <w:r>
        <w:t>the prices of inputs for labour, capital, fuel and material</w:t>
      </w:r>
    </w:p>
    <w:p w14:paraId="32A6DD2E" w14:textId="77777777" w:rsidR="00DE36C3" w:rsidRDefault="00DE36C3" w:rsidP="00DE36C3">
      <w:pPr>
        <w:jc w:val="both"/>
      </w:pPr>
    </w:p>
    <w:p w14:paraId="467FF245" w14:textId="4BB81485" w:rsidR="00DE36C3" w:rsidRDefault="00DE36C3" w:rsidP="00DE36C3">
      <w:pPr>
        <w:ind w:left="720"/>
        <w:jc w:val="both"/>
      </w:pPr>
      <w:r>
        <w:t>Table 5.15 below reports the first-or</w:t>
      </w:r>
      <w:r w:rsidR="001B05EF">
        <w:t>der coefficients and associated</w:t>
      </w:r>
      <w:r w:rsidR="001B05EF">
        <w:br/>
      </w:r>
      <w:r>
        <w:rPr>
          <w:i/>
        </w:rPr>
        <w:t>t</w:t>
      </w:r>
      <w:r>
        <w:t>-statistics for this model. In this paper, the authors interpret net freight tons, net freight ton-miles, and miles of track as firm size measures.</w:t>
      </w:r>
    </w:p>
    <w:p w14:paraId="357E22A0" w14:textId="77777777" w:rsidR="00DE36C3" w:rsidRDefault="00DE36C3" w:rsidP="00DE36C3">
      <w:pPr>
        <w:ind w:left="720"/>
        <w:jc w:val="both"/>
      </w:pPr>
    </w:p>
    <w:p w14:paraId="43031AA2" w14:textId="77777777" w:rsidR="00DE36C3" w:rsidRDefault="00DE36C3" w:rsidP="00566C35">
      <w:pPr>
        <w:spacing w:after="120"/>
        <w:ind w:left="720"/>
        <w:jc w:val="both"/>
        <w:rPr>
          <w:sz w:val="20"/>
          <w:szCs w:val="20"/>
        </w:rPr>
      </w:pPr>
      <w:r>
        <w:rPr>
          <w:b/>
          <w:sz w:val="20"/>
          <w:szCs w:val="20"/>
        </w:rPr>
        <w:t xml:space="preserve">Table 5.15 </w:t>
      </w:r>
      <w:r>
        <w:rPr>
          <w:sz w:val="20"/>
          <w:szCs w:val="20"/>
        </w:rPr>
        <w:t>First-order condition at the sample mean*</w:t>
      </w:r>
    </w:p>
    <w:tbl>
      <w:tblPr>
        <w:tblStyle w:val="TableGrid"/>
        <w:tblW w:w="0" w:type="auto"/>
        <w:tblInd w:w="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gridCol w:w="2977"/>
      </w:tblGrid>
      <w:tr w:rsidR="00DE36C3" w:rsidRPr="00B03E3F" w14:paraId="44D2451C" w14:textId="77777777" w:rsidTr="00EA11F0">
        <w:trPr>
          <w:trHeight w:val="486"/>
        </w:trPr>
        <w:tc>
          <w:tcPr>
            <w:tcW w:w="4739" w:type="dxa"/>
            <w:tcBorders>
              <w:top w:val="single" w:sz="18" w:space="0" w:color="auto"/>
              <w:bottom w:val="single" w:sz="18" w:space="0" w:color="auto"/>
            </w:tcBorders>
            <w:vAlign w:val="center"/>
          </w:tcPr>
          <w:p w14:paraId="69218FC4" w14:textId="77777777" w:rsidR="00DE36C3" w:rsidRPr="00B03E3F" w:rsidRDefault="00DE36C3" w:rsidP="00DE36C3">
            <w:pPr>
              <w:rPr>
                <w:sz w:val="20"/>
                <w:szCs w:val="20"/>
              </w:rPr>
            </w:pPr>
            <w:r w:rsidRPr="00B03E3F">
              <w:rPr>
                <w:sz w:val="20"/>
                <w:szCs w:val="20"/>
              </w:rPr>
              <w:t>Regres</w:t>
            </w:r>
            <w:r>
              <w:rPr>
                <w:sz w:val="20"/>
                <w:szCs w:val="20"/>
              </w:rPr>
              <w:t>s</w:t>
            </w:r>
            <w:r w:rsidRPr="00B03E3F">
              <w:rPr>
                <w:sz w:val="20"/>
                <w:szCs w:val="20"/>
              </w:rPr>
              <w:t>or</w:t>
            </w:r>
          </w:p>
        </w:tc>
        <w:tc>
          <w:tcPr>
            <w:tcW w:w="2977" w:type="dxa"/>
            <w:tcBorders>
              <w:top w:val="single" w:sz="18" w:space="0" w:color="auto"/>
              <w:bottom w:val="single" w:sz="18" w:space="0" w:color="auto"/>
            </w:tcBorders>
            <w:vAlign w:val="center"/>
          </w:tcPr>
          <w:p w14:paraId="47954704" w14:textId="77777777" w:rsidR="00DE36C3" w:rsidRPr="00DE36C3" w:rsidRDefault="00DE36C3" w:rsidP="00DE36C3">
            <w:pPr>
              <w:rPr>
                <w:sz w:val="20"/>
                <w:szCs w:val="20"/>
              </w:rPr>
            </w:pPr>
            <w:r>
              <w:rPr>
                <w:sz w:val="20"/>
                <w:szCs w:val="20"/>
              </w:rPr>
              <w:t>Coefficient Estimate (</w:t>
            </w:r>
            <w:r>
              <w:rPr>
                <w:i/>
                <w:sz w:val="20"/>
                <w:szCs w:val="20"/>
              </w:rPr>
              <w:t>t</w:t>
            </w:r>
            <w:r>
              <w:rPr>
                <w:sz w:val="20"/>
                <w:szCs w:val="20"/>
              </w:rPr>
              <w:t>-statistic)</w:t>
            </w:r>
          </w:p>
        </w:tc>
      </w:tr>
      <w:tr w:rsidR="00DE36C3" w:rsidRPr="00B03E3F" w14:paraId="76E48D84" w14:textId="77777777" w:rsidTr="00EA11F0">
        <w:tc>
          <w:tcPr>
            <w:tcW w:w="4739" w:type="dxa"/>
            <w:tcBorders>
              <w:top w:val="single" w:sz="18" w:space="0" w:color="auto"/>
            </w:tcBorders>
          </w:tcPr>
          <w:p w14:paraId="51B22926" w14:textId="77777777" w:rsidR="00DE36C3" w:rsidRPr="00B03E3F" w:rsidRDefault="00DE36C3" w:rsidP="00DE36C3">
            <w:pPr>
              <w:rPr>
                <w:sz w:val="20"/>
                <w:szCs w:val="20"/>
              </w:rPr>
            </w:pPr>
            <w:r>
              <w:rPr>
                <w:sz w:val="20"/>
                <w:szCs w:val="20"/>
              </w:rPr>
              <w:t>Constant term</w:t>
            </w:r>
          </w:p>
        </w:tc>
        <w:tc>
          <w:tcPr>
            <w:tcW w:w="2977" w:type="dxa"/>
            <w:tcBorders>
              <w:top w:val="single" w:sz="18" w:space="0" w:color="auto"/>
            </w:tcBorders>
          </w:tcPr>
          <w:p w14:paraId="3AE178D0" w14:textId="77777777" w:rsidR="00DE36C3" w:rsidRPr="00B03E3F" w:rsidRDefault="00DE36C3" w:rsidP="00DE36C3">
            <w:pPr>
              <w:rPr>
                <w:sz w:val="20"/>
                <w:szCs w:val="20"/>
              </w:rPr>
            </w:pPr>
            <w:r>
              <w:rPr>
                <w:sz w:val="20"/>
                <w:szCs w:val="20"/>
              </w:rPr>
              <w:t>–0.364 (–6.4)</w:t>
            </w:r>
          </w:p>
        </w:tc>
      </w:tr>
      <w:tr w:rsidR="00DE36C3" w:rsidRPr="00B03E3F" w14:paraId="18551B5F" w14:textId="77777777" w:rsidTr="00EA11F0">
        <w:tc>
          <w:tcPr>
            <w:tcW w:w="4739" w:type="dxa"/>
          </w:tcPr>
          <w:p w14:paraId="3915E582" w14:textId="77777777" w:rsidR="00DE36C3" w:rsidRPr="00B03E3F" w:rsidRDefault="00DE36C3" w:rsidP="00DE36C3">
            <w:pPr>
              <w:rPr>
                <w:sz w:val="20"/>
                <w:szCs w:val="20"/>
              </w:rPr>
            </w:pPr>
            <w:r>
              <w:rPr>
                <w:sz w:val="20"/>
                <w:szCs w:val="20"/>
              </w:rPr>
              <w:t>Net Freight Tons</w:t>
            </w:r>
          </w:p>
        </w:tc>
        <w:tc>
          <w:tcPr>
            <w:tcW w:w="2977" w:type="dxa"/>
          </w:tcPr>
          <w:p w14:paraId="18127D14" w14:textId="77777777" w:rsidR="00DE36C3" w:rsidRPr="00B03E3F" w:rsidRDefault="00DE36C3" w:rsidP="00DE36C3">
            <w:pPr>
              <w:rPr>
                <w:sz w:val="20"/>
                <w:szCs w:val="20"/>
              </w:rPr>
            </w:pPr>
            <w:r>
              <w:rPr>
                <w:sz w:val="20"/>
                <w:szCs w:val="20"/>
              </w:rPr>
              <w:t>0.224 (3.3)</w:t>
            </w:r>
          </w:p>
        </w:tc>
      </w:tr>
      <w:tr w:rsidR="00DE36C3" w:rsidRPr="00B03E3F" w14:paraId="029FA54D" w14:textId="77777777" w:rsidTr="00EA11F0">
        <w:tc>
          <w:tcPr>
            <w:tcW w:w="4739" w:type="dxa"/>
          </w:tcPr>
          <w:p w14:paraId="1407BA58" w14:textId="77777777" w:rsidR="00DE36C3" w:rsidRPr="00B03E3F" w:rsidRDefault="00DE36C3" w:rsidP="00DE36C3">
            <w:pPr>
              <w:rPr>
                <w:sz w:val="20"/>
                <w:szCs w:val="20"/>
              </w:rPr>
            </w:pPr>
            <w:r>
              <w:rPr>
                <w:sz w:val="20"/>
                <w:szCs w:val="20"/>
              </w:rPr>
              <w:t>Price of Fuel</w:t>
            </w:r>
          </w:p>
        </w:tc>
        <w:tc>
          <w:tcPr>
            <w:tcW w:w="2977" w:type="dxa"/>
          </w:tcPr>
          <w:p w14:paraId="0784899B" w14:textId="77777777" w:rsidR="00DE36C3" w:rsidRPr="00B03E3F" w:rsidRDefault="00DE36C3" w:rsidP="00DE36C3">
            <w:pPr>
              <w:rPr>
                <w:sz w:val="20"/>
                <w:szCs w:val="20"/>
              </w:rPr>
            </w:pPr>
            <w:r>
              <w:rPr>
                <w:sz w:val="20"/>
                <w:szCs w:val="20"/>
              </w:rPr>
              <w:t>0.072 (46.2)</w:t>
            </w:r>
          </w:p>
        </w:tc>
      </w:tr>
      <w:tr w:rsidR="00DE36C3" w:rsidRPr="00B03E3F" w14:paraId="1CFB7409" w14:textId="77777777" w:rsidTr="00EA11F0">
        <w:tc>
          <w:tcPr>
            <w:tcW w:w="4739" w:type="dxa"/>
          </w:tcPr>
          <w:p w14:paraId="419531F8" w14:textId="77777777" w:rsidR="00DE36C3" w:rsidRPr="00B03E3F" w:rsidRDefault="00DE36C3" w:rsidP="00DE36C3">
            <w:pPr>
              <w:rPr>
                <w:sz w:val="20"/>
                <w:szCs w:val="20"/>
              </w:rPr>
            </w:pPr>
            <w:r>
              <w:rPr>
                <w:sz w:val="20"/>
                <w:szCs w:val="20"/>
              </w:rPr>
              <w:t>Price of Materials</w:t>
            </w:r>
          </w:p>
        </w:tc>
        <w:tc>
          <w:tcPr>
            <w:tcW w:w="2977" w:type="dxa"/>
          </w:tcPr>
          <w:p w14:paraId="13AADD60" w14:textId="77777777" w:rsidR="00DE36C3" w:rsidRPr="00B03E3F" w:rsidRDefault="00DE36C3" w:rsidP="00DE36C3">
            <w:pPr>
              <w:rPr>
                <w:sz w:val="20"/>
                <w:szCs w:val="20"/>
              </w:rPr>
            </w:pPr>
            <w:r>
              <w:rPr>
                <w:sz w:val="20"/>
                <w:szCs w:val="20"/>
              </w:rPr>
              <w:t>0.431 (76.6)</w:t>
            </w:r>
          </w:p>
        </w:tc>
      </w:tr>
      <w:tr w:rsidR="00DE36C3" w:rsidRPr="00B03E3F" w14:paraId="2708E066" w14:textId="77777777" w:rsidTr="00EA11F0">
        <w:tc>
          <w:tcPr>
            <w:tcW w:w="4739" w:type="dxa"/>
          </w:tcPr>
          <w:p w14:paraId="759F2DAC" w14:textId="4EF6C91E" w:rsidR="00DE36C3" w:rsidRPr="00B03E3F" w:rsidRDefault="00DE36C3" w:rsidP="00DE36C3">
            <w:pPr>
              <w:rPr>
                <w:sz w:val="20"/>
                <w:szCs w:val="20"/>
              </w:rPr>
            </w:pPr>
            <w:r>
              <w:rPr>
                <w:sz w:val="20"/>
                <w:szCs w:val="20"/>
              </w:rPr>
              <w:t xml:space="preserve">Price of </w:t>
            </w:r>
            <w:r w:rsidR="00044236">
              <w:rPr>
                <w:sz w:val="20"/>
                <w:szCs w:val="20"/>
              </w:rPr>
              <w:t>Capital</w:t>
            </w:r>
          </w:p>
        </w:tc>
        <w:tc>
          <w:tcPr>
            <w:tcW w:w="2977" w:type="dxa"/>
          </w:tcPr>
          <w:p w14:paraId="76A8065C" w14:textId="77777777" w:rsidR="00DE36C3" w:rsidRPr="00B03E3F" w:rsidRDefault="00DE36C3" w:rsidP="00DE36C3">
            <w:pPr>
              <w:rPr>
                <w:sz w:val="20"/>
                <w:szCs w:val="20"/>
              </w:rPr>
            </w:pPr>
            <w:r>
              <w:rPr>
                <w:sz w:val="20"/>
                <w:szCs w:val="20"/>
              </w:rPr>
              <w:t>0.177 (23.4)</w:t>
            </w:r>
          </w:p>
        </w:tc>
      </w:tr>
      <w:tr w:rsidR="00DE36C3" w:rsidRPr="00B03E3F" w14:paraId="238C5CC3" w14:textId="77777777" w:rsidTr="00EA11F0">
        <w:tc>
          <w:tcPr>
            <w:tcW w:w="4739" w:type="dxa"/>
          </w:tcPr>
          <w:p w14:paraId="1A956EF7" w14:textId="77777777" w:rsidR="00DE36C3" w:rsidRPr="00B03E3F" w:rsidRDefault="00DE36C3" w:rsidP="00DE36C3">
            <w:pPr>
              <w:rPr>
                <w:sz w:val="20"/>
                <w:szCs w:val="20"/>
              </w:rPr>
            </w:pPr>
            <w:r>
              <w:rPr>
                <w:sz w:val="20"/>
                <w:szCs w:val="20"/>
              </w:rPr>
              <w:t>Price of Labour</w:t>
            </w:r>
          </w:p>
        </w:tc>
        <w:tc>
          <w:tcPr>
            <w:tcW w:w="2977" w:type="dxa"/>
          </w:tcPr>
          <w:p w14:paraId="71CEBF43" w14:textId="77777777" w:rsidR="00DE36C3" w:rsidRPr="00B03E3F" w:rsidRDefault="00DE36C3" w:rsidP="00DE36C3">
            <w:pPr>
              <w:rPr>
                <w:sz w:val="20"/>
                <w:szCs w:val="20"/>
              </w:rPr>
            </w:pPr>
            <w:r>
              <w:rPr>
                <w:sz w:val="20"/>
                <w:szCs w:val="20"/>
              </w:rPr>
              <w:t>0.320 (46.1)</w:t>
            </w:r>
          </w:p>
        </w:tc>
      </w:tr>
      <w:tr w:rsidR="00DE36C3" w:rsidRPr="00B03E3F" w14:paraId="169133CA" w14:textId="77777777" w:rsidTr="00EA11F0">
        <w:tc>
          <w:tcPr>
            <w:tcW w:w="4739" w:type="dxa"/>
          </w:tcPr>
          <w:p w14:paraId="5ACF5C36" w14:textId="77777777" w:rsidR="00DE36C3" w:rsidRPr="00B03E3F" w:rsidRDefault="00DE36C3" w:rsidP="00DE36C3">
            <w:pPr>
              <w:rPr>
                <w:sz w:val="20"/>
                <w:szCs w:val="20"/>
              </w:rPr>
            </w:pPr>
            <w:r>
              <w:rPr>
                <w:sz w:val="20"/>
                <w:szCs w:val="20"/>
              </w:rPr>
              <w:t>Net Freight Ton-Miles</w:t>
            </w:r>
          </w:p>
        </w:tc>
        <w:tc>
          <w:tcPr>
            <w:tcW w:w="2977" w:type="dxa"/>
          </w:tcPr>
          <w:p w14:paraId="6011665F" w14:textId="77777777" w:rsidR="00DE36C3" w:rsidRPr="00B03E3F" w:rsidRDefault="00DE36C3" w:rsidP="00DE36C3">
            <w:pPr>
              <w:rPr>
                <w:sz w:val="20"/>
                <w:szCs w:val="20"/>
              </w:rPr>
            </w:pPr>
            <w:r>
              <w:rPr>
                <w:sz w:val="20"/>
                <w:szCs w:val="20"/>
              </w:rPr>
              <w:t>0.416 (5.4)</w:t>
            </w:r>
          </w:p>
        </w:tc>
      </w:tr>
      <w:tr w:rsidR="00DE36C3" w:rsidRPr="00B03E3F" w14:paraId="00FFCB22" w14:textId="77777777" w:rsidTr="00EA11F0">
        <w:trPr>
          <w:trHeight w:val="455"/>
        </w:trPr>
        <w:tc>
          <w:tcPr>
            <w:tcW w:w="4739" w:type="dxa"/>
          </w:tcPr>
          <w:p w14:paraId="5B7C87BA" w14:textId="77777777" w:rsidR="00DE36C3" w:rsidRPr="00B03E3F" w:rsidRDefault="00DE36C3" w:rsidP="00DE36C3">
            <w:pPr>
              <w:rPr>
                <w:sz w:val="20"/>
                <w:szCs w:val="20"/>
              </w:rPr>
            </w:pPr>
            <w:r>
              <w:rPr>
                <w:sz w:val="20"/>
                <w:szCs w:val="20"/>
              </w:rPr>
              <w:t>Miles of Track</w:t>
            </w:r>
          </w:p>
        </w:tc>
        <w:tc>
          <w:tcPr>
            <w:tcW w:w="2977" w:type="dxa"/>
          </w:tcPr>
          <w:p w14:paraId="536FBF03" w14:textId="77777777" w:rsidR="00DE36C3" w:rsidRPr="00B03E3F" w:rsidRDefault="00DE36C3" w:rsidP="00DE36C3">
            <w:pPr>
              <w:rPr>
                <w:sz w:val="20"/>
                <w:szCs w:val="20"/>
              </w:rPr>
            </w:pPr>
            <w:r>
              <w:rPr>
                <w:sz w:val="20"/>
                <w:szCs w:val="20"/>
              </w:rPr>
              <w:t>0.390 (5.2)</w:t>
            </w:r>
          </w:p>
        </w:tc>
      </w:tr>
      <w:tr w:rsidR="00DE36C3" w:rsidRPr="00B03E3F" w14:paraId="72FD6064" w14:textId="77777777" w:rsidTr="00EA11F0">
        <w:tc>
          <w:tcPr>
            <w:tcW w:w="4739" w:type="dxa"/>
            <w:tcBorders>
              <w:bottom w:val="single" w:sz="18" w:space="0" w:color="auto"/>
            </w:tcBorders>
          </w:tcPr>
          <w:p w14:paraId="7020802F" w14:textId="77777777" w:rsidR="00DE36C3" w:rsidRPr="00B03E3F" w:rsidRDefault="00DE36C3" w:rsidP="00DE36C3">
            <w:pPr>
              <w:rPr>
                <w:sz w:val="20"/>
                <w:szCs w:val="20"/>
              </w:rPr>
            </w:pPr>
            <w:r w:rsidRPr="00B03E3F">
              <w:rPr>
                <w:i/>
                <w:sz w:val="20"/>
                <w:szCs w:val="20"/>
              </w:rPr>
              <w:t>R</w:t>
            </w:r>
            <w:r w:rsidRPr="00B03E3F">
              <w:rPr>
                <w:sz w:val="20"/>
                <w:szCs w:val="20"/>
                <w:vertAlign w:val="superscript"/>
              </w:rPr>
              <w:t>2</w:t>
            </w:r>
            <w:r w:rsidRPr="00B03E3F">
              <w:rPr>
                <w:sz w:val="20"/>
                <w:szCs w:val="20"/>
              </w:rPr>
              <w:t xml:space="preserve"> = 0,9</w:t>
            </w:r>
            <w:r>
              <w:rPr>
                <w:sz w:val="20"/>
                <w:szCs w:val="20"/>
              </w:rPr>
              <w:t>6</w:t>
            </w:r>
          </w:p>
        </w:tc>
        <w:tc>
          <w:tcPr>
            <w:tcW w:w="2977" w:type="dxa"/>
            <w:tcBorders>
              <w:bottom w:val="single" w:sz="18" w:space="0" w:color="auto"/>
            </w:tcBorders>
          </w:tcPr>
          <w:p w14:paraId="29E28B0E" w14:textId="77777777" w:rsidR="00DE36C3" w:rsidRPr="00B03E3F" w:rsidRDefault="00DE36C3" w:rsidP="00DE36C3">
            <w:pPr>
              <w:rPr>
                <w:sz w:val="20"/>
                <w:szCs w:val="20"/>
              </w:rPr>
            </w:pPr>
          </w:p>
        </w:tc>
      </w:tr>
    </w:tbl>
    <w:p w14:paraId="7D67C107" w14:textId="77777777" w:rsidR="00DE36C3" w:rsidRPr="00DE36C3" w:rsidRDefault="00DE36C3" w:rsidP="00566C35">
      <w:pPr>
        <w:spacing w:before="120"/>
        <w:ind w:left="720"/>
        <w:jc w:val="both"/>
        <w:rPr>
          <w:sz w:val="20"/>
          <w:szCs w:val="20"/>
        </w:rPr>
      </w:pPr>
      <w:r w:rsidRPr="00DE36C3">
        <w:rPr>
          <w:sz w:val="20"/>
          <w:szCs w:val="20"/>
        </w:rPr>
        <w:t>*</w:t>
      </w:r>
      <w:r>
        <w:rPr>
          <w:sz w:val="20"/>
          <w:szCs w:val="20"/>
        </w:rPr>
        <w:t xml:space="preserve"> </w:t>
      </w:r>
      <w:r w:rsidRPr="00DE36C3">
        <w:rPr>
          <w:sz w:val="20"/>
          <w:szCs w:val="20"/>
        </w:rPr>
        <w:t>The estimated translog cost function has the following form:</w:t>
      </w:r>
    </w:p>
    <w:p w14:paraId="10652E8B" w14:textId="77777777" w:rsidR="00DE36C3" w:rsidRPr="00DE36C3" w:rsidRDefault="00DE36C3" w:rsidP="00DE36C3">
      <w:pPr>
        <w:ind w:left="720"/>
        <w:rPr>
          <w:sz w:val="20"/>
          <w:szCs w:val="20"/>
        </w:rPr>
      </w:pPr>
    </w:p>
    <w:p w14:paraId="14B74DDC" w14:textId="77777777" w:rsidR="00DE36C3" w:rsidRDefault="00DE36C3" w:rsidP="00DE36C3">
      <w:pPr>
        <w:ind w:left="720"/>
        <w:jc w:val="center"/>
        <w:rPr>
          <w:sz w:val="20"/>
          <w:szCs w:val="20"/>
        </w:rPr>
      </w:pPr>
      <w:r w:rsidRPr="00F00C5A">
        <w:rPr>
          <w:sz w:val="20"/>
          <w:szCs w:val="20"/>
        </w:rPr>
        <w:t xml:space="preserve">ln </w:t>
      </w:r>
      <w:r w:rsidRPr="00F00C5A">
        <w:rPr>
          <w:i/>
          <w:sz w:val="20"/>
          <w:szCs w:val="20"/>
        </w:rPr>
        <w:t>C</w:t>
      </w:r>
      <w:r w:rsidRPr="00F00C5A">
        <w:rPr>
          <w:sz w:val="20"/>
          <w:szCs w:val="20"/>
        </w:rPr>
        <w:t xml:space="preserve"> (</w:t>
      </w:r>
      <w:r w:rsidRPr="00F00C5A">
        <w:rPr>
          <w:i/>
          <w:sz w:val="20"/>
          <w:szCs w:val="20"/>
        </w:rPr>
        <w:t>T</w:t>
      </w:r>
      <w:r w:rsidRPr="00F00C5A">
        <w:rPr>
          <w:sz w:val="20"/>
          <w:szCs w:val="20"/>
        </w:rPr>
        <w:t>;</w:t>
      </w:r>
      <w:r w:rsidRPr="00F00C5A">
        <w:rPr>
          <w:i/>
          <w:sz w:val="20"/>
          <w:szCs w:val="20"/>
        </w:rPr>
        <w:t xml:space="preserve"> p</w:t>
      </w:r>
      <w:r w:rsidRPr="00F00C5A">
        <w:rPr>
          <w:sz w:val="20"/>
          <w:szCs w:val="20"/>
        </w:rPr>
        <w:t>,</w:t>
      </w:r>
      <w:r w:rsidRPr="00F00C5A">
        <w:rPr>
          <w:i/>
          <w:sz w:val="20"/>
          <w:szCs w:val="20"/>
        </w:rPr>
        <w:t xml:space="preserve"> o</w:t>
      </w:r>
      <w:r w:rsidRPr="00F00C5A">
        <w:rPr>
          <w:sz w:val="20"/>
          <w:szCs w:val="20"/>
        </w:rPr>
        <w:t xml:space="preserve">) = </w:t>
      </w:r>
      <w:r w:rsidRPr="00F00C5A">
        <w:rPr>
          <w:rFonts w:ascii="Cambria" w:hAnsi="Cambria"/>
          <w:i/>
          <w:sz w:val="20"/>
          <w:szCs w:val="20"/>
        </w:rPr>
        <w:t>α</w:t>
      </w:r>
      <w:r w:rsidRPr="00F00C5A">
        <w:rPr>
          <w:sz w:val="20"/>
          <w:szCs w:val="20"/>
          <w:vertAlign w:val="subscript"/>
        </w:rPr>
        <w:t>0</w:t>
      </w:r>
      <w:r w:rsidRPr="00F00C5A">
        <w:rPr>
          <w:sz w:val="20"/>
          <w:szCs w:val="20"/>
        </w:rPr>
        <w:t xml:space="preserve"> + </w:t>
      </w:r>
      <w:r w:rsidRPr="00F00C5A">
        <w:rPr>
          <w:rFonts w:ascii="Cambria" w:hAnsi="Cambria"/>
          <w:i/>
          <w:sz w:val="20"/>
          <w:szCs w:val="20"/>
        </w:rPr>
        <w:t>α</w:t>
      </w:r>
      <w:r w:rsidRPr="00F00C5A">
        <w:rPr>
          <w:sz w:val="20"/>
          <w:szCs w:val="20"/>
          <w:vertAlign w:val="subscript"/>
        </w:rPr>
        <w:t>1</w:t>
      </w:r>
      <w:r w:rsidRPr="00F00C5A">
        <w:rPr>
          <w:sz w:val="20"/>
          <w:szCs w:val="20"/>
        </w:rPr>
        <w:t xml:space="preserve"> (ln </w:t>
      </w:r>
      <w:r w:rsidRPr="00F00C5A">
        <w:rPr>
          <w:i/>
          <w:sz w:val="20"/>
          <w:szCs w:val="20"/>
        </w:rPr>
        <w:t>T</w:t>
      </w:r>
      <w:r w:rsidRPr="00F00C5A">
        <w:rPr>
          <w:sz w:val="20"/>
          <w:szCs w:val="20"/>
        </w:rPr>
        <w:t xml:space="preserve"> – ln </w:t>
      </w:r>
      <m:oMath>
        <m:acc>
          <m:accPr>
            <m:chr m:val="̅"/>
            <m:ctrlPr>
              <w:rPr>
                <w:rFonts w:ascii="Cambria Math" w:hAnsi="Cambria Math"/>
                <w:i/>
                <w:sz w:val="20"/>
                <w:szCs w:val="20"/>
              </w:rPr>
            </m:ctrlPr>
          </m:accPr>
          <m:e>
            <m:r>
              <w:rPr>
                <w:rFonts w:ascii="Cambria Math" w:hAnsi="Cambria Math"/>
                <w:sz w:val="20"/>
                <w:szCs w:val="20"/>
              </w:rPr>
              <m:t>T</m:t>
            </m:r>
          </m:e>
        </m:acc>
      </m:oMath>
      <w:r w:rsidRPr="00F00C5A">
        <w:rPr>
          <w:sz w:val="20"/>
          <w:szCs w:val="20"/>
        </w:rPr>
        <w:t xml:space="preserve">) + </w:t>
      </w:r>
      <m:oMath>
        <m:nary>
          <m:naryPr>
            <m:chr m:val="∑"/>
            <m:limLoc m:val="undOvr"/>
            <m:ctrlPr>
              <w:rPr>
                <w:rFonts w:ascii="Cambria Math" w:hAnsi="Cambria Math"/>
                <w:i/>
                <w:sz w:val="20"/>
                <w:szCs w:val="20"/>
              </w:rPr>
            </m:ctrlPr>
          </m:naryPr>
          <m:sub>
            <m:r>
              <w:rPr>
                <w:rFonts w:ascii="Cambria Math" w:hAnsi="Cambria Math"/>
                <w:sz w:val="20"/>
                <w:szCs w:val="20"/>
              </w:rPr>
              <m:t>i</m:t>
            </m:r>
            <m:r>
              <m:rPr>
                <m:sty m:val="p"/>
              </m:rPr>
              <w:rPr>
                <w:rFonts w:ascii="Cambria Math" w:hAnsi="Cambria Math"/>
                <w:sz w:val="20"/>
                <w:szCs w:val="20"/>
              </w:rPr>
              <m:t>=2</m:t>
            </m:r>
          </m:sub>
          <m:sup>
            <m:r>
              <w:rPr>
                <w:rFonts w:ascii="Cambria Math" w:hAnsi="Cambria Math"/>
                <w:sz w:val="20"/>
                <w:szCs w:val="20"/>
              </w:rPr>
              <m:t>5</m:t>
            </m:r>
          </m:sup>
          <m:e>
            <m:r>
              <w:rPr>
                <w:rFonts w:ascii="Cambria Math" w:hAnsi="Cambria Math"/>
                <w:sz w:val="20"/>
                <w:szCs w:val="20"/>
              </w:rPr>
              <m:t xml:space="preserve"> </m:t>
            </m:r>
          </m:e>
        </m:nary>
      </m:oMath>
      <w:r w:rsidRPr="00F00C5A">
        <w:rPr>
          <w:rFonts w:ascii="Cambria" w:hAnsi="Cambria"/>
          <w:i/>
          <w:sz w:val="20"/>
          <w:szCs w:val="20"/>
        </w:rPr>
        <w:t>α</w:t>
      </w:r>
      <w:r w:rsidRPr="00F00C5A">
        <w:rPr>
          <w:i/>
          <w:sz w:val="20"/>
          <w:szCs w:val="20"/>
          <w:vertAlign w:val="subscript"/>
        </w:rPr>
        <w:t>i</w:t>
      </w:r>
      <w:r w:rsidRPr="00F00C5A">
        <w:rPr>
          <w:sz w:val="20"/>
          <w:szCs w:val="20"/>
        </w:rPr>
        <w:t xml:space="preserve"> (ln </w:t>
      </w:r>
      <w:r w:rsidRPr="00F00C5A">
        <w:rPr>
          <w:i/>
          <w:sz w:val="20"/>
          <w:szCs w:val="20"/>
        </w:rPr>
        <w:t>p</w:t>
      </w:r>
      <w:r w:rsidRPr="00F00C5A">
        <w:rPr>
          <w:i/>
          <w:sz w:val="20"/>
          <w:szCs w:val="20"/>
          <w:vertAlign w:val="subscript"/>
        </w:rPr>
        <w:t>i</w:t>
      </w:r>
      <w:r w:rsidRPr="00F00C5A">
        <w:rPr>
          <w:sz w:val="20"/>
          <w:szCs w:val="20"/>
        </w:rPr>
        <w:t xml:space="preserve"> – ln </w:t>
      </w:r>
      <m:oMath>
        <m:acc>
          <m:accPr>
            <m:chr m:val="̅"/>
            <m:ctrlPr>
              <w:rPr>
                <w:rFonts w:ascii="Cambria Math" w:hAnsi="Cambria Math"/>
                <w:i/>
                <w:sz w:val="20"/>
                <w:szCs w:val="20"/>
              </w:rPr>
            </m:ctrlPr>
          </m:accPr>
          <m:e>
            <m:r>
              <w:rPr>
                <w:rFonts w:ascii="Cambria Math" w:hAnsi="Cambria Math"/>
                <w:sz w:val="20"/>
                <w:szCs w:val="20"/>
              </w:rPr>
              <m:t>p</m:t>
            </m:r>
          </m:e>
        </m:acc>
      </m:oMath>
      <w:r w:rsidRPr="00F00C5A">
        <w:rPr>
          <w:i/>
          <w:sz w:val="20"/>
          <w:szCs w:val="20"/>
          <w:vertAlign w:val="subscript"/>
        </w:rPr>
        <w:t>i</w:t>
      </w:r>
      <w:r w:rsidRPr="00F00C5A">
        <w:rPr>
          <w:sz w:val="20"/>
          <w:szCs w:val="20"/>
        </w:rPr>
        <w:t xml:space="preserve">) + </w:t>
      </w:r>
      <m:oMath>
        <m:nary>
          <m:naryPr>
            <m:chr m:val="∑"/>
            <m:limLoc m:val="undOvr"/>
            <m:ctrlPr>
              <w:rPr>
                <w:rFonts w:ascii="Cambria Math" w:hAnsi="Cambria Math"/>
                <w:i/>
                <w:sz w:val="20"/>
                <w:szCs w:val="20"/>
              </w:rPr>
            </m:ctrlPr>
          </m:naryPr>
          <m:sub>
            <m:r>
              <w:rPr>
                <w:rFonts w:ascii="Cambria Math" w:hAnsi="Cambria Math"/>
                <w:sz w:val="20"/>
                <w:szCs w:val="20"/>
              </w:rPr>
              <m:t>i</m:t>
            </m:r>
            <m:r>
              <m:rPr>
                <m:sty m:val="p"/>
              </m:rPr>
              <w:rPr>
                <w:rFonts w:ascii="Cambria Math" w:hAnsi="Cambria Math"/>
                <w:sz w:val="20"/>
                <w:szCs w:val="20"/>
              </w:rPr>
              <m:t>=6</m:t>
            </m:r>
          </m:sub>
          <m:sup>
            <m:r>
              <w:rPr>
                <w:rFonts w:ascii="Cambria Math" w:hAnsi="Cambria Math"/>
                <w:sz w:val="20"/>
                <w:szCs w:val="20"/>
              </w:rPr>
              <m:t>7</m:t>
            </m:r>
          </m:sup>
          <m:e>
            <m:r>
              <w:rPr>
                <w:rFonts w:ascii="Cambria Math" w:hAnsi="Cambria Math"/>
                <w:sz w:val="20"/>
                <w:szCs w:val="20"/>
              </w:rPr>
              <m:t xml:space="preserve"> </m:t>
            </m:r>
          </m:e>
        </m:nary>
      </m:oMath>
      <w:r w:rsidRPr="00F00C5A">
        <w:rPr>
          <w:rFonts w:ascii="Cambria" w:hAnsi="Cambria"/>
          <w:i/>
          <w:sz w:val="20"/>
          <w:szCs w:val="20"/>
        </w:rPr>
        <w:t>α</w:t>
      </w:r>
      <w:r w:rsidRPr="00F00C5A">
        <w:rPr>
          <w:i/>
          <w:sz w:val="20"/>
          <w:szCs w:val="20"/>
          <w:vertAlign w:val="subscript"/>
        </w:rPr>
        <w:t>i</w:t>
      </w:r>
      <w:r w:rsidRPr="00F00C5A">
        <w:rPr>
          <w:sz w:val="20"/>
          <w:szCs w:val="20"/>
        </w:rPr>
        <w:t xml:space="preserve"> (ln </w:t>
      </w:r>
      <w:r w:rsidRPr="00F00C5A">
        <w:rPr>
          <w:i/>
          <w:sz w:val="20"/>
          <w:szCs w:val="20"/>
        </w:rPr>
        <w:t>o</w:t>
      </w:r>
      <w:r w:rsidRPr="00F00C5A">
        <w:rPr>
          <w:i/>
          <w:sz w:val="20"/>
          <w:szCs w:val="20"/>
          <w:vertAlign w:val="subscript"/>
        </w:rPr>
        <w:t>i</w:t>
      </w:r>
      <w:r w:rsidRPr="00F00C5A">
        <w:rPr>
          <w:sz w:val="20"/>
          <w:szCs w:val="20"/>
        </w:rPr>
        <w:t xml:space="preserve"> – ln </w:t>
      </w:r>
      <m:oMath>
        <m:acc>
          <m:accPr>
            <m:chr m:val="̅"/>
            <m:ctrlPr>
              <w:rPr>
                <w:rFonts w:ascii="Cambria Math" w:hAnsi="Cambria Math"/>
                <w:i/>
                <w:sz w:val="20"/>
                <w:szCs w:val="20"/>
              </w:rPr>
            </m:ctrlPr>
          </m:accPr>
          <m:e>
            <m:r>
              <w:rPr>
                <w:rFonts w:ascii="Cambria Math" w:hAnsi="Cambria Math"/>
                <w:sz w:val="20"/>
                <w:szCs w:val="20"/>
              </w:rPr>
              <m:t>o</m:t>
            </m:r>
          </m:e>
        </m:acc>
      </m:oMath>
      <w:r w:rsidRPr="00F00C5A">
        <w:rPr>
          <w:i/>
          <w:sz w:val="20"/>
          <w:szCs w:val="20"/>
          <w:vertAlign w:val="subscript"/>
        </w:rPr>
        <w:t>i</w:t>
      </w:r>
      <w:r w:rsidRPr="00F00C5A">
        <w:rPr>
          <w:sz w:val="20"/>
          <w:szCs w:val="20"/>
        </w:rPr>
        <w:t xml:space="preserve">) </w:t>
      </w:r>
      <w:r>
        <w:rPr>
          <w:sz w:val="20"/>
          <w:szCs w:val="20"/>
        </w:rPr>
        <w:t>+</w:t>
      </w:r>
    </w:p>
    <w:p w14:paraId="5732AFB6" w14:textId="35B372AF" w:rsidR="00DE36C3" w:rsidRPr="00F00C5A" w:rsidRDefault="00DE36C3" w:rsidP="00DE36C3">
      <w:pPr>
        <w:ind w:left="720" w:hanging="720"/>
        <w:jc w:val="center"/>
        <w:rPr>
          <w:sz w:val="20"/>
          <w:szCs w:val="20"/>
        </w:rPr>
      </w:pPr>
      <w:r>
        <w:rPr>
          <w:sz w:val="20"/>
          <w:szCs w:val="20"/>
        </w:rPr>
        <w:t xml:space="preserve">+ </w:t>
      </w:r>
      <w:r w:rsidR="00D31ECD">
        <w:rPr>
          <w:sz w:val="20"/>
          <w:szCs w:val="20"/>
        </w:rPr>
        <w:t>“</w:t>
      </w:r>
      <w:r>
        <w:rPr>
          <w:sz w:val="20"/>
          <w:szCs w:val="20"/>
        </w:rPr>
        <w:t>second-order and interaction terms</w:t>
      </w:r>
      <w:r w:rsidR="00D31ECD">
        <w:rPr>
          <w:sz w:val="20"/>
          <w:szCs w:val="20"/>
        </w:rPr>
        <w:t>”</w:t>
      </w:r>
      <w:r w:rsidRPr="00F00C5A">
        <w:rPr>
          <w:sz w:val="20"/>
          <w:szCs w:val="20"/>
        </w:rPr>
        <w:t xml:space="preserve"> + </w:t>
      </w:r>
      <w:r w:rsidRPr="00F00C5A">
        <w:rPr>
          <w:rFonts w:ascii="Cambria" w:hAnsi="Cambria"/>
          <w:i/>
          <w:sz w:val="20"/>
          <w:szCs w:val="20"/>
        </w:rPr>
        <w:t>ε</w:t>
      </w:r>
    </w:p>
    <w:p w14:paraId="4E8BBB33" w14:textId="77777777" w:rsidR="00DE36C3" w:rsidRDefault="00DE36C3" w:rsidP="00DE36C3">
      <w:pPr>
        <w:ind w:left="1440" w:hanging="720"/>
        <w:rPr>
          <w:sz w:val="20"/>
          <w:szCs w:val="20"/>
        </w:rPr>
      </w:pPr>
    </w:p>
    <w:p w14:paraId="61996473" w14:textId="77777777" w:rsidR="00DE36C3" w:rsidRDefault="002F442E" w:rsidP="00DE36C3">
      <w:pPr>
        <w:ind w:left="1440" w:hanging="720"/>
        <w:rPr>
          <w:sz w:val="20"/>
          <w:szCs w:val="20"/>
        </w:rPr>
      </w:pPr>
      <w:r>
        <w:rPr>
          <w:i/>
          <w:sz w:val="20"/>
          <w:szCs w:val="20"/>
        </w:rPr>
        <w:t>Source</w:t>
      </w:r>
      <w:r w:rsidR="00DE36C3">
        <w:rPr>
          <w:sz w:val="20"/>
          <w:szCs w:val="20"/>
        </w:rPr>
        <w:t xml:space="preserve">: Barbara et al. (1987), </w:t>
      </w:r>
      <w:r>
        <w:rPr>
          <w:sz w:val="20"/>
          <w:szCs w:val="20"/>
        </w:rPr>
        <w:t>table</w:t>
      </w:r>
      <w:r w:rsidR="00DE36C3">
        <w:rPr>
          <w:sz w:val="20"/>
          <w:szCs w:val="20"/>
        </w:rPr>
        <w:t xml:space="preserve"> 2, </w:t>
      </w:r>
      <w:r>
        <w:rPr>
          <w:sz w:val="20"/>
          <w:szCs w:val="20"/>
        </w:rPr>
        <w:t>p</w:t>
      </w:r>
      <w:r w:rsidR="00DE36C3">
        <w:rPr>
          <w:sz w:val="20"/>
          <w:szCs w:val="20"/>
        </w:rPr>
        <w:t>. 240</w:t>
      </w:r>
    </w:p>
    <w:p w14:paraId="54AF7036" w14:textId="77777777" w:rsidR="00DE36C3" w:rsidRPr="00566C35" w:rsidRDefault="00DE36C3" w:rsidP="00566C35"/>
    <w:p w14:paraId="697098B0" w14:textId="43D29E4F" w:rsidR="0040435A" w:rsidRDefault="00566C35" w:rsidP="00C250E1">
      <w:pPr>
        <w:pStyle w:val="ListParagraph"/>
        <w:numPr>
          <w:ilvl w:val="1"/>
          <w:numId w:val="2"/>
        </w:numPr>
        <w:jc w:val="both"/>
      </w:pPr>
      <w:r>
        <w:t>Wh</w:t>
      </w:r>
      <w:r w:rsidR="0061566D">
        <w:t>at proportion of total costs is</w:t>
      </w:r>
      <w:r>
        <w:t xml:space="preserve"> due to labour, capital, fuel, and equipment? What would be the expected effect of a 5% increase in fuel prices on the total costs of a typical Class I railroad?</w:t>
      </w:r>
    </w:p>
    <w:p w14:paraId="1F9E864F" w14:textId="77777777" w:rsidR="00566C35" w:rsidRDefault="00566C35" w:rsidP="00C250E1">
      <w:pPr>
        <w:pStyle w:val="ListParagraph"/>
        <w:numPr>
          <w:ilvl w:val="1"/>
          <w:numId w:val="2"/>
        </w:numPr>
        <w:jc w:val="both"/>
      </w:pPr>
      <w:r>
        <w:t>For this analysis, the authors define the following relationships:</w:t>
      </w:r>
    </w:p>
    <w:p w14:paraId="1F934D88" w14:textId="77777777" w:rsidR="00566C35" w:rsidRDefault="00566C35" w:rsidP="00566C35">
      <w:pPr>
        <w:jc w:val="both"/>
      </w:pPr>
    </w:p>
    <w:p w14:paraId="71122329" w14:textId="77777777" w:rsidR="00566C35" w:rsidRDefault="00566C35" w:rsidP="00566C35">
      <w:pPr>
        <w:ind w:left="1080" w:firstLine="720"/>
      </w:pPr>
      <w:r>
        <w:t xml:space="preserve">coefficient of Net Freight Tons = </w:t>
      </w:r>
      <w:r>
        <w:rPr>
          <w:rFonts w:ascii="Cambria" w:hAnsi="Cambria"/>
          <w:i/>
        </w:rPr>
        <w:t>α</w:t>
      </w:r>
      <w:r>
        <w:rPr>
          <w:vertAlign w:val="subscript"/>
        </w:rPr>
        <w:t>NFT</w:t>
      </w:r>
    </w:p>
    <w:p w14:paraId="5FDBC40B" w14:textId="77777777" w:rsidR="00566C35" w:rsidRDefault="00566C35" w:rsidP="00566C35">
      <w:pPr>
        <w:ind w:left="1080" w:firstLine="720"/>
      </w:pPr>
      <w:r>
        <w:t xml:space="preserve">coefficient of Net Freight Ton-Miles = </w:t>
      </w:r>
      <w:r>
        <w:rPr>
          <w:rFonts w:ascii="Cambria" w:hAnsi="Cambria"/>
          <w:i/>
        </w:rPr>
        <w:t>α</w:t>
      </w:r>
      <w:r>
        <w:rPr>
          <w:vertAlign w:val="subscript"/>
        </w:rPr>
        <w:t>NTM</w:t>
      </w:r>
    </w:p>
    <w:p w14:paraId="0CFCC66C" w14:textId="77777777" w:rsidR="00566C35" w:rsidRDefault="00566C35" w:rsidP="00566C35">
      <w:pPr>
        <w:ind w:left="1080" w:firstLine="720"/>
      </w:pPr>
      <w:r>
        <w:t xml:space="preserve">coefficient of Miles of Track = </w:t>
      </w:r>
      <w:r>
        <w:rPr>
          <w:rFonts w:ascii="Cambria" w:hAnsi="Cambria"/>
          <w:i/>
        </w:rPr>
        <w:t>α</w:t>
      </w:r>
      <w:r>
        <w:rPr>
          <w:vertAlign w:val="subscript"/>
        </w:rPr>
        <w:t>MT</w:t>
      </w:r>
    </w:p>
    <w:p w14:paraId="5854CA57" w14:textId="77777777" w:rsidR="00566C35" w:rsidRDefault="00566C35" w:rsidP="00566C35">
      <w:pPr>
        <w:ind w:left="1080" w:firstLine="720"/>
      </w:pPr>
      <w:r>
        <w:t xml:space="preserve">economies of length of haul = </w:t>
      </w:r>
      <w:r>
        <w:rPr>
          <w:rFonts w:ascii="Cambria" w:hAnsi="Cambria"/>
          <w:i/>
        </w:rPr>
        <w:t>ε</w:t>
      </w:r>
      <w:r>
        <w:rPr>
          <w:vertAlign w:val="subscript"/>
        </w:rPr>
        <w:t>LH</w:t>
      </w:r>
      <w:r>
        <w:t xml:space="preserve"> = </w:t>
      </w:r>
      <m:oMath>
        <m:f>
          <m:fPr>
            <m:ctrlPr>
              <w:rPr>
                <w:rFonts w:ascii="Cambria Math" w:hAnsi="Cambria Math"/>
                <w:i/>
              </w:rPr>
            </m:ctrlPr>
          </m:fPr>
          <m:num>
            <m:r>
              <w:rPr>
                <w:rFonts w:ascii="Cambria Math" w:hAnsi="Cambria Math"/>
              </w:rPr>
              <m:t>1</m:t>
            </m:r>
          </m:num>
          <m:den>
            <m:sSub>
              <m:sSubPr>
                <m:ctrlPr>
                  <w:rPr>
                    <w:rFonts w:ascii="Cambria Math" w:hAnsi="Cambria Math"/>
                  </w:rPr>
                </m:ctrlPr>
              </m:sSubPr>
              <m:e>
                <m:r>
                  <w:rPr>
                    <w:rFonts w:ascii="Cambria Math" w:hAnsi="Cambria Math"/>
                  </w:rPr>
                  <m:t>α</m:t>
                </m:r>
              </m:e>
              <m:sub>
                <m:r>
                  <m:rPr>
                    <m:sty m:val="p"/>
                  </m:rPr>
                  <w:rPr>
                    <w:rFonts w:ascii="Cambria Math" w:hAnsi="Cambria Math"/>
                  </w:rPr>
                  <m:t>NTM</m:t>
                </m:r>
              </m:sub>
            </m:sSub>
          </m:den>
        </m:f>
      </m:oMath>
    </w:p>
    <w:p w14:paraId="47E352C8" w14:textId="77777777" w:rsidR="00566C35" w:rsidRDefault="00566C35" w:rsidP="00566C35">
      <w:pPr>
        <w:ind w:left="1080" w:firstLine="720"/>
      </w:pPr>
      <w:r>
        <w:t xml:space="preserve">economies of density = </w:t>
      </w:r>
      <w:r>
        <w:rPr>
          <w:rFonts w:ascii="Cambria" w:hAnsi="Cambria"/>
          <w:i/>
        </w:rPr>
        <w:t>ε</w:t>
      </w:r>
      <w:r>
        <w:rPr>
          <w:vertAlign w:val="subscript"/>
        </w:rPr>
        <w:t>d</w:t>
      </w:r>
      <w:r>
        <w:t xml:space="preserve"> = </w:t>
      </w:r>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α</m:t>
                </m:r>
              </m:e>
              <m:sub>
                <m:r>
                  <m:rPr>
                    <m:sty m:val="p"/>
                  </m:rPr>
                  <w:rPr>
                    <w:rFonts w:ascii="Cambria Math" w:hAnsi="Cambria Math"/>
                  </w:rPr>
                  <m:t>NFT</m:t>
                </m:r>
              </m:sub>
            </m:sSub>
            <m:r>
              <w:rPr>
                <w:rFonts w:ascii="Cambria Math" w:hAnsi="Cambria Math"/>
              </w:rPr>
              <m:t>+</m:t>
            </m:r>
            <m:sSub>
              <m:sSubPr>
                <m:ctrlPr>
                  <w:rPr>
                    <w:rFonts w:ascii="Cambria Math" w:hAnsi="Cambria Math"/>
                    <w:i/>
                  </w:rPr>
                </m:ctrlPr>
              </m:sSubPr>
              <m:e>
                <m:r>
                  <w:rPr>
                    <w:rFonts w:ascii="Cambria Math" w:hAnsi="Cambria Math"/>
                  </w:rPr>
                  <m:t>α</m:t>
                </m:r>
              </m:e>
              <m:sub>
                <m:r>
                  <m:rPr>
                    <m:sty m:val="p"/>
                  </m:rPr>
                  <w:rPr>
                    <w:rFonts w:ascii="Cambria Math" w:hAnsi="Cambria Math"/>
                  </w:rPr>
                  <m:t>NTM</m:t>
                </m:r>
              </m:sub>
            </m:sSub>
          </m:den>
        </m:f>
      </m:oMath>
    </w:p>
    <w:p w14:paraId="76EBA110" w14:textId="77777777" w:rsidR="00566C35" w:rsidRDefault="00566C35" w:rsidP="00566C35">
      <w:pPr>
        <w:ind w:left="1080" w:firstLine="720"/>
      </w:pPr>
      <w:r>
        <w:t xml:space="preserve">economies of scale = </w:t>
      </w:r>
      <w:r>
        <w:rPr>
          <w:rFonts w:ascii="Cambria" w:hAnsi="Cambria"/>
          <w:i/>
        </w:rPr>
        <w:t>ε</w:t>
      </w:r>
      <w:r>
        <w:rPr>
          <w:vertAlign w:val="subscript"/>
        </w:rPr>
        <w:t>0</w:t>
      </w:r>
      <w:r>
        <w:t xml:space="preserve"> = </w:t>
      </w:r>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α</m:t>
                </m:r>
              </m:e>
              <m:sub>
                <m:r>
                  <m:rPr>
                    <m:sty m:val="p"/>
                  </m:rPr>
                  <w:rPr>
                    <w:rFonts w:ascii="Cambria Math" w:hAnsi="Cambria Math"/>
                  </w:rPr>
                  <m:t>NFT</m:t>
                </m:r>
              </m:sub>
            </m:sSub>
            <m:r>
              <w:rPr>
                <w:rFonts w:ascii="Cambria Math" w:hAnsi="Cambria Math"/>
              </w:rPr>
              <m:t>+</m:t>
            </m:r>
            <m:sSub>
              <m:sSubPr>
                <m:ctrlPr>
                  <w:rPr>
                    <w:rFonts w:ascii="Cambria Math" w:hAnsi="Cambria Math"/>
                    <w:i/>
                  </w:rPr>
                </m:ctrlPr>
              </m:sSubPr>
              <m:e>
                <m:r>
                  <w:rPr>
                    <w:rFonts w:ascii="Cambria Math" w:hAnsi="Cambria Math"/>
                  </w:rPr>
                  <m:t>α</m:t>
                </m:r>
              </m:e>
              <m:sub>
                <m:r>
                  <m:rPr>
                    <m:sty m:val="p"/>
                  </m:rPr>
                  <w:rPr>
                    <w:rFonts w:ascii="Cambria Math" w:hAnsi="Cambria Math"/>
                  </w:rPr>
                  <m:t>NTM</m:t>
                </m:r>
              </m:sub>
            </m:sSub>
            <m:r>
              <w:rPr>
                <w:rFonts w:ascii="Cambria Math" w:hAnsi="Cambria Math"/>
              </w:rPr>
              <m:t>+</m:t>
            </m:r>
            <m:sSub>
              <m:sSubPr>
                <m:ctrlPr>
                  <w:rPr>
                    <w:rFonts w:ascii="Cambria Math" w:hAnsi="Cambria Math"/>
                    <w:i/>
                  </w:rPr>
                </m:ctrlPr>
              </m:sSubPr>
              <m:e>
                <m:r>
                  <w:rPr>
                    <w:rFonts w:ascii="Cambria Math" w:hAnsi="Cambria Math"/>
                  </w:rPr>
                  <m:t>α</m:t>
                </m:r>
              </m:e>
              <m:sub>
                <m:r>
                  <m:rPr>
                    <m:sty m:val="p"/>
                  </m:rPr>
                  <w:rPr>
                    <w:rFonts w:ascii="Cambria Math" w:hAnsi="Cambria Math"/>
                  </w:rPr>
                  <m:t>MT</m:t>
                </m:r>
              </m:sub>
            </m:sSub>
          </m:den>
        </m:f>
      </m:oMath>
    </w:p>
    <w:p w14:paraId="488EDDEB" w14:textId="77777777" w:rsidR="00566C35" w:rsidRDefault="00566C35" w:rsidP="00566C35">
      <w:pPr>
        <w:ind w:left="720" w:firstLine="720"/>
      </w:pPr>
    </w:p>
    <w:p w14:paraId="2BE46AFF" w14:textId="465F17E3" w:rsidR="00566C35" w:rsidRDefault="00566C35" w:rsidP="00566C35">
      <w:pPr>
        <w:ind w:left="1440"/>
        <w:jc w:val="both"/>
      </w:pPr>
      <w:r>
        <w:t xml:space="preserve">Explain the intuition behind each of these concepts. From the results, what are the estimated economies of traffic density and economies of scale? The authors also report that the standard error for the estimated economies of traffic density is 0.3348, and that the standard error associated with the </w:t>
      </w:r>
      <w:r w:rsidR="00044236">
        <w:t>estimated</w:t>
      </w:r>
      <w:r>
        <w:t xml:space="preserve"> economies of scale is 0.936. Use these standard errors to test the null hypothesis </w:t>
      </w:r>
      <w:r w:rsidR="00044236">
        <w:t>of</w:t>
      </w:r>
      <w:r>
        <w:t xml:space="preserve"> constant economies of traffic density and constant returns to scale. For the purposes of the test, assume 11 degrees of freedom.</w:t>
      </w:r>
    </w:p>
    <w:p w14:paraId="74E97E51" w14:textId="664C5FAF" w:rsidR="0040435A" w:rsidRDefault="00566C35" w:rsidP="00C250E1">
      <w:pPr>
        <w:pStyle w:val="ListParagraph"/>
        <w:numPr>
          <w:ilvl w:val="1"/>
          <w:numId w:val="2"/>
        </w:numPr>
        <w:jc w:val="both"/>
      </w:pPr>
      <w:r>
        <w:t>Given the model’s specification, why is it appropria</w:t>
      </w:r>
      <w:r w:rsidR="001D7C32">
        <w:t>te to interpret the coefficient</w:t>
      </w:r>
      <w:r>
        <w:t xml:space="preserve"> of Net </w:t>
      </w:r>
      <w:r w:rsidR="001D7C32">
        <w:t>Ton-M</w:t>
      </w:r>
      <w:r w:rsidR="00044236">
        <w:t>iles</w:t>
      </w:r>
      <w:r>
        <w:t xml:space="preserve"> as reflecting length of haul economies? </w:t>
      </w:r>
      <w:r w:rsidR="00044236">
        <w:t>What</w:t>
      </w:r>
      <w:r>
        <w:t xml:space="preserve"> </w:t>
      </w:r>
      <w:r w:rsidR="00044236">
        <w:t>do</w:t>
      </w:r>
      <w:r>
        <w:t xml:space="preserve"> the empirical results tell us about length of haul </w:t>
      </w:r>
      <w:r w:rsidR="00115BA4">
        <w:t xml:space="preserve">scale economies? Suppose that you had two rail companies, one operating in the southern portion of the East Coast and a second company operating in the northern potion of the East Coast. Could the length </w:t>
      </w:r>
      <w:r w:rsidR="00044236">
        <w:t>of</w:t>
      </w:r>
      <w:r w:rsidR="00115BA4">
        <w:t xml:space="preserve"> haul results support an “end-to-end” merger of the two rail lines?</w:t>
      </w:r>
    </w:p>
    <w:p w14:paraId="3C9FE6C8" w14:textId="77777777" w:rsidR="00115BA4" w:rsidRDefault="00115BA4" w:rsidP="00C250E1">
      <w:pPr>
        <w:pStyle w:val="ListParagraph"/>
        <w:numPr>
          <w:ilvl w:val="1"/>
          <w:numId w:val="2"/>
        </w:numPr>
        <w:jc w:val="both"/>
      </w:pPr>
      <w:r>
        <w:t>Based upon the returns to scale, traffic density, and length of haul results, what policies should rail firms follow in order to reduce their unit cost of production?</w:t>
      </w:r>
    </w:p>
    <w:p w14:paraId="48EDB109" w14:textId="77777777" w:rsidR="003726EB" w:rsidRDefault="003726EB" w:rsidP="003726EB">
      <w:pPr>
        <w:jc w:val="both"/>
      </w:pPr>
    </w:p>
    <w:p w14:paraId="5D655C26" w14:textId="70BFD943" w:rsidR="0040435A" w:rsidRDefault="00115BA4" w:rsidP="00115BA4">
      <w:pPr>
        <w:pStyle w:val="ListParagraph"/>
        <w:numPr>
          <w:ilvl w:val="0"/>
          <w:numId w:val="2"/>
        </w:numPr>
        <w:jc w:val="both"/>
      </w:pPr>
      <w:r>
        <w:t xml:space="preserve">Pozdena and Merewitz (1978) </w:t>
      </w:r>
      <w:r w:rsidR="00044236">
        <w:t>analysed</w:t>
      </w:r>
      <w:r>
        <w:t xml:space="preserve"> 11 rapid rail transit properties operating in North America between 1960 and 1970. From their analysis, they obtained the following long-run total cost function:</w:t>
      </w:r>
    </w:p>
    <w:p w14:paraId="148D0150" w14:textId="77777777" w:rsidR="00115BA4" w:rsidRDefault="00115BA4" w:rsidP="00115BA4">
      <w:pPr>
        <w:jc w:val="both"/>
      </w:pPr>
    </w:p>
    <w:p w14:paraId="007815EF" w14:textId="77777777" w:rsidR="00115BA4" w:rsidRDefault="008933D0" w:rsidP="008933D0">
      <w:pPr>
        <w:tabs>
          <w:tab w:val="left" w:pos="1607"/>
          <w:tab w:val="center" w:pos="4510"/>
        </w:tabs>
        <w:ind w:left="720"/>
      </w:pPr>
      <w:r>
        <w:rPr>
          <w:i/>
        </w:rPr>
        <w:tab/>
      </w:r>
      <w:r>
        <w:rPr>
          <w:i/>
        </w:rPr>
        <w:tab/>
      </w:r>
      <w:r w:rsidR="00115BA4">
        <w:rPr>
          <w:i/>
        </w:rPr>
        <w:t>LRTC</w:t>
      </w:r>
      <w:r>
        <w:t xml:space="preserve"> = 7.42</w:t>
      </w:r>
      <m:oMath>
        <m:sSup>
          <m:sSupPr>
            <m:ctrlPr>
              <w:rPr>
                <w:rFonts w:ascii="Cambria Math" w:hAnsi="Cambria Math"/>
                <w:i/>
              </w:rPr>
            </m:ctrlPr>
          </m:sSupPr>
          <m:e>
            <m:r>
              <w:rPr>
                <w:rFonts w:ascii="Cambria Math" w:hAnsi="Cambria Math"/>
              </w:rPr>
              <m:t>w</m:t>
            </m:r>
          </m:e>
          <m:sup>
            <m:r>
              <w:rPr>
                <w:rFonts w:ascii="Cambria Math" w:hAnsi="Cambria Math"/>
              </w:rPr>
              <m:t>0.98</m:t>
            </m:r>
          </m:sup>
        </m:sSup>
        <m:sSubSup>
          <m:sSubSupPr>
            <m:ctrlPr>
              <w:rPr>
                <w:rFonts w:ascii="Cambria Math" w:hAnsi="Cambria Math"/>
                <w:i/>
                <w:vertAlign w:val="superscript"/>
              </w:rPr>
            </m:ctrlPr>
          </m:sSubSupPr>
          <m:e>
            <m:r>
              <w:rPr>
                <w:rFonts w:ascii="Cambria Math" w:hAnsi="Cambria Math"/>
                <w:vertAlign w:val="superscript"/>
              </w:rPr>
              <m:t>p</m:t>
            </m:r>
          </m:e>
          <m:sub>
            <m:r>
              <m:rPr>
                <m:sty m:val="p"/>
              </m:rPr>
              <w:rPr>
                <w:rFonts w:ascii="Cambria Math" w:hAnsi="Cambria Math"/>
                <w:vertAlign w:val="superscript"/>
              </w:rPr>
              <m:t>e</m:t>
            </m:r>
          </m:sub>
          <m:sup>
            <m:r>
              <w:rPr>
                <w:rFonts w:ascii="Cambria Math" w:hAnsi="Cambria Math"/>
                <w:vertAlign w:val="superscript"/>
              </w:rPr>
              <m:t>0,48</m:t>
            </m:r>
          </m:sup>
        </m:sSubSup>
        <m:sSup>
          <m:sSupPr>
            <m:ctrlPr>
              <w:rPr>
                <w:rFonts w:ascii="Cambria Math" w:hAnsi="Cambria Math"/>
                <w:i/>
              </w:rPr>
            </m:ctrlPr>
          </m:sSupPr>
          <m:e>
            <m:r>
              <w:rPr>
                <w:rFonts w:ascii="Cambria Math" w:hAnsi="Cambria Math"/>
              </w:rPr>
              <m:t>Q</m:t>
            </m:r>
          </m:e>
          <m:sup>
            <m:r>
              <w:rPr>
                <w:rFonts w:ascii="Cambria Math" w:hAnsi="Cambria Math"/>
              </w:rPr>
              <m:t>0.76</m:t>
            </m:r>
          </m:sup>
        </m:sSup>
      </m:oMath>
    </w:p>
    <w:p w14:paraId="19EE2A53" w14:textId="77777777" w:rsidR="00115BA4" w:rsidRDefault="00115BA4" w:rsidP="00115BA4">
      <w:pPr>
        <w:ind w:left="720"/>
        <w:jc w:val="center"/>
      </w:pPr>
    </w:p>
    <w:p w14:paraId="60DA63FB" w14:textId="77777777" w:rsidR="00115BA4" w:rsidRDefault="00115BA4" w:rsidP="00115BA4">
      <w:pPr>
        <w:ind w:left="720"/>
        <w:jc w:val="both"/>
      </w:pPr>
      <w:r>
        <w:t xml:space="preserve">where </w:t>
      </w:r>
      <w:r>
        <w:rPr>
          <w:i/>
        </w:rPr>
        <w:t>w</w:t>
      </w:r>
      <w:r>
        <w:t xml:space="preserve"> is the wage rate ($ per hour), </w:t>
      </w:r>
      <w:r>
        <w:rPr>
          <w:i/>
        </w:rPr>
        <w:t>p</w:t>
      </w:r>
      <w:r>
        <w:rPr>
          <w:vertAlign w:val="subscript"/>
        </w:rPr>
        <w:t>e</w:t>
      </w:r>
      <w:r>
        <w:t xml:space="preserve"> is the price of energy ($ per kilowatt-hour), and </w:t>
      </w:r>
      <w:r>
        <w:rPr>
          <w:i/>
        </w:rPr>
        <w:t>Q</w:t>
      </w:r>
      <w:r>
        <w:t xml:space="preserve"> is output (million</w:t>
      </w:r>
      <w:r w:rsidR="008933D0">
        <w:t xml:space="preserve"> vehicle-miles).</w:t>
      </w:r>
    </w:p>
    <w:p w14:paraId="1DCA1F78" w14:textId="77777777" w:rsidR="003726EB" w:rsidRPr="00115BA4" w:rsidRDefault="003726EB" w:rsidP="00115BA4">
      <w:pPr>
        <w:ind w:left="720"/>
        <w:jc w:val="both"/>
      </w:pPr>
    </w:p>
    <w:p w14:paraId="353A7182" w14:textId="4A8D35E4" w:rsidR="0040435A" w:rsidRDefault="008933D0" w:rsidP="00C250E1">
      <w:pPr>
        <w:pStyle w:val="ListParagraph"/>
        <w:numPr>
          <w:ilvl w:val="1"/>
          <w:numId w:val="2"/>
        </w:numPr>
        <w:jc w:val="both"/>
      </w:pPr>
      <w:r>
        <w:t xml:space="preserve">According to this study, do rapid rail transit systems operate under increasing, decreasing or constant returns to scale? (Hint: take the </w:t>
      </w:r>
      <w:r w:rsidR="00044236">
        <w:t>logarithm</w:t>
      </w:r>
      <w:r>
        <w:t xml:space="preserve"> of the equation and interpret the coefficient estimates.)</w:t>
      </w:r>
    </w:p>
    <w:p w14:paraId="1E2157CE" w14:textId="77777777" w:rsidR="008933D0" w:rsidRDefault="008933D0" w:rsidP="00C250E1">
      <w:pPr>
        <w:pStyle w:val="ListParagraph"/>
        <w:numPr>
          <w:ilvl w:val="1"/>
          <w:numId w:val="2"/>
        </w:numPr>
        <w:jc w:val="both"/>
      </w:pPr>
      <w:r>
        <w:t>In the early 1970s, there was a significant increase in oil prices. What effect would a 20% increase in kilowatt-hour prices have upon long-run rapid rail transit costs?</w:t>
      </w:r>
    </w:p>
    <w:p w14:paraId="00322992" w14:textId="6E260FAA" w:rsidR="008933D0" w:rsidRDefault="008933D0" w:rsidP="00C250E1">
      <w:pPr>
        <w:pStyle w:val="ListParagraph"/>
        <w:numPr>
          <w:ilvl w:val="1"/>
          <w:numId w:val="2"/>
        </w:numPr>
        <w:jc w:val="both"/>
      </w:pPr>
      <w:r>
        <w:t xml:space="preserve">From the </w:t>
      </w:r>
      <w:r>
        <w:rPr>
          <w:i/>
        </w:rPr>
        <w:t>LRTC</w:t>
      </w:r>
      <w:r>
        <w:t xml:space="preserve"> equation, the authors also calculated the long-run marginal cost of rapid rail transit systems to be</w:t>
      </w:r>
    </w:p>
    <w:p w14:paraId="1F716E34" w14:textId="77777777" w:rsidR="008933D0" w:rsidRDefault="008933D0" w:rsidP="008933D0">
      <w:pPr>
        <w:jc w:val="both"/>
      </w:pPr>
    </w:p>
    <w:p w14:paraId="5D9D8227" w14:textId="77777777" w:rsidR="008933D0" w:rsidRDefault="008933D0" w:rsidP="008933D0">
      <w:pPr>
        <w:tabs>
          <w:tab w:val="left" w:pos="1607"/>
          <w:tab w:val="center" w:pos="4510"/>
        </w:tabs>
        <w:ind w:left="720"/>
      </w:pPr>
      <w:r>
        <w:rPr>
          <w:i/>
        </w:rPr>
        <w:tab/>
      </w:r>
      <w:r>
        <w:rPr>
          <w:i/>
        </w:rPr>
        <w:tab/>
        <w:t>LRMC</w:t>
      </w:r>
      <w:r>
        <w:t xml:space="preserve"> = 5.66</w:t>
      </w:r>
      <m:oMath>
        <m:sSup>
          <m:sSupPr>
            <m:ctrlPr>
              <w:rPr>
                <w:rFonts w:ascii="Cambria Math" w:hAnsi="Cambria Math"/>
                <w:i/>
              </w:rPr>
            </m:ctrlPr>
          </m:sSupPr>
          <m:e>
            <m:r>
              <w:rPr>
                <w:rFonts w:ascii="Cambria Math" w:hAnsi="Cambria Math"/>
              </w:rPr>
              <m:t>w</m:t>
            </m:r>
          </m:e>
          <m:sup>
            <m:r>
              <w:rPr>
                <w:rFonts w:ascii="Cambria Math" w:hAnsi="Cambria Math"/>
              </w:rPr>
              <m:t>0.98</m:t>
            </m:r>
          </m:sup>
        </m:sSup>
        <m:sSubSup>
          <m:sSubSupPr>
            <m:ctrlPr>
              <w:rPr>
                <w:rFonts w:ascii="Cambria Math" w:hAnsi="Cambria Math"/>
                <w:i/>
                <w:vertAlign w:val="superscript"/>
              </w:rPr>
            </m:ctrlPr>
          </m:sSubSupPr>
          <m:e>
            <m:r>
              <w:rPr>
                <w:rFonts w:ascii="Cambria Math" w:hAnsi="Cambria Math"/>
                <w:vertAlign w:val="superscript"/>
              </w:rPr>
              <m:t>p</m:t>
            </m:r>
          </m:e>
          <m:sub>
            <m:r>
              <m:rPr>
                <m:sty m:val="p"/>
              </m:rPr>
              <w:rPr>
                <w:rFonts w:ascii="Cambria Math" w:hAnsi="Cambria Math"/>
                <w:vertAlign w:val="superscript"/>
              </w:rPr>
              <m:t>e</m:t>
            </m:r>
          </m:sub>
          <m:sup>
            <m:r>
              <w:rPr>
                <w:rFonts w:ascii="Cambria Math" w:hAnsi="Cambria Math"/>
                <w:vertAlign w:val="superscript"/>
              </w:rPr>
              <m:t>0,48</m:t>
            </m:r>
          </m:sup>
        </m:sSubSup>
        <m:sSup>
          <m:sSupPr>
            <m:ctrlPr>
              <w:rPr>
                <w:rFonts w:ascii="Cambria Math" w:hAnsi="Cambria Math"/>
                <w:i/>
              </w:rPr>
            </m:ctrlPr>
          </m:sSupPr>
          <m:e>
            <m:r>
              <w:rPr>
                <w:rFonts w:ascii="Cambria Math" w:hAnsi="Cambria Math"/>
              </w:rPr>
              <m:t>Q</m:t>
            </m:r>
          </m:e>
          <m:sup>
            <m:r>
              <w:rPr>
                <w:rFonts w:ascii="Cambria Math" w:hAnsi="Cambria Math"/>
              </w:rPr>
              <m:t>–0.24</m:t>
            </m:r>
          </m:sup>
        </m:sSup>
      </m:oMath>
    </w:p>
    <w:p w14:paraId="7E970268" w14:textId="77777777" w:rsidR="008933D0" w:rsidRDefault="008933D0" w:rsidP="008933D0">
      <w:pPr>
        <w:jc w:val="both"/>
      </w:pPr>
    </w:p>
    <w:p w14:paraId="024453BC" w14:textId="0793D3EB" w:rsidR="008933D0" w:rsidRPr="008933D0" w:rsidRDefault="008933D0" w:rsidP="008933D0">
      <w:pPr>
        <w:ind w:left="1440"/>
        <w:jc w:val="both"/>
      </w:pPr>
      <w:r>
        <w:t>What effect</w:t>
      </w:r>
      <w:r w:rsidR="00A17565">
        <w:t xml:space="preserve"> on</w:t>
      </w:r>
      <w:r>
        <w:t xml:space="preserve"> </w:t>
      </w:r>
      <w:r>
        <w:rPr>
          <w:i/>
        </w:rPr>
        <w:t xml:space="preserve">LRMC </w:t>
      </w:r>
      <w:r>
        <w:t xml:space="preserve">will there be from a 10% increase in output? Is the impact on </w:t>
      </w:r>
      <w:r>
        <w:rPr>
          <w:i/>
        </w:rPr>
        <w:t xml:space="preserve">LRMC </w:t>
      </w:r>
      <w:r>
        <w:t>consistent with your answer in (a)?</w:t>
      </w:r>
    </w:p>
    <w:p w14:paraId="124D01D5" w14:textId="77777777" w:rsidR="008933D0" w:rsidRDefault="008933D0" w:rsidP="008933D0">
      <w:pPr>
        <w:pStyle w:val="ListParagraph"/>
        <w:numPr>
          <w:ilvl w:val="1"/>
          <w:numId w:val="2"/>
        </w:numPr>
        <w:jc w:val="both"/>
      </w:pPr>
      <w:r>
        <w:t>At the time of this study, San Francisco’s Bay Area Rapid Transit (BART) was not included</w:t>
      </w:r>
      <w:r w:rsidR="00CA7812">
        <w:t>. In 1975, BART had the following characteristics:</w:t>
      </w:r>
    </w:p>
    <w:p w14:paraId="2F4BF424" w14:textId="77777777" w:rsidR="00CA7812" w:rsidRDefault="00CA7812" w:rsidP="00CA7812">
      <w:pPr>
        <w:jc w:val="both"/>
      </w:pPr>
    </w:p>
    <w:p w14:paraId="0FE1D68F" w14:textId="77777777" w:rsidR="00CA7812" w:rsidRDefault="00CA7812" w:rsidP="00CA7812">
      <w:pPr>
        <w:ind w:left="1440" w:firstLine="720"/>
      </w:pPr>
      <w:r>
        <w:rPr>
          <w:i/>
        </w:rPr>
        <w:t>w</w:t>
      </w:r>
      <w:r>
        <w:t xml:space="preserve"> = $7.48 per hour (base wage of train attendants)</w:t>
      </w:r>
    </w:p>
    <w:p w14:paraId="65F0D861" w14:textId="77777777" w:rsidR="00CA7812" w:rsidRDefault="00CA7812" w:rsidP="00CA7812">
      <w:pPr>
        <w:ind w:left="1440" w:firstLine="720"/>
      </w:pPr>
      <w:r>
        <w:rPr>
          <w:i/>
        </w:rPr>
        <w:t>p</w:t>
      </w:r>
      <w:r>
        <w:rPr>
          <w:vertAlign w:val="subscript"/>
        </w:rPr>
        <w:t>e</w:t>
      </w:r>
      <w:r>
        <w:t xml:space="preserve"> = $0.019 per kilowatt-hour</w:t>
      </w:r>
    </w:p>
    <w:p w14:paraId="63A9F66D" w14:textId="77777777" w:rsidR="00CA7812" w:rsidRDefault="00CA7812" w:rsidP="00CA7812">
      <w:pPr>
        <w:ind w:left="1440" w:firstLine="720"/>
      </w:pPr>
      <w:r>
        <w:rPr>
          <w:i/>
        </w:rPr>
        <w:t>Q</w:t>
      </w:r>
      <w:r>
        <w:t xml:space="preserve"> = 22.7 million vehicle-miles</w:t>
      </w:r>
    </w:p>
    <w:p w14:paraId="0A5F90BD" w14:textId="77777777" w:rsidR="00CA7812" w:rsidRDefault="00CA7812" w:rsidP="00CA7812">
      <w:pPr>
        <w:jc w:val="both"/>
      </w:pPr>
    </w:p>
    <w:p w14:paraId="0F404DAC" w14:textId="4983942E" w:rsidR="00CA7812" w:rsidRDefault="00CA7812" w:rsidP="00CA7812">
      <w:pPr>
        <w:ind w:left="1440"/>
        <w:jc w:val="both"/>
      </w:pPr>
      <w:r>
        <w:t xml:space="preserve">Based upon </w:t>
      </w:r>
      <w:r>
        <w:rPr>
          <w:i/>
        </w:rPr>
        <w:t xml:space="preserve">LRTC </w:t>
      </w:r>
      <w:r>
        <w:t xml:space="preserve">and </w:t>
      </w:r>
      <w:r>
        <w:rPr>
          <w:i/>
        </w:rPr>
        <w:t>LRMC</w:t>
      </w:r>
      <w:r>
        <w:t xml:space="preserve"> identified in (a) and (c), forecast BART’s long-run total and marginal costs of operation. Also, calculate BART’s long-run average cost per vehicle-mile. Is the average cost per vehicle-mile greater or less than the marginal cost per vehicle-mile, </w:t>
      </w:r>
      <w:r w:rsidR="00044236">
        <w:t>and</w:t>
      </w:r>
      <w:r>
        <w:t xml:space="preserve"> is this consistent with the results previously obtained?</w:t>
      </w:r>
    </w:p>
    <w:p w14:paraId="57D8908F" w14:textId="77777777" w:rsidR="00601A72" w:rsidRPr="00CA7812" w:rsidRDefault="00601A72" w:rsidP="00CA7812">
      <w:pPr>
        <w:ind w:left="1440"/>
        <w:jc w:val="both"/>
      </w:pPr>
    </w:p>
    <w:p w14:paraId="30F07D00" w14:textId="525B8645" w:rsidR="00CA7812" w:rsidRDefault="00CA7812" w:rsidP="00CA7812">
      <w:pPr>
        <w:pStyle w:val="ListParagraph"/>
        <w:numPr>
          <w:ilvl w:val="0"/>
          <w:numId w:val="2"/>
        </w:numPr>
        <w:jc w:val="both"/>
      </w:pPr>
      <w:r>
        <w:t xml:space="preserve">Case and Lave (1970) </w:t>
      </w:r>
      <w:r w:rsidR="00044236">
        <w:t>analysed</w:t>
      </w:r>
      <w:r>
        <w:t xml:space="preserve"> inland waterway costs in the United States. In their paper, they identified two trends associated with inland waterway transport during the preceding three decades: a relatively constant cost per ton-mile and a trend for a small number of firms to garner a large share of the market, either through growth or merger. In order to exam</w:t>
      </w:r>
      <w:bookmarkStart w:id="0" w:name="_GoBack"/>
      <w:bookmarkEnd w:id="0"/>
      <w:r>
        <w:t>ine these issues, the a</w:t>
      </w:r>
      <w:r w:rsidR="00601A72">
        <w:t>uthors estimated the following</w:t>
      </w:r>
      <w:r w:rsidR="00601A72">
        <w:br/>
      </w:r>
      <w:r>
        <w:t>Cobb-Douglas long-run average cost (</w:t>
      </w:r>
      <w:r>
        <w:rPr>
          <w:i/>
        </w:rPr>
        <w:t>LRAC</w:t>
      </w:r>
      <w:r>
        <w:t>) function:</w:t>
      </w:r>
    </w:p>
    <w:p w14:paraId="14F847B6" w14:textId="77777777" w:rsidR="00CA7812" w:rsidRDefault="00CA7812" w:rsidP="00CA7812">
      <w:pPr>
        <w:jc w:val="both"/>
      </w:pPr>
    </w:p>
    <w:p w14:paraId="13E3DB60" w14:textId="5D52EA39" w:rsidR="00CA7812" w:rsidRDefault="00C83C22" w:rsidP="00C83C22">
      <w:pPr>
        <w:tabs>
          <w:tab w:val="left" w:pos="2199"/>
          <w:tab w:val="center" w:pos="4510"/>
        </w:tabs>
        <w:ind w:left="720"/>
      </w:pPr>
      <w:r>
        <w:rPr>
          <w:i/>
        </w:rPr>
        <w:tab/>
      </w:r>
      <w:r>
        <w:rPr>
          <w:i/>
        </w:rPr>
        <w:tab/>
      </w:r>
      <w:r w:rsidR="00CA7812">
        <w:rPr>
          <w:i/>
        </w:rPr>
        <w:t>LRAC</w:t>
      </w:r>
      <w:r w:rsidR="00CA7812">
        <w:t xml:space="preserve"> = </w:t>
      </w:r>
      <w:r w:rsidR="00CA7812">
        <w:rPr>
          <w:rFonts w:ascii="Cambria" w:hAnsi="Cambria"/>
          <w:i/>
        </w:rPr>
        <w:t>α</w:t>
      </w:r>
      <w:r w:rsidR="00CA7812">
        <w:rPr>
          <w:vertAlign w:val="subscript"/>
        </w:rPr>
        <w:t>0</w:t>
      </w:r>
      <m:oMath>
        <m:sSup>
          <m:sSupPr>
            <m:ctrlPr>
              <w:rPr>
                <w:rFonts w:ascii="Cambria Math" w:hAnsi="Cambria Math"/>
                <w:i/>
                <w:vertAlign w:val="superscript"/>
              </w:rPr>
            </m:ctrlPr>
          </m:sSupPr>
          <m:e>
            <m:r>
              <m:rPr>
                <m:sty m:val="p"/>
              </m:rPr>
              <w:rPr>
                <w:rFonts w:ascii="Cambria Math" w:hAnsi="Cambria Math"/>
              </w:rPr>
              <m:t>(</m:t>
            </m:r>
            <m:r>
              <w:rPr>
                <w:rFonts w:ascii="Cambria Math" w:hAnsi="Cambria Math"/>
              </w:rPr>
              <m:t>EBM</m:t>
            </m:r>
            <m:r>
              <m:rPr>
                <m:sty m:val="p"/>
              </m:rPr>
              <w:rPr>
                <w:rFonts w:ascii="Cambria Math" w:hAnsi="Cambria Math"/>
              </w:rPr>
              <m:t>)</m:t>
            </m:r>
          </m:e>
          <m:sup>
            <m:sSub>
              <m:sSubPr>
                <m:ctrlPr>
                  <w:rPr>
                    <w:rFonts w:ascii="Cambria Math" w:hAnsi="Cambria Math"/>
                    <w:i/>
                    <w:vertAlign w:val="superscript"/>
                  </w:rPr>
                </m:ctrlPr>
              </m:sSubPr>
              <m:e>
                <m:r>
                  <w:rPr>
                    <w:rFonts w:ascii="Cambria Math" w:hAnsi="Cambria Math"/>
                    <w:vertAlign w:val="superscript"/>
                  </w:rPr>
                  <m:t>α</m:t>
                </m:r>
              </m:e>
              <m:sub>
                <m:r>
                  <w:rPr>
                    <w:rFonts w:ascii="Cambria Math" w:hAnsi="Cambria Math"/>
                    <w:vertAlign w:val="superscript"/>
                  </w:rPr>
                  <m:t>1</m:t>
                </m:r>
              </m:sub>
            </m:sSub>
          </m:sup>
        </m:sSup>
        <m:sSup>
          <m:sSupPr>
            <m:ctrlPr>
              <w:rPr>
                <w:rFonts w:ascii="Cambria Math" w:hAnsi="Cambria Math"/>
                <w:i/>
                <w:vertAlign w:val="superscript"/>
              </w:rPr>
            </m:ctrlPr>
          </m:sSupPr>
          <m:e>
            <m:r>
              <m:rPr>
                <m:sty m:val="p"/>
              </m:rPr>
              <w:rPr>
                <w:rFonts w:ascii="Cambria Math" w:hAnsi="Cambria Math"/>
              </w:rPr>
              <m:t>(</m:t>
            </m:r>
            <m:r>
              <w:rPr>
                <w:rFonts w:ascii="Cambria Math" w:hAnsi="Cambria Math"/>
              </w:rPr>
              <m:t>SZ</m:t>
            </m:r>
            <m:r>
              <m:rPr>
                <m:sty m:val="p"/>
              </m:rPr>
              <w:rPr>
                <w:rFonts w:ascii="Cambria Math" w:hAnsi="Cambria Math"/>
              </w:rPr>
              <m:t>)</m:t>
            </m:r>
          </m:e>
          <m:sup>
            <m:sSub>
              <m:sSubPr>
                <m:ctrlPr>
                  <w:rPr>
                    <w:rFonts w:ascii="Cambria Math" w:hAnsi="Cambria Math"/>
                    <w:i/>
                    <w:vertAlign w:val="superscript"/>
                  </w:rPr>
                </m:ctrlPr>
              </m:sSubPr>
              <m:e>
                <m:r>
                  <w:rPr>
                    <w:rFonts w:ascii="Cambria Math" w:hAnsi="Cambria Math"/>
                    <w:vertAlign w:val="superscript"/>
                  </w:rPr>
                  <m:t>α</m:t>
                </m:r>
              </m:e>
              <m:sub>
                <m:r>
                  <w:rPr>
                    <w:rFonts w:ascii="Cambria Math" w:hAnsi="Cambria Math"/>
                    <w:vertAlign w:val="superscript"/>
                  </w:rPr>
                  <m:t>2</m:t>
                </m:r>
              </m:sub>
            </m:sSub>
          </m:sup>
        </m:sSup>
        <m:sSup>
          <m:sSupPr>
            <m:ctrlPr>
              <w:rPr>
                <w:rFonts w:ascii="Cambria Math" w:hAnsi="Cambria Math"/>
                <w:i/>
                <w:vertAlign w:val="superscript"/>
              </w:rPr>
            </m:ctrlPr>
          </m:sSupPr>
          <m:e>
            <m:r>
              <w:rPr>
                <w:rFonts w:ascii="Cambria Math" w:hAnsi="Cambria Math"/>
                <w:vertAlign w:val="superscript"/>
              </w:rPr>
              <m:t>T</m:t>
            </m:r>
          </m:e>
          <m:sup>
            <m:sSub>
              <m:sSubPr>
                <m:ctrlPr>
                  <w:rPr>
                    <w:rFonts w:ascii="Cambria Math" w:hAnsi="Cambria Math"/>
                    <w:i/>
                    <w:vertAlign w:val="superscript"/>
                  </w:rPr>
                </m:ctrlPr>
              </m:sSubPr>
              <m:e>
                <m:r>
                  <w:rPr>
                    <w:rFonts w:ascii="Cambria Math" w:hAnsi="Cambria Math"/>
                    <w:vertAlign w:val="superscript"/>
                  </w:rPr>
                  <m:t>α</m:t>
                </m:r>
              </m:e>
              <m:sub>
                <m:r>
                  <w:rPr>
                    <w:rFonts w:ascii="Cambria Math" w:hAnsi="Cambria Math"/>
                    <w:vertAlign w:val="superscript"/>
                  </w:rPr>
                  <m:t>3</m:t>
                </m:r>
              </m:sub>
            </m:sSub>
          </m:sup>
        </m:sSup>
      </m:oMath>
    </w:p>
    <w:p w14:paraId="2763A594" w14:textId="77777777" w:rsidR="00CA7812" w:rsidRDefault="00CA7812" w:rsidP="00CA7812">
      <w:pPr>
        <w:ind w:left="720"/>
        <w:jc w:val="center"/>
      </w:pPr>
    </w:p>
    <w:p w14:paraId="34D3DEFB" w14:textId="55BDD6A0" w:rsidR="00CA7812" w:rsidRDefault="00572A3A" w:rsidP="00CA7812">
      <w:pPr>
        <w:ind w:left="720"/>
        <w:jc w:val="both"/>
      </w:pPr>
      <w:r>
        <w:t xml:space="preserve">Where </w:t>
      </w:r>
      <w:r>
        <w:rPr>
          <w:i/>
        </w:rPr>
        <w:t>EBM</w:t>
      </w:r>
      <w:r>
        <w:t xml:space="preserve"> is “equivalent barge-miles”, a measure of output, </w:t>
      </w:r>
      <w:r>
        <w:rPr>
          <w:i/>
        </w:rPr>
        <w:t>SZ</w:t>
      </w:r>
      <w:r>
        <w:t xml:space="preserve"> is size of firm, measured by the number of towboats, and </w:t>
      </w:r>
      <w:r>
        <w:rPr>
          <w:i/>
        </w:rPr>
        <w:t>T</w:t>
      </w:r>
      <w:r>
        <w:t xml:space="preserve"> is a time trend. </w:t>
      </w:r>
      <w:r>
        <w:rPr>
          <w:rFonts w:ascii="Cambria" w:hAnsi="Cambria"/>
          <w:i/>
        </w:rPr>
        <w:t>α</w:t>
      </w:r>
      <w:r>
        <w:rPr>
          <w:i/>
          <w:vertAlign w:val="subscript"/>
        </w:rPr>
        <w:t>i</w:t>
      </w:r>
      <w:r>
        <w:rPr>
          <w:i/>
        </w:rPr>
        <w:t xml:space="preserve"> </w:t>
      </w:r>
      <w:r>
        <w:t>(</w:t>
      </w:r>
      <w:r>
        <w:rPr>
          <w:i/>
        </w:rPr>
        <w:t xml:space="preserve">i </w:t>
      </w:r>
      <w:r>
        <w:t xml:space="preserve">= 1, . . . , 4) are parameters. Data for this study was based upon </w:t>
      </w:r>
      <w:r w:rsidR="00044236">
        <w:t>quarterly</w:t>
      </w:r>
      <w:r>
        <w:t xml:space="preserve"> observations for five major inland water carriers between 1962 and 1966. The results of the analysis are shown in table 5.16.</w:t>
      </w:r>
    </w:p>
    <w:p w14:paraId="3F1E1036" w14:textId="77777777" w:rsidR="00572A3A" w:rsidRDefault="00572A3A" w:rsidP="00CA7812">
      <w:pPr>
        <w:ind w:left="720"/>
        <w:jc w:val="both"/>
      </w:pPr>
    </w:p>
    <w:p w14:paraId="7F60B6F6" w14:textId="77777777" w:rsidR="00572A3A" w:rsidRDefault="00572A3A" w:rsidP="00044236">
      <w:pPr>
        <w:spacing w:after="120"/>
        <w:ind w:left="720"/>
        <w:jc w:val="both"/>
        <w:rPr>
          <w:sz w:val="20"/>
          <w:szCs w:val="20"/>
        </w:rPr>
      </w:pPr>
      <w:r>
        <w:rPr>
          <w:b/>
          <w:sz w:val="20"/>
          <w:szCs w:val="20"/>
        </w:rPr>
        <w:t xml:space="preserve">Table 5.16 </w:t>
      </w:r>
      <w:r>
        <w:rPr>
          <w:sz w:val="20"/>
          <w:szCs w:val="20"/>
        </w:rPr>
        <w:t>Inland waterway regression results*</w:t>
      </w:r>
    </w:p>
    <w:tbl>
      <w:tblPr>
        <w:tblStyle w:val="TableGrid"/>
        <w:tblW w:w="0" w:type="auto"/>
        <w:tblInd w:w="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3"/>
        <w:gridCol w:w="3663"/>
      </w:tblGrid>
      <w:tr w:rsidR="00572A3A" w:rsidRPr="00B03E3F" w14:paraId="0BED4E3E" w14:textId="77777777" w:rsidTr="00572A3A">
        <w:trPr>
          <w:trHeight w:val="486"/>
        </w:trPr>
        <w:tc>
          <w:tcPr>
            <w:tcW w:w="3773" w:type="dxa"/>
            <w:tcBorders>
              <w:top w:val="single" w:sz="18" w:space="0" w:color="auto"/>
              <w:bottom w:val="single" w:sz="18" w:space="0" w:color="auto"/>
            </w:tcBorders>
            <w:vAlign w:val="center"/>
          </w:tcPr>
          <w:p w14:paraId="3C580948" w14:textId="77777777" w:rsidR="00572A3A" w:rsidRPr="00B03E3F" w:rsidRDefault="00572A3A" w:rsidP="00572A3A">
            <w:pPr>
              <w:rPr>
                <w:sz w:val="20"/>
                <w:szCs w:val="20"/>
              </w:rPr>
            </w:pPr>
            <w:r w:rsidRPr="00B03E3F">
              <w:rPr>
                <w:sz w:val="20"/>
                <w:szCs w:val="20"/>
              </w:rPr>
              <w:t>Regre</w:t>
            </w:r>
            <w:r>
              <w:rPr>
                <w:sz w:val="20"/>
                <w:szCs w:val="20"/>
              </w:rPr>
              <w:t>s</w:t>
            </w:r>
            <w:r w:rsidRPr="00B03E3F">
              <w:rPr>
                <w:sz w:val="20"/>
                <w:szCs w:val="20"/>
              </w:rPr>
              <w:t>sor</w:t>
            </w:r>
          </w:p>
        </w:tc>
        <w:tc>
          <w:tcPr>
            <w:tcW w:w="3663" w:type="dxa"/>
            <w:tcBorders>
              <w:top w:val="single" w:sz="18" w:space="0" w:color="auto"/>
              <w:bottom w:val="single" w:sz="18" w:space="0" w:color="auto"/>
            </w:tcBorders>
            <w:vAlign w:val="center"/>
          </w:tcPr>
          <w:p w14:paraId="1868EA32" w14:textId="77777777" w:rsidR="00572A3A" w:rsidRPr="00B03E3F" w:rsidRDefault="00572A3A" w:rsidP="00572A3A">
            <w:pPr>
              <w:rPr>
                <w:sz w:val="20"/>
                <w:szCs w:val="20"/>
              </w:rPr>
            </w:pPr>
            <w:r>
              <w:rPr>
                <w:sz w:val="20"/>
                <w:szCs w:val="20"/>
              </w:rPr>
              <w:t xml:space="preserve">Coefficient Estimate </w:t>
            </w:r>
            <w:r w:rsidRPr="00B03E3F">
              <w:rPr>
                <w:sz w:val="20"/>
                <w:szCs w:val="20"/>
              </w:rPr>
              <w:t>(</w:t>
            </w:r>
            <w:r w:rsidRPr="00B03E3F">
              <w:rPr>
                <w:i/>
                <w:sz w:val="20"/>
                <w:szCs w:val="20"/>
              </w:rPr>
              <w:t>t</w:t>
            </w:r>
            <w:r w:rsidRPr="00B03E3F">
              <w:rPr>
                <w:sz w:val="20"/>
                <w:szCs w:val="20"/>
              </w:rPr>
              <w:t>-</w:t>
            </w:r>
            <w:r>
              <w:rPr>
                <w:sz w:val="20"/>
                <w:szCs w:val="20"/>
              </w:rPr>
              <w:t>statistics</w:t>
            </w:r>
            <w:r w:rsidRPr="00B03E3F">
              <w:rPr>
                <w:sz w:val="20"/>
                <w:szCs w:val="20"/>
              </w:rPr>
              <w:t>)</w:t>
            </w:r>
          </w:p>
        </w:tc>
      </w:tr>
      <w:tr w:rsidR="00572A3A" w:rsidRPr="00B03E3F" w14:paraId="352695C9" w14:textId="77777777" w:rsidTr="00572A3A">
        <w:tc>
          <w:tcPr>
            <w:tcW w:w="3773" w:type="dxa"/>
            <w:tcBorders>
              <w:top w:val="single" w:sz="18" w:space="0" w:color="auto"/>
            </w:tcBorders>
          </w:tcPr>
          <w:p w14:paraId="29DF5E57" w14:textId="77777777" w:rsidR="00572A3A" w:rsidRPr="00B03E3F" w:rsidRDefault="00572A3A" w:rsidP="00572A3A">
            <w:pPr>
              <w:rPr>
                <w:sz w:val="20"/>
                <w:szCs w:val="20"/>
              </w:rPr>
            </w:pPr>
            <w:r>
              <w:rPr>
                <w:sz w:val="20"/>
                <w:szCs w:val="20"/>
              </w:rPr>
              <w:t>Constant term</w:t>
            </w:r>
          </w:p>
        </w:tc>
        <w:tc>
          <w:tcPr>
            <w:tcW w:w="3663" w:type="dxa"/>
            <w:tcBorders>
              <w:top w:val="single" w:sz="18" w:space="0" w:color="auto"/>
            </w:tcBorders>
          </w:tcPr>
          <w:p w14:paraId="793303D2" w14:textId="77777777" w:rsidR="00572A3A" w:rsidRPr="00B03E3F" w:rsidRDefault="00572A3A" w:rsidP="00572A3A">
            <w:pPr>
              <w:rPr>
                <w:sz w:val="20"/>
                <w:szCs w:val="20"/>
              </w:rPr>
            </w:pPr>
            <w:r>
              <w:rPr>
                <w:sz w:val="20"/>
                <w:szCs w:val="20"/>
              </w:rPr>
              <w:t>–0.200</w:t>
            </w:r>
          </w:p>
        </w:tc>
      </w:tr>
      <w:tr w:rsidR="00572A3A" w:rsidRPr="00B03E3F" w14:paraId="303333FC" w14:textId="77777777" w:rsidTr="00572A3A">
        <w:tc>
          <w:tcPr>
            <w:tcW w:w="3773" w:type="dxa"/>
          </w:tcPr>
          <w:p w14:paraId="244D1BA9" w14:textId="77777777" w:rsidR="00572A3A" w:rsidRPr="00B03E3F" w:rsidRDefault="00572A3A" w:rsidP="00572A3A">
            <w:pPr>
              <w:rPr>
                <w:sz w:val="20"/>
                <w:szCs w:val="20"/>
              </w:rPr>
            </w:pPr>
            <w:r>
              <w:rPr>
                <w:sz w:val="20"/>
                <w:szCs w:val="20"/>
              </w:rPr>
              <w:t>Equivalent Barge Miles (EBM)</w:t>
            </w:r>
          </w:p>
        </w:tc>
        <w:tc>
          <w:tcPr>
            <w:tcW w:w="3663" w:type="dxa"/>
          </w:tcPr>
          <w:p w14:paraId="3D2ADB7E" w14:textId="77777777" w:rsidR="00572A3A" w:rsidRPr="00B03E3F" w:rsidRDefault="00572A3A" w:rsidP="00572A3A">
            <w:pPr>
              <w:rPr>
                <w:sz w:val="20"/>
                <w:szCs w:val="20"/>
              </w:rPr>
            </w:pPr>
            <w:r>
              <w:rPr>
                <w:sz w:val="20"/>
                <w:szCs w:val="20"/>
              </w:rPr>
              <w:t>–0.615 (–11.0)</w:t>
            </w:r>
          </w:p>
        </w:tc>
      </w:tr>
      <w:tr w:rsidR="00572A3A" w:rsidRPr="00B03E3F" w14:paraId="50D8BB6E" w14:textId="77777777" w:rsidTr="00572A3A">
        <w:tc>
          <w:tcPr>
            <w:tcW w:w="3773" w:type="dxa"/>
          </w:tcPr>
          <w:p w14:paraId="375E21C4" w14:textId="77777777" w:rsidR="00572A3A" w:rsidRPr="00B03E3F" w:rsidRDefault="00FC0BE6" w:rsidP="00572A3A">
            <w:pPr>
              <w:rPr>
                <w:sz w:val="20"/>
                <w:szCs w:val="20"/>
              </w:rPr>
            </w:pPr>
            <w:r>
              <w:rPr>
                <w:sz w:val="20"/>
                <w:szCs w:val="20"/>
              </w:rPr>
              <w:t>Number of Towboats</w:t>
            </w:r>
          </w:p>
        </w:tc>
        <w:tc>
          <w:tcPr>
            <w:tcW w:w="3663" w:type="dxa"/>
          </w:tcPr>
          <w:p w14:paraId="3142202A" w14:textId="77777777" w:rsidR="00572A3A" w:rsidRPr="00B03E3F" w:rsidRDefault="00572A3A" w:rsidP="00572A3A">
            <w:pPr>
              <w:rPr>
                <w:sz w:val="20"/>
                <w:szCs w:val="20"/>
              </w:rPr>
            </w:pPr>
            <w:r>
              <w:rPr>
                <w:sz w:val="20"/>
                <w:szCs w:val="20"/>
              </w:rPr>
              <w:t>–0.074 (–1.3)</w:t>
            </w:r>
          </w:p>
        </w:tc>
      </w:tr>
      <w:tr w:rsidR="00572A3A" w:rsidRPr="00B03E3F" w14:paraId="3A8B32EF" w14:textId="77777777" w:rsidTr="00572A3A">
        <w:tc>
          <w:tcPr>
            <w:tcW w:w="3773" w:type="dxa"/>
          </w:tcPr>
          <w:p w14:paraId="259B5270" w14:textId="77777777" w:rsidR="00572A3A" w:rsidRPr="00B03E3F" w:rsidRDefault="00FC0BE6" w:rsidP="00572A3A">
            <w:pPr>
              <w:rPr>
                <w:sz w:val="20"/>
                <w:szCs w:val="20"/>
              </w:rPr>
            </w:pPr>
            <w:r>
              <w:rPr>
                <w:sz w:val="20"/>
                <w:szCs w:val="20"/>
              </w:rPr>
              <w:t>Time Trend</w:t>
            </w:r>
          </w:p>
        </w:tc>
        <w:tc>
          <w:tcPr>
            <w:tcW w:w="3663" w:type="dxa"/>
          </w:tcPr>
          <w:p w14:paraId="52B6669B" w14:textId="77777777" w:rsidR="00572A3A" w:rsidRPr="00B03E3F" w:rsidRDefault="00572A3A" w:rsidP="00572A3A">
            <w:pPr>
              <w:rPr>
                <w:sz w:val="20"/>
                <w:szCs w:val="20"/>
              </w:rPr>
            </w:pPr>
            <w:r>
              <w:rPr>
                <w:sz w:val="20"/>
                <w:szCs w:val="20"/>
              </w:rPr>
              <w:t>0.030 (0.88)</w:t>
            </w:r>
          </w:p>
        </w:tc>
      </w:tr>
      <w:tr w:rsidR="00572A3A" w:rsidRPr="00B03E3F" w14:paraId="728D054D" w14:textId="77777777" w:rsidTr="00572A3A">
        <w:tc>
          <w:tcPr>
            <w:tcW w:w="3773" w:type="dxa"/>
            <w:tcBorders>
              <w:bottom w:val="single" w:sz="18" w:space="0" w:color="auto"/>
            </w:tcBorders>
          </w:tcPr>
          <w:p w14:paraId="092DC083" w14:textId="77777777" w:rsidR="00572A3A" w:rsidRDefault="00572A3A" w:rsidP="00572A3A">
            <w:pPr>
              <w:rPr>
                <w:i/>
                <w:sz w:val="20"/>
                <w:szCs w:val="20"/>
              </w:rPr>
            </w:pPr>
          </w:p>
          <w:p w14:paraId="3B3F1238" w14:textId="77777777" w:rsidR="00572A3A" w:rsidRDefault="00572A3A" w:rsidP="00572A3A">
            <w:pPr>
              <w:rPr>
                <w:i/>
                <w:sz w:val="20"/>
                <w:szCs w:val="20"/>
              </w:rPr>
            </w:pPr>
            <w:r w:rsidRPr="00B03E3F">
              <w:rPr>
                <w:i/>
                <w:sz w:val="20"/>
                <w:szCs w:val="20"/>
              </w:rPr>
              <w:t>R</w:t>
            </w:r>
            <w:r w:rsidRPr="00B03E3F">
              <w:rPr>
                <w:sz w:val="20"/>
                <w:szCs w:val="20"/>
                <w:vertAlign w:val="superscript"/>
              </w:rPr>
              <w:t>2</w:t>
            </w:r>
            <w:r w:rsidR="00FC0BE6">
              <w:rPr>
                <w:sz w:val="20"/>
                <w:szCs w:val="20"/>
              </w:rPr>
              <w:t xml:space="preserve"> = 0.</w:t>
            </w:r>
            <w:r>
              <w:rPr>
                <w:sz w:val="20"/>
                <w:szCs w:val="20"/>
              </w:rPr>
              <w:t>865</w:t>
            </w:r>
          </w:p>
          <w:p w14:paraId="7DAAC3C2" w14:textId="77777777" w:rsidR="00572A3A" w:rsidRPr="00B03E3F" w:rsidRDefault="00FC0BE6" w:rsidP="00FC0BE6">
            <w:pPr>
              <w:rPr>
                <w:sz w:val="20"/>
                <w:szCs w:val="20"/>
              </w:rPr>
            </w:pPr>
            <w:r>
              <w:rPr>
                <w:sz w:val="20"/>
                <w:szCs w:val="20"/>
              </w:rPr>
              <w:t xml:space="preserve">Number of observations </w:t>
            </w:r>
            <w:r w:rsidR="00572A3A">
              <w:rPr>
                <w:sz w:val="20"/>
                <w:szCs w:val="20"/>
              </w:rPr>
              <w:t>= 83</w:t>
            </w:r>
          </w:p>
        </w:tc>
        <w:tc>
          <w:tcPr>
            <w:tcW w:w="3663" w:type="dxa"/>
            <w:tcBorders>
              <w:bottom w:val="single" w:sz="18" w:space="0" w:color="auto"/>
            </w:tcBorders>
          </w:tcPr>
          <w:p w14:paraId="1B24EC61" w14:textId="77777777" w:rsidR="00572A3A" w:rsidRPr="00B03E3F" w:rsidRDefault="00572A3A" w:rsidP="00572A3A">
            <w:pPr>
              <w:rPr>
                <w:sz w:val="20"/>
                <w:szCs w:val="20"/>
              </w:rPr>
            </w:pPr>
          </w:p>
        </w:tc>
      </w:tr>
    </w:tbl>
    <w:p w14:paraId="2711406D" w14:textId="5B662497" w:rsidR="00572A3A" w:rsidRDefault="00FC0BE6" w:rsidP="00044236">
      <w:pPr>
        <w:spacing w:before="120"/>
        <w:ind w:left="720"/>
        <w:jc w:val="both"/>
        <w:rPr>
          <w:sz w:val="20"/>
          <w:szCs w:val="20"/>
        </w:rPr>
      </w:pPr>
      <w:r>
        <w:rPr>
          <w:sz w:val="20"/>
          <w:szCs w:val="20"/>
        </w:rPr>
        <w:t xml:space="preserve">* The estimated model also included three </w:t>
      </w:r>
      <w:r w:rsidR="00044236">
        <w:rPr>
          <w:sz w:val="20"/>
          <w:szCs w:val="20"/>
        </w:rPr>
        <w:t>seasonal</w:t>
      </w:r>
      <w:r>
        <w:rPr>
          <w:sz w:val="20"/>
          <w:szCs w:val="20"/>
        </w:rPr>
        <w:t xml:space="preserve"> variables for the first, second, and third quarters, as well as four dummy variables for firms 1, 2, 3, and 4. The constant term reflects the fourth quarter and firm 5. A </w:t>
      </w:r>
      <w:r>
        <w:rPr>
          <w:i/>
          <w:sz w:val="20"/>
          <w:szCs w:val="20"/>
        </w:rPr>
        <w:t>t</w:t>
      </w:r>
      <w:r>
        <w:rPr>
          <w:sz w:val="20"/>
          <w:szCs w:val="20"/>
        </w:rPr>
        <w:t>-statistic was not reported for the constant term.</w:t>
      </w:r>
    </w:p>
    <w:p w14:paraId="5BE16D56" w14:textId="77777777" w:rsidR="00FC0BE6" w:rsidRPr="00FC0BE6" w:rsidRDefault="00FC0BE6" w:rsidP="00FC0BE6">
      <w:pPr>
        <w:ind w:left="720"/>
        <w:jc w:val="both"/>
        <w:rPr>
          <w:sz w:val="20"/>
          <w:szCs w:val="20"/>
        </w:rPr>
      </w:pPr>
      <w:r>
        <w:rPr>
          <w:i/>
          <w:sz w:val="20"/>
          <w:szCs w:val="20"/>
        </w:rPr>
        <w:t>Source</w:t>
      </w:r>
      <w:r>
        <w:rPr>
          <w:sz w:val="20"/>
          <w:szCs w:val="20"/>
        </w:rPr>
        <w:t>: Case and Lave (1970), table III, p. 188</w:t>
      </w:r>
    </w:p>
    <w:p w14:paraId="722C70FA" w14:textId="77777777" w:rsidR="00CA7812" w:rsidRPr="00FC0BE6" w:rsidRDefault="00CA7812" w:rsidP="00CA7812">
      <w:pPr>
        <w:jc w:val="both"/>
        <w:rPr>
          <w:sz w:val="20"/>
          <w:szCs w:val="20"/>
        </w:rPr>
      </w:pPr>
    </w:p>
    <w:p w14:paraId="2DF726E0" w14:textId="77777777" w:rsidR="00CA7812" w:rsidRDefault="00FC0BE6" w:rsidP="00FC0BE6">
      <w:pPr>
        <w:pStyle w:val="ListParagraph"/>
        <w:numPr>
          <w:ilvl w:val="1"/>
          <w:numId w:val="2"/>
        </w:numPr>
        <w:jc w:val="both"/>
      </w:pPr>
      <w:r>
        <w:t>Based upon the reported results, do inland waterway companies operate under increasing, decreasing, or constant returns to scale?</w:t>
      </w:r>
    </w:p>
    <w:p w14:paraId="7D9B232F" w14:textId="77777777" w:rsidR="00FC0BE6" w:rsidRDefault="00FC0BE6" w:rsidP="00FC0BE6">
      <w:pPr>
        <w:pStyle w:val="ListParagraph"/>
        <w:numPr>
          <w:ilvl w:val="1"/>
          <w:numId w:val="2"/>
        </w:numPr>
        <w:jc w:val="both"/>
      </w:pPr>
      <w:r>
        <w:t>The authors argue that the measure of firm size, Number of Towboats, should have a negative effect upon long-run average costs. What’s the economic intuition behind this hypothesis, and do the reported results support this?</w:t>
      </w:r>
    </w:p>
    <w:sectPr w:rsidR="00FC0BE6" w:rsidSect="00DB6D0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CE">
    <w:panose1 w:val="020B0600040502020204"/>
    <w:charset w:val="58"/>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4952"/>
    <w:multiLevelType w:val="hybridMultilevel"/>
    <w:tmpl w:val="18C247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B5F08"/>
    <w:multiLevelType w:val="hybridMultilevel"/>
    <w:tmpl w:val="DF88F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0C39A6"/>
    <w:multiLevelType w:val="hybridMultilevel"/>
    <w:tmpl w:val="C85C0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CB4211"/>
    <w:multiLevelType w:val="hybridMultilevel"/>
    <w:tmpl w:val="98965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D986A3D"/>
    <w:multiLevelType w:val="hybridMultilevel"/>
    <w:tmpl w:val="00A6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411B88"/>
    <w:multiLevelType w:val="hybridMultilevel"/>
    <w:tmpl w:val="E91ED04A"/>
    <w:lvl w:ilvl="0" w:tplc="F176CFF4">
      <w:start w:val="1"/>
      <w:numFmt w:val="decimal"/>
      <w:pStyle w:val="Tabulka-nadpi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FA6F2D"/>
    <w:multiLevelType w:val="hybridMultilevel"/>
    <w:tmpl w:val="A08C8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AEF126A"/>
    <w:multiLevelType w:val="hybridMultilevel"/>
    <w:tmpl w:val="4604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C5F"/>
    <w:rsid w:val="00044236"/>
    <w:rsid w:val="00115BA4"/>
    <w:rsid w:val="001B05EF"/>
    <w:rsid w:val="001D7C32"/>
    <w:rsid w:val="002E2776"/>
    <w:rsid w:val="002F442E"/>
    <w:rsid w:val="003427D1"/>
    <w:rsid w:val="003726EB"/>
    <w:rsid w:val="0040435A"/>
    <w:rsid w:val="00425B38"/>
    <w:rsid w:val="004274B3"/>
    <w:rsid w:val="00566C35"/>
    <w:rsid w:val="00572A3A"/>
    <w:rsid w:val="005D5ECB"/>
    <w:rsid w:val="00601A72"/>
    <w:rsid w:val="00605698"/>
    <w:rsid w:val="0061566D"/>
    <w:rsid w:val="006E3DFF"/>
    <w:rsid w:val="00754352"/>
    <w:rsid w:val="00844C47"/>
    <w:rsid w:val="008933D0"/>
    <w:rsid w:val="00910AC6"/>
    <w:rsid w:val="00A17565"/>
    <w:rsid w:val="00A17C5F"/>
    <w:rsid w:val="00C250E1"/>
    <w:rsid w:val="00C83C22"/>
    <w:rsid w:val="00CA7812"/>
    <w:rsid w:val="00D31ECD"/>
    <w:rsid w:val="00D91477"/>
    <w:rsid w:val="00DB6D0E"/>
    <w:rsid w:val="00DC1DF7"/>
    <w:rsid w:val="00DE36C3"/>
    <w:rsid w:val="00EA11F0"/>
    <w:rsid w:val="00FC0BE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1D78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10A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910A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A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stavec">
    <w:name w:val="Odstavec"/>
    <w:basedOn w:val="Normal"/>
    <w:qFormat/>
    <w:rsid w:val="00910AC6"/>
    <w:pPr>
      <w:spacing w:before="120" w:line="360" w:lineRule="auto"/>
      <w:jc w:val="both"/>
    </w:pPr>
    <w:rPr>
      <w:rFonts w:ascii="Times New Roman" w:hAnsi="Times New Roman"/>
    </w:rPr>
  </w:style>
  <w:style w:type="paragraph" w:customStyle="1" w:styleId="Nadpis1">
    <w:name w:val="Nadpis 1"/>
    <w:basedOn w:val="Heading1"/>
    <w:next w:val="Odstavec"/>
    <w:qFormat/>
    <w:rsid w:val="00910AC6"/>
    <w:pPr>
      <w:pageBreakBefore/>
      <w:spacing w:before="240"/>
    </w:pPr>
    <w:rPr>
      <w:rFonts w:ascii="Times New Roman" w:hAnsi="Times New Roman"/>
      <w:caps/>
      <w:color w:val="auto"/>
    </w:rPr>
  </w:style>
  <w:style w:type="character" w:customStyle="1" w:styleId="Heading1Char">
    <w:name w:val="Heading 1 Char"/>
    <w:basedOn w:val="DefaultParagraphFont"/>
    <w:link w:val="Heading1"/>
    <w:uiPriority w:val="9"/>
    <w:rsid w:val="00910AC6"/>
    <w:rPr>
      <w:rFonts w:asciiTheme="majorHAnsi" w:eastAsiaTheme="majorEastAsia" w:hAnsiTheme="majorHAnsi" w:cstheme="majorBidi"/>
      <w:b/>
      <w:bCs/>
      <w:color w:val="345A8A" w:themeColor="accent1" w:themeShade="B5"/>
      <w:sz w:val="32"/>
      <w:szCs w:val="32"/>
    </w:rPr>
  </w:style>
  <w:style w:type="paragraph" w:customStyle="1" w:styleId="Nadpis2">
    <w:name w:val="Nadpis 2"/>
    <w:basedOn w:val="Heading2"/>
    <w:next w:val="Odstavec"/>
    <w:qFormat/>
    <w:rsid w:val="00910AC6"/>
    <w:rPr>
      <w:rFonts w:ascii="Times New Roman" w:hAnsi="Times New Roman"/>
      <w:color w:val="auto"/>
      <w:sz w:val="28"/>
    </w:rPr>
  </w:style>
  <w:style w:type="character" w:customStyle="1" w:styleId="Heading2Char">
    <w:name w:val="Heading 2 Char"/>
    <w:basedOn w:val="DefaultParagraphFont"/>
    <w:link w:val="Heading2"/>
    <w:uiPriority w:val="9"/>
    <w:semiHidden/>
    <w:rsid w:val="00910AC6"/>
    <w:rPr>
      <w:rFonts w:asciiTheme="majorHAnsi" w:eastAsiaTheme="majorEastAsia" w:hAnsiTheme="majorHAnsi" w:cstheme="majorBidi"/>
      <w:b/>
      <w:bCs/>
      <w:color w:val="4F81BD" w:themeColor="accent1"/>
      <w:sz w:val="26"/>
      <w:szCs w:val="26"/>
    </w:rPr>
  </w:style>
  <w:style w:type="paragraph" w:customStyle="1" w:styleId="Nadpis3">
    <w:name w:val="Nadpis 3"/>
    <w:basedOn w:val="Heading3"/>
    <w:qFormat/>
    <w:rsid w:val="00910AC6"/>
    <w:rPr>
      <w:rFonts w:ascii="Times New Roman" w:hAnsi="Times New Roman"/>
      <w:color w:val="auto"/>
    </w:rPr>
  </w:style>
  <w:style w:type="character" w:customStyle="1" w:styleId="Heading3Char">
    <w:name w:val="Heading 3 Char"/>
    <w:basedOn w:val="DefaultParagraphFont"/>
    <w:link w:val="Heading3"/>
    <w:uiPriority w:val="9"/>
    <w:semiHidden/>
    <w:rsid w:val="00910AC6"/>
    <w:rPr>
      <w:rFonts w:asciiTheme="majorHAnsi" w:eastAsiaTheme="majorEastAsia" w:hAnsiTheme="majorHAnsi" w:cstheme="majorBidi"/>
      <w:b/>
      <w:bCs/>
      <w:color w:val="4F81BD" w:themeColor="accent1"/>
    </w:rPr>
  </w:style>
  <w:style w:type="paragraph" w:customStyle="1" w:styleId="Tabulka-nadpis">
    <w:name w:val="Tabulka-nadpis"/>
    <w:basedOn w:val="Normal"/>
    <w:qFormat/>
    <w:rsid w:val="00910AC6"/>
    <w:pPr>
      <w:numPr>
        <w:numId w:val="1"/>
      </w:numPr>
    </w:pPr>
    <w:rPr>
      <w:rFonts w:ascii="Times New Roman" w:hAnsi="Times New Roman"/>
      <w:b/>
    </w:rPr>
  </w:style>
  <w:style w:type="paragraph" w:customStyle="1" w:styleId="Tabulkapopis">
    <w:name w:val="Tabulka popis"/>
    <w:basedOn w:val="Normal"/>
    <w:qFormat/>
    <w:rsid w:val="00910AC6"/>
    <w:rPr>
      <w:rFonts w:ascii="Times New Roman" w:hAnsi="Times New Roman"/>
      <w:i/>
      <w:sz w:val="20"/>
    </w:rPr>
  </w:style>
  <w:style w:type="paragraph" w:customStyle="1" w:styleId="Tabulkatext">
    <w:name w:val="Tabulka text"/>
    <w:basedOn w:val="Normal"/>
    <w:qFormat/>
    <w:rsid w:val="00910AC6"/>
    <w:rPr>
      <w:rFonts w:ascii="Arial" w:hAnsi="Arial"/>
      <w:sz w:val="20"/>
    </w:rPr>
  </w:style>
  <w:style w:type="paragraph" w:customStyle="1" w:styleId="Grafnadpis">
    <w:name w:val="Graf nadpis"/>
    <w:basedOn w:val="Tabulka-nadpis"/>
    <w:qFormat/>
    <w:rsid w:val="00910AC6"/>
    <w:pPr>
      <w:numPr>
        <w:numId w:val="0"/>
      </w:numPr>
      <w:ind w:left="432" w:hanging="432"/>
    </w:pPr>
  </w:style>
  <w:style w:type="paragraph" w:customStyle="1" w:styleId="Grafpopis">
    <w:name w:val="Graf popis"/>
    <w:basedOn w:val="Tabulkapopis"/>
    <w:qFormat/>
    <w:rsid w:val="00910AC6"/>
    <w:pPr>
      <w:ind w:left="432" w:hanging="432"/>
    </w:pPr>
  </w:style>
  <w:style w:type="paragraph" w:customStyle="1" w:styleId="Obsah">
    <w:name w:val="Obsah"/>
    <w:basedOn w:val="Normal"/>
    <w:qFormat/>
    <w:rsid w:val="00910AC6"/>
    <w:pPr>
      <w:keepNext/>
      <w:keepLines/>
      <w:pageBreakBefore/>
      <w:tabs>
        <w:tab w:val="left" w:pos="5387"/>
      </w:tabs>
      <w:spacing w:before="60" w:line="100" w:lineRule="atLeast"/>
      <w:outlineLvl w:val="0"/>
    </w:pPr>
    <w:rPr>
      <w:rFonts w:ascii="Times New Roman" w:eastAsiaTheme="majorEastAsia" w:hAnsi="Times New Roman" w:cstheme="majorBidi"/>
      <w:b/>
      <w:bCs/>
      <w:caps/>
      <w:spacing w:val="24"/>
      <w:sz w:val="32"/>
      <w:szCs w:val="32"/>
    </w:rPr>
  </w:style>
  <w:style w:type="paragraph" w:styleId="ListParagraph">
    <w:name w:val="List Paragraph"/>
    <w:basedOn w:val="Normal"/>
    <w:uiPriority w:val="34"/>
    <w:qFormat/>
    <w:rsid w:val="00A17C5F"/>
    <w:pPr>
      <w:ind w:left="720"/>
      <w:contextualSpacing/>
    </w:pPr>
  </w:style>
  <w:style w:type="paragraph" w:styleId="BalloonText">
    <w:name w:val="Balloon Text"/>
    <w:basedOn w:val="Normal"/>
    <w:link w:val="BalloonTextChar"/>
    <w:uiPriority w:val="99"/>
    <w:semiHidden/>
    <w:unhideWhenUsed/>
    <w:rsid w:val="00A17C5F"/>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A17C5F"/>
    <w:rPr>
      <w:rFonts w:ascii="Lucida Grande CE" w:hAnsi="Lucida Grande CE" w:cs="Lucida Grande CE"/>
      <w:sz w:val="18"/>
      <w:szCs w:val="18"/>
    </w:rPr>
  </w:style>
  <w:style w:type="table" w:styleId="TableGrid">
    <w:name w:val="Table Grid"/>
    <w:basedOn w:val="TableNormal"/>
    <w:uiPriority w:val="59"/>
    <w:rsid w:val="007543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15BA4"/>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10A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910A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A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stavec">
    <w:name w:val="Odstavec"/>
    <w:basedOn w:val="Normal"/>
    <w:qFormat/>
    <w:rsid w:val="00910AC6"/>
    <w:pPr>
      <w:spacing w:before="120" w:line="360" w:lineRule="auto"/>
      <w:jc w:val="both"/>
    </w:pPr>
    <w:rPr>
      <w:rFonts w:ascii="Times New Roman" w:hAnsi="Times New Roman"/>
    </w:rPr>
  </w:style>
  <w:style w:type="paragraph" w:customStyle="1" w:styleId="Nadpis1">
    <w:name w:val="Nadpis 1"/>
    <w:basedOn w:val="Heading1"/>
    <w:next w:val="Odstavec"/>
    <w:qFormat/>
    <w:rsid w:val="00910AC6"/>
    <w:pPr>
      <w:pageBreakBefore/>
      <w:spacing w:before="240"/>
    </w:pPr>
    <w:rPr>
      <w:rFonts w:ascii="Times New Roman" w:hAnsi="Times New Roman"/>
      <w:caps/>
      <w:color w:val="auto"/>
    </w:rPr>
  </w:style>
  <w:style w:type="character" w:customStyle="1" w:styleId="Heading1Char">
    <w:name w:val="Heading 1 Char"/>
    <w:basedOn w:val="DefaultParagraphFont"/>
    <w:link w:val="Heading1"/>
    <w:uiPriority w:val="9"/>
    <w:rsid w:val="00910AC6"/>
    <w:rPr>
      <w:rFonts w:asciiTheme="majorHAnsi" w:eastAsiaTheme="majorEastAsia" w:hAnsiTheme="majorHAnsi" w:cstheme="majorBidi"/>
      <w:b/>
      <w:bCs/>
      <w:color w:val="345A8A" w:themeColor="accent1" w:themeShade="B5"/>
      <w:sz w:val="32"/>
      <w:szCs w:val="32"/>
    </w:rPr>
  </w:style>
  <w:style w:type="paragraph" w:customStyle="1" w:styleId="Nadpis2">
    <w:name w:val="Nadpis 2"/>
    <w:basedOn w:val="Heading2"/>
    <w:next w:val="Odstavec"/>
    <w:qFormat/>
    <w:rsid w:val="00910AC6"/>
    <w:rPr>
      <w:rFonts w:ascii="Times New Roman" w:hAnsi="Times New Roman"/>
      <w:color w:val="auto"/>
      <w:sz w:val="28"/>
    </w:rPr>
  </w:style>
  <w:style w:type="character" w:customStyle="1" w:styleId="Heading2Char">
    <w:name w:val="Heading 2 Char"/>
    <w:basedOn w:val="DefaultParagraphFont"/>
    <w:link w:val="Heading2"/>
    <w:uiPriority w:val="9"/>
    <w:semiHidden/>
    <w:rsid w:val="00910AC6"/>
    <w:rPr>
      <w:rFonts w:asciiTheme="majorHAnsi" w:eastAsiaTheme="majorEastAsia" w:hAnsiTheme="majorHAnsi" w:cstheme="majorBidi"/>
      <w:b/>
      <w:bCs/>
      <w:color w:val="4F81BD" w:themeColor="accent1"/>
      <w:sz w:val="26"/>
      <w:szCs w:val="26"/>
    </w:rPr>
  </w:style>
  <w:style w:type="paragraph" w:customStyle="1" w:styleId="Nadpis3">
    <w:name w:val="Nadpis 3"/>
    <w:basedOn w:val="Heading3"/>
    <w:qFormat/>
    <w:rsid w:val="00910AC6"/>
    <w:rPr>
      <w:rFonts w:ascii="Times New Roman" w:hAnsi="Times New Roman"/>
      <w:color w:val="auto"/>
    </w:rPr>
  </w:style>
  <w:style w:type="character" w:customStyle="1" w:styleId="Heading3Char">
    <w:name w:val="Heading 3 Char"/>
    <w:basedOn w:val="DefaultParagraphFont"/>
    <w:link w:val="Heading3"/>
    <w:uiPriority w:val="9"/>
    <w:semiHidden/>
    <w:rsid w:val="00910AC6"/>
    <w:rPr>
      <w:rFonts w:asciiTheme="majorHAnsi" w:eastAsiaTheme="majorEastAsia" w:hAnsiTheme="majorHAnsi" w:cstheme="majorBidi"/>
      <w:b/>
      <w:bCs/>
      <w:color w:val="4F81BD" w:themeColor="accent1"/>
    </w:rPr>
  </w:style>
  <w:style w:type="paragraph" w:customStyle="1" w:styleId="Tabulka-nadpis">
    <w:name w:val="Tabulka-nadpis"/>
    <w:basedOn w:val="Normal"/>
    <w:qFormat/>
    <w:rsid w:val="00910AC6"/>
    <w:pPr>
      <w:numPr>
        <w:numId w:val="1"/>
      </w:numPr>
    </w:pPr>
    <w:rPr>
      <w:rFonts w:ascii="Times New Roman" w:hAnsi="Times New Roman"/>
      <w:b/>
    </w:rPr>
  </w:style>
  <w:style w:type="paragraph" w:customStyle="1" w:styleId="Tabulkapopis">
    <w:name w:val="Tabulka popis"/>
    <w:basedOn w:val="Normal"/>
    <w:qFormat/>
    <w:rsid w:val="00910AC6"/>
    <w:rPr>
      <w:rFonts w:ascii="Times New Roman" w:hAnsi="Times New Roman"/>
      <w:i/>
      <w:sz w:val="20"/>
    </w:rPr>
  </w:style>
  <w:style w:type="paragraph" w:customStyle="1" w:styleId="Tabulkatext">
    <w:name w:val="Tabulka text"/>
    <w:basedOn w:val="Normal"/>
    <w:qFormat/>
    <w:rsid w:val="00910AC6"/>
    <w:rPr>
      <w:rFonts w:ascii="Arial" w:hAnsi="Arial"/>
      <w:sz w:val="20"/>
    </w:rPr>
  </w:style>
  <w:style w:type="paragraph" w:customStyle="1" w:styleId="Grafnadpis">
    <w:name w:val="Graf nadpis"/>
    <w:basedOn w:val="Tabulka-nadpis"/>
    <w:qFormat/>
    <w:rsid w:val="00910AC6"/>
    <w:pPr>
      <w:numPr>
        <w:numId w:val="0"/>
      </w:numPr>
      <w:ind w:left="432" w:hanging="432"/>
    </w:pPr>
  </w:style>
  <w:style w:type="paragraph" w:customStyle="1" w:styleId="Grafpopis">
    <w:name w:val="Graf popis"/>
    <w:basedOn w:val="Tabulkapopis"/>
    <w:qFormat/>
    <w:rsid w:val="00910AC6"/>
    <w:pPr>
      <w:ind w:left="432" w:hanging="432"/>
    </w:pPr>
  </w:style>
  <w:style w:type="paragraph" w:customStyle="1" w:styleId="Obsah">
    <w:name w:val="Obsah"/>
    <w:basedOn w:val="Normal"/>
    <w:qFormat/>
    <w:rsid w:val="00910AC6"/>
    <w:pPr>
      <w:keepNext/>
      <w:keepLines/>
      <w:pageBreakBefore/>
      <w:tabs>
        <w:tab w:val="left" w:pos="5387"/>
      </w:tabs>
      <w:spacing w:before="60" w:line="100" w:lineRule="atLeast"/>
      <w:outlineLvl w:val="0"/>
    </w:pPr>
    <w:rPr>
      <w:rFonts w:ascii="Times New Roman" w:eastAsiaTheme="majorEastAsia" w:hAnsi="Times New Roman" w:cstheme="majorBidi"/>
      <w:b/>
      <w:bCs/>
      <w:caps/>
      <w:spacing w:val="24"/>
      <w:sz w:val="32"/>
      <w:szCs w:val="32"/>
    </w:rPr>
  </w:style>
  <w:style w:type="paragraph" w:styleId="ListParagraph">
    <w:name w:val="List Paragraph"/>
    <w:basedOn w:val="Normal"/>
    <w:uiPriority w:val="34"/>
    <w:qFormat/>
    <w:rsid w:val="00A17C5F"/>
    <w:pPr>
      <w:ind w:left="720"/>
      <w:contextualSpacing/>
    </w:pPr>
  </w:style>
  <w:style w:type="paragraph" w:styleId="BalloonText">
    <w:name w:val="Balloon Text"/>
    <w:basedOn w:val="Normal"/>
    <w:link w:val="BalloonTextChar"/>
    <w:uiPriority w:val="99"/>
    <w:semiHidden/>
    <w:unhideWhenUsed/>
    <w:rsid w:val="00A17C5F"/>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A17C5F"/>
    <w:rPr>
      <w:rFonts w:ascii="Lucida Grande CE" w:hAnsi="Lucida Grande CE" w:cs="Lucida Grande CE"/>
      <w:sz w:val="18"/>
      <w:szCs w:val="18"/>
    </w:rPr>
  </w:style>
  <w:style w:type="table" w:styleId="TableGrid">
    <w:name w:val="Table Grid"/>
    <w:basedOn w:val="TableNormal"/>
    <w:uiPriority w:val="59"/>
    <w:rsid w:val="007543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15B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8AD14-3818-EA42-B5CC-AFBD1102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7</Pages>
  <Words>2291</Words>
  <Characters>13064</Characters>
  <Application>Microsoft Macintosh Word</Application>
  <DocSecurity>0</DocSecurity>
  <Lines>108</Lines>
  <Paragraphs>30</Paragraphs>
  <ScaleCrop>false</ScaleCrop>
  <Company/>
  <LinksUpToDate>false</LinksUpToDate>
  <CharactersWithSpaces>15325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Moje maličkost</dc:creator>
  <cp:keywords/>
  <dc:description/>
  <cp:lastModifiedBy>Moje maličkost</cp:lastModifiedBy>
  <cp:revision>17</cp:revision>
  <dcterms:created xsi:type="dcterms:W3CDTF">2015-06-24T18:56:00Z</dcterms:created>
  <dcterms:modified xsi:type="dcterms:W3CDTF">2015-06-24T22:19:00Z</dcterms:modified>
</cp:coreProperties>
</file>