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C29" w:rsidRDefault="00785C29" w:rsidP="00785C29">
      <w:pPr>
        <w:jc w:val="center"/>
      </w:pPr>
      <w:r>
        <w:t>Determinants of Commercial Bank performance in Zimbabwe</w:t>
      </w:r>
    </w:p>
    <w:p w:rsidR="004D0817" w:rsidRPr="00256498" w:rsidRDefault="004D0817" w:rsidP="004D0817">
      <w:pPr>
        <w:jc w:val="center"/>
        <w:rPr>
          <w:b/>
          <w:color w:val="000000"/>
        </w:rPr>
      </w:pPr>
      <w:r>
        <w:rPr>
          <w:b/>
          <w:noProof/>
          <w:color w:val="000000"/>
          <w:lang w:eastAsia="en-GB"/>
        </w:rPr>
        <w:drawing>
          <wp:inline distT="0" distB="0" distL="0" distR="0" wp14:anchorId="32EDEF96" wp14:editId="6D0D0D55">
            <wp:extent cx="1192530" cy="1192530"/>
            <wp:effectExtent l="0" t="0" r="7620" b="7620"/>
            <wp:docPr id="5" name="Picture 5" descr="masaryk university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asaryk university logoty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2530" cy="1192530"/>
                    </a:xfrm>
                    <a:prstGeom prst="rect">
                      <a:avLst/>
                    </a:prstGeom>
                    <a:noFill/>
                    <a:ln>
                      <a:noFill/>
                    </a:ln>
                  </pic:spPr>
                </pic:pic>
              </a:graphicData>
            </a:graphic>
          </wp:inline>
        </w:drawing>
      </w:r>
    </w:p>
    <w:p w:rsidR="004D0817" w:rsidRDefault="004D0817" w:rsidP="004D0817">
      <w:pPr>
        <w:jc w:val="center"/>
      </w:pPr>
      <w:r w:rsidRPr="00985EA6">
        <w:t>OSWELL MAZADZI</w:t>
      </w:r>
      <w:r>
        <w:t>: 443130</w:t>
      </w:r>
    </w:p>
    <w:p w:rsidR="004D0817" w:rsidRDefault="004D0817" w:rsidP="004D0817">
      <w:pPr>
        <w:jc w:val="center"/>
      </w:pPr>
      <w:r>
        <w:t>JOAN.Y. MASEYA</w:t>
      </w:r>
      <w:r w:rsidRPr="00985EA6">
        <w:t>:</w:t>
      </w:r>
      <w:r>
        <w:t xml:space="preserve"> </w:t>
      </w:r>
      <w:r w:rsidRPr="00985EA6">
        <w:t xml:space="preserve"> </w:t>
      </w:r>
      <w:r>
        <w:t>443131</w:t>
      </w:r>
    </w:p>
    <w:p w:rsidR="004D0817" w:rsidRDefault="004D0817" w:rsidP="004D0817">
      <w:pPr>
        <w:jc w:val="center"/>
      </w:pPr>
      <w:r>
        <w:t xml:space="preserve">Essay submitted partial </w:t>
      </w:r>
      <w:r w:rsidRPr="004E0602">
        <w:rPr>
          <w:color w:val="000000"/>
        </w:rPr>
        <w:t>fulfilment</w:t>
      </w:r>
      <w:r w:rsidRPr="006B5EDF">
        <w:rPr>
          <w:color w:val="000000"/>
        </w:rPr>
        <w:t xml:space="preserve"> </w:t>
      </w:r>
      <w:r>
        <w:t xml:space="preserve">of </w:t>
      </w:r>
      <w:r w:rsidRPr="00985EA6">
        <w:t>the requirement</w:t>
      </w:r>
      <w:r>
        <w:t>s</w:t>
      </w:r>
      <w:r w:rsidRPr="00985EA6">
        <w:t xml:space="preserve"> </w:t>
      </w:r>
      <w:r>
        <w:rPr>
          <w:rStyle w:val="predmetkod"/>
          <w:b/>
          <w:bCs/>
        </w:rPr>
        <w:t>MPF_AFIN</w:t>
      </w:r>
      <w:r>
        <w:rPr>
          <w:b/>
          <w:bCs/>
        </w:rPr>
        <w:t xml:space="preserve"> </w:t>
      </w:r>
      <w:r>
        <w:t>Finance (Basics)</w:t>
      </w:r>
    </w:p>
    <w:p w:rsidR="004D0817" w:rsidRDefault="004D0817" w:rsidP="004D0817">
      <w:pPr>
        <w:jc w:val="center"/>
      </w:pPr>
      <w:r w:rsidRPr="00985EA6">
        <w:t xml:space="preserve">FACULTY OF </w:t>
      </w:r>
      <w:r>
        <w:t>ECONOMICS AND ADMINISTRATION</w:t>
      </w:r>
    </w:p>
    <w:p w:rsidR="004D0817" w:rsidRDefault="004D0817" w:rsidP="004D0817">
      <w:pPr>
        <w:jc w:val="center"/>
      </w:pPr>
      <w:proofErr w:type="gramStart"/>
      <w:r>
        <w:rPr>
          <w:u w:color="FF0000"/>
        </w:rPr>
        <w:t>a</w:t>
      </w:r>
      <w:r w:rsidRPr="00DA16EB">
        <w:rPr>
          <w:u w:color="FF0000"/>
        </w:rPr>
        <w:t>t</w:t>
      </w:r>
      <w:proofErr w:type="gramEnd"/>
      <w:r>
        <w:rPr>
          <w:u w:color="FF0000"/>
        </w:rPr>
        <w:t xml:space="preserve"> </w:t>
      </w:r>
      <w:r w:rsidRPr="00985EA6">
        <w:t>the</w:t>
      </w:r>
    </w:p>
    <w:p w:rsidR="004D0817" w:rsidRDefault="004D0817" w:rsidP="004D0817">
      <w:pPr>
        <w:jc w:val="center"/>
      </w:pPr>
      <w:r>
        <w:t>MASARYK UNIVERSITY</w:t>
      </w:r>
    </w:p>
    <w:p w:rsidR="004D0817" w:rsidRDefault="004D0817" w:rsidP="004D0817">
      <w:pPr>
        <w:jc w:val="center"/>
      </w:pPr>
      <w:r>
        <w:t>Lecturer</w:t>
      </w:r>
      <w:r w:rsidRPr="00985EA6">
        <w:t xml:space="preserve">: </w:t>
      </w:r>
      <w:r>
        <w:t xml:space="preserve"> L. </w:t>
      </w:r>
      <w:proofErr w:type="spellStart"/>
      <w:r>
        <w:t>Benada</w:t>
      </w:r>
      <w:proofErr w:type="spellEnd"/>
      <w:r>
        <w:t xml:space="preserve"> </w:t>
      </w:r>
    </w:p>
    <w:p w:rsidR="004D0817" w:rsidRDefault="004D0817" w:rsidP="004D0817">
      <w:pPr>
        <w:jc w:val="center"/>
      </w:pPr>
      <w:r>
        <w:t>October 2015</w:t>
      </w:r>
    </w:p>
    <w:p w:rsidR="004D0817" w:rsidRDefault="004D0817" w:rsidP="004D0817">
      <w:pPr>
        <w:jc w:val="center"/>
      </w:pPr>
    </w:p>
    <w:p w:rsidR="004D0817" w:rsidRDefault="004D0817" w:rsidP="004D0817">
      <w:pPr>
        <w:jc w:val="center"/>
      </w:pPr>
    </w:p>
    <w:p w:rsidR="004D0817" w:rsidRDefault="004D0817" w:rsidP="004D0817">
      <w:pPr>
        <w:jc w:val="center"/>
      </w:pPr>
    </w:p>
    <w:p w:rsidR="004D0817" w:rsidRDefault="004D0817" w:rsidP="004D0817">
      <w:pPr>
        <w:jc w:val="center"/>
      </w:pPr>
    </w:p>
    <w:p w:rsidR="004D0817" w:rsidRDefault="004D0817" w:rsidP="004D0817">
      <w:pPr>
        <w:jc w:val="center"/>
      </w:pPr>
    </w:p>
    <w:p w:rsidR="00772261" w:rsidRDefault="00772261" w:rsidP="004D0817">
      <w:pPr>
        <w:jc w:val="center"/>
      </w:pPr>
    </w:p>
    <w:p w:rsidR="0006295C" w:rsidRDefault="00AD1B94" w:rsidP="00AD1B94">
      <w:pPr>
        <w:pStyle w:val="PrecontentStyle1"/>
      </w:pPr>
      <w:bookmarkStart w:id="0" w:name="_Toc431332831"/>
      <w:r>
        <w:lastRenderedPageBreak/>
        <w:t xml:space="preserve">TABLE OF </w:t>
      </w:r>
      <w:r w:rsidRPr="00AD1B94">
        <w:t>CONTENT</w:t>
      </w:r>
      <w:bookmarkEnd w:id="0"/>
    </w:p>
    <w:sdt>
      <w:sdtPr>
        <w:rPr>
          <w:rFonts w:ascii="Times New Roman" w:eastAsiaTheme="minorHAnsi" w:hAnsi="Times New Roman" w:cstheme="minorBidi"/>
          <w:color w:val="auto"/>
          <w:sz w:val="24"/>
          <w:szCs w:val="22"/>
          <w:lang w:val="en-GB"/>
        </w:rPr>
        <w:id w:val="1324553351"/>
        <w:docPartObj>
          <w:docPartGallery w:val="Table of Contents"/>
          <w:docPartUnique/>
        </w:docPartObj>
      </w:sdtPr>
      <w:sdtEndPr>
        <w:rPr>
          <w:b/>
          <w:bCs/>
          <w:noProof/>
        </w:rPr>
      </w:sdtEndPr>
      <w:sdtContent>
        <w:p w:rsidR="00E8021D" w:rsidRDefault="00E8021D">
          <w:pPr>
            <w:pStyle w:val="TOCHeading"/>
          </w:pPr>
        </w:p>
        <w:p w:rsidR="00772261" w:rsidRDefault="00E8021D">
          <w:pPr>
            <w:pStyle w:val="TOC1"/>
            <w:tabs>
              <w:tab w:val="right" w:leader="dot" w:pos="9060"/>
            </w:tabs>
            <w:rPr>
              <w:rFonts w:asciiTheme="minorHAnsi" w:eastAsiaTheme="minorEastAsia" w:hAnsiTheme="minorHAnsi"/>
              <w:noProof/>
              <w:sz w:val="22"/>
              <w:lang w:eastAsia="en-GB"/>
            </w:rPr>
          </w:pPr>
          <w:r>
            <w:fldChar w:fldCharType="begin"/>
          </w:r>
          <w:r>
            <w:instrText xml:space="preserve"> TOC \o "1-3" \h \z \u </w:instrText>
          </w:r>
          <w:r>
            <w:fldChar w:fldCharType="separate"/>
          </w:r>
          <w:hyperlink w:anchor="_Toc431332831" w:history="1">
            <w:r w:rsidR="00772261" w:rsidRPr="00A44502">
              <w:rPr>
                <w:rStyle w:val="Hyperlink"/>
                <w:noProof/>
              </w:rPr>
              <w:t>TABLE OF CONTENT</w:t>
            </w:r>
            <w:r w:rsidR="00772261">
              <w:rPr>
                <w:noProof/>
                <w:webHidden/>
              </w:rPr>
              <w:tab/>
            </w:r>
            <w:r w:rsidR="00772261">
              <w:rPr>
                <w:noProof/>
                <w:webHidden/>
              </w:rPr>
              <w:fldChar w:fldCharType="begin"/>
            </w:r>
            <w:r w:rsidR="00772261">
              <w:rPr>
                <w:noProof/>
                <w:webHidden/>
              </w:rPr>
              <w:instrText xml:space="preserve"> PAGEREF _Toc431332831 \h </w:instrText>
            </w:r>
            <w:r w:rsidR="00772261">
              <w:rPr>
                <w:noProof/>
                <w:webHidden/>
              </w:rPr>
            </w:r>
            <w:r w:rsidR="00772261">
              <w:rPr>
                <w:noProof/>
                <w:webHidden/>
              </w:rPr>
              <w:fldChar w:fldCharType="separate"/>
            </w:r>
            <w:r w:rsidR="00772261">
              <w:rPr>
                <w:noProof/>
                <w:webHidden/>
              </w:rPr>
              <w:t>ii</w:t>
            </w:r>
            <w:r w:rsidR="00772261">
              <w:rPr>
                <w:noProof/>
                <w:webHidden/>
              </w:rPr>
              <w:fldChar w:fldCharType="end"/>
            </w:r>
          </w:hyperlink>
        </w:p>
        <w:p w:rsidR="00772261" w:rsidRDefault="001C051F">
          <w:pPr>
            <w:pStyle w:val="TOC1"/>
            <w:tabs>
              <w:tab w:val="right" w:leader="dot" w:pos="9060"/>
            </w:tabs>
            <w:rPr>
              <w:rFonts w:asciiTheme="minorHAnsi" w:eastAsiaTheme="minorEastAsia" w:hAnsiTheme="minorHAnsi"/>
              <w:noProof/>
              <w:sz w:val="22"/>
              <w:lang w:eastAsia="en-GB"/>
            </w:rPr>
          </w:pPr>
          <w:hyperlink w:anchor="_Toc431332832" w:history="1">
            <w:r w:rsidR="00772261" w:rsidRPr="00A44502">
              <w:rPr>
                <w:rStyle w:val="Hyperlink"/>
                <w:noProof/>
              </w:rPr>
              <w:t>LIST OF TABLES</w:t>
            </w:r>
            <w:r w:rsidR="00772261">
              <w:rPr>
                <w:noProof/>
                <w:webHidden/>
              </w:rPr>
              <w:tab/>
            </w:r>
            <w:r w:rsidR="00772261">
              <w:rPr>
                <w:noProof/>
                <w:webHidden/>
              </w:rPr>
              <w:fldChar w:fldCharType="begin"/>
            </w:r>
            <w:r w:rsidR="00772261">
              <w:rPr>
                <w:noProof/>
                <w:webHidden/>
              </w:rPr>
              <w:instrText xml:space="preserve"> PAGEREF _Toc431332832 \h </w:instrText>
            </w:r>
            <w:r w:rsidR="00772261">
              <w:rPr>
                <w:noProof/>
                <w:webHidden/>
              </w:rPr>
            </w:r>
            <w:r w:rsidR="00772261">
              <w:rPr>
                <w:noProof/>
                <w:webHidden/>
              </w:rPr>
              <w:fldChar w:fldCharType="separate"/>
            </w:r>
            <w:r w:rsidR="00772261">
              <w:rPr>
                <w:noProof/>
                <w:webHidden/>
              </w:rPr>
              <w:t>iii</w:t>
            </w:r>
            <w:r w:rsidR="00772261">
              <w:rPr>
                <w:noProof/>
                <w:webHidden/>
              </w:rPr>
              <w:fldChar w:fldCharType="end"/>
            </w:r>
          </w:hyperlink>
        </w:p>
        <w:p w:rsidR="00772261" w:rsidRDefault="001C051F">
          <w:pPr>
            <w:pStyle w:val="TOC1"/>
            <w:tabs>
              <w:tab w:val="right" w:leader="dot" w:pos="9060"/>
            </w:tabs>
            <w:rPr>
              <w:rFonts w:asciiTheme="minorHAnsi" w:eastAsiaTheme="minorEastAsia" w:hAnsiTheme="minorHAnsi"/>
              <w:noProof/>
              <w:sz w:val="22"/>
              <w:lang w:eastAsia="en-GB"/>
            </w:rPr>
          </w:pPr>
          <w:hyperlink w:anchor="_Toc431332833" w:history="1">
            <w:r w:rsidR="00772261" w:rsidRPr="00A44502">
              <w:rPr>
                <w:rStyle w:val="Hyperlink"/>
                <w:noProof/>
              </w:rPr>
              <w:t>LIST OF FIGURES</w:t>
            </w:r>
            <w:r w:rsidR="00772261">
              <w:rPr>
                <w:noProof/>
                <w:webHidden/>
              </w:rPr>
              <w:tab/>
            </w:r>
            <w:r w:rsidR="00772261">
              <w:rPr>
                <w:noProof/>
                <w:webHidden/>
              </w:rPr>
              <w:fldChar w:fldCharType="begin"/>
            </w:r>
            <w:r w:rsidR="00772261">
              <w:rPr>
                <w:noProof/>
                <w:webHidden/>
              </w:rPr>
              <w:instrText xml:space="preserve"> PAGEREF _Toc431332833 \h </w:instrText>
            </w:r>
            <w:r w:rsidR="00772261">
              <w:rPr>
                <w:noProof/>
                <w:webHidden/>
              </w:rPr>
            </w:r>
            <w:r w:rsidR="00772261">
              <w:rPr>
                <w:noProof/>
                <w:webHidden/>
              </w:rPr>
              <w:fldChar w:fldCharType="separate"/>
            </w:r>
            <w:r w:rsidR="00772261">
              <w:rPr>
                <w:noProof/>
                <w:webHidden/>
              </w:rPr>
              <w:t>iii</w:t>
            </w:r>
            <w:r w:rsidR="00772261">
              <w:rPr>
                <w:noProof/>
                <w:webHidden/>
              </w:rPr>
              <w:fldChar w:fldCharType="end"/>
            </w:r>
          </w:hyperlink>
        </w:p>
        <w:p w:rsidR="00772261" w:rsidRDefault="001C051F">
          <w:pPr>
            <w:pStyle w:val="TOC2"/>
            <w:tabs>
              <w:tab w:val="left" w:pos="880"/>
              <w:tab w:val="right" w:leader="dot" w:pos="9060"/>
            </w:tabs>
            <w:rPr>
              <w:rFonts w:asciiTheme="minorHAnsi" w:eastAsiaTheme="minorEastAsia" w:hAnsiTheme="minorHAnsi"/>
              <w:noProof/>
              <w:sz w:val="22"/>
              <w:lang w:eastAsia="en-GB"/>
            </w:rPr>
          </w:pPr>
          <w:hyperlink w:anchor="_Toc431332834" w:history="1">
            <w:r w:rsidR="00772261" w:rsidRPr="00A44502">
              <w:rPr>
                <w:rStyle w:val="Hyperlink"/>
                <w:noProof/>
              </w:rPr>
              <w:t>1.1</w:t>
            </w:r>
            <w:r w:rsidR="00772261">
              <w:rPr>
                <w:rFonts w:asciiTheme="minorHAnsi" w:eastAsiaTheme="minorEastAsia" w:hAnsiTheme="minorHAnsi"/>
                <w:noProof/>
                <w:sz w:val="22"/>
                <w:lang w:eastAsia="en-GB"/>
              </w:rPr>
              <w:tab/>
            </w:r>
            <w:r w:rsidR="00772261" w:rsidRPr="00A44502">
              <w:rPr>
                <w:rStyle w:val="Hyperlink"/>
                <w:noProof/>
              </w:rPr>
              <w:t>INTRODUCTION</w:t>
            </w:r>
            <w:r w:rsidR="00772261">
              <w:rPr>
                <w:noProof/>
                <w:webHidden/>
              </w:rPr>
              <w:tab/>
            </w:r>
            <w:r w:rsidR="00772261">
              <w:rPr>
                <w:noProof/>
                <w:webHidden/>
              </w:rPr>
              <w:fldChar w:fldCharType="begin"/>
            </w:r>
            <w:r w:rsidR="00772261">
              <w:rPr>
                <w:noProof/>
                <w:webHidden/>
              </w:rPr>
              <w:instrText xml:space="preserve"> PAGEREF _Toc431332834 \h </w:instrText>
            </w:r>
            <w:r w:rsidR="00772261">
              <w:rPr>
                <w:noProof/>
                <w:webHidden/>
              </w:rPr>
            </w:r>
            <w:r w:rsidR="00772261">
              <w:rPr>
                <w:noProof/>
                <w:webHidden/>
              </w:rPr>
              <w:fldChar w:fldCharType="separate"/>
            </w:r>
            <w:r w:rsidR="00772261">
              <w:rPr>
                <w:noProof/>
                <w:webHidden/>
              </w:rPr>
              <w:t>1</w:t>
            </w:r>
            <w:r w:rsidR="00772261">
              <w:rPr>
                <w:noProof/>
                <w:webHidden/>
              </w:rPr>
              <w:fldChar w:fldCharType="end"/>
            </w:r>
          </w:hyperlink>
        </w:p>
        <w:p w:rsidR="00772261" w:rsidRDefault="001C051F">
          <w:pPr>
            <w:pStyle w:val="TOC2"/>
            <w:tabs>
              <w:tab w:val="left" w:pos="880"/>
              <w:tab w:val="right" w:leader="dot" w:pos="9060"/>
            </w:tabs>
            <w:rPr>
              <w:rFonts w:asciiTheme="minorHAnsi" w:eastAsiaTheme="minorEastAsia" w:hAnsiTheme="minorHAnsi"/>
              <w:noProof/>
              <w:sz w:val="22"/>
              <w:lang w:eastAsia="en-GB"/>
            </w:rPr>
          </w:pPr>
          <w:hyperlink w:anchor="_Toc431332835" w:history="1">
            <w:r w:rsidR="00772261" w:rsidRPr="00A44502">
              <w:rPr>
                <w:rStyle w:val="Hyperlink"/>
                <w:noProof/>
              </w:rPr>
              <w:t>1.2</w:t>
            </w:r>
            <w:r w:rsidR="00772261">
              <w:rPr>
                <w:rFonts w:asciiTheme="minorHAnsi" w:eastAsiaTheme="minorEastAsia" w:hAnsiTheme="minorHAnsi"/>
                <w:noProof/>
                <w:sz w:val="22"/>
                <w:lang w:eastAsia="en-GB"/>
              </w:rPr>
              <w:tab/>
            </w:r>
            <w:r w:rsidR="00772261" w:rsidRPr="00A44502">
              <w:rPr>
                <w:rStyle w:val="Hyperlink"/>
                <w:noProof/>
              </w:rPr>
              <w:t>OVERVIEW OF COMMERCIAL BANK IN ZIMBABWE</w:t>
            </w:r>
            <w:r w:rsidR="00772261">
              <w:rPr>
                <w:noProof/>
                <w:webHidden/>
              </w:rPr>
              <w:tab/>
            </w:r>
            <w:r w:rsidR="00772261">
              <w:rPr>
                <w:noProof/>
                <w:webHidden/>
              </w:rPr>
              <w:fldChar w:fldCharType="begin"/>
            </w:r>
            <w:r w:rsidR="00772261">
              <w:rPr>
                <w:noProof/>
                <w:webHidden/>
              </w:rPr>
              <w:instrText xml:space="preserve"> PAGEREF _Toc431332835 \h </w:instrText>
            </w:r>
            <w:r w:rsidR="00772261">
              <w:rPr>
                <w:noProof/>
                <w:webHidden/>
              </w:rPr>
            </w:r>
            <w:r w:rsidR="00772261">
              <w:rPr>
                <w:noProof/>
                <w:webHidden/>
              </w:rPr>
              <w:fldChar w:fldCharType="separate"/>
            </w:r>
            <w:r w:rsidR="00772261">
              <w:rPr>
                <w:noProof/>
                <w:webHidden/>
              </w:rPr>
              <w:t>1</w:t>
            </w:r>
            <w:r w:rsidR="00772261">
              <w:rPr>
                <w:noProof/>
                <w:webHidden/>
              </w:rPr>
              <w:fldChar w:fldCharType="end"/>
            </w:r>
          </w:hyperlink>
        </w:p>
        <w:p w:rsidR="00772261" w:rsidRDefault="001C051F">
          <w:pPr>
            <w:pStyle w:val="TOC2"/>
            <w:tabs>
              <w:tab w:val="left" w:pos="880"/>
              <w:tab w:val="right" w:leader="dot" w:pos="9060"/>
            </w:tabs>
            <w:rPr>
              <w:rFonts w:asciiTheme="minorHAnsi" w:eastAsiaTheme="minorEastAsia" w:hAnsiTheme="minorHAnsi"/>
              <w:noProof/>
              <w:sz w:val="22"/>
              <w:lang w:eastAsia="en-GB"/>
            </w:rPr>
          </w:pPr>
          <w:hyperlink w:anchor="_Toc431332836" w:history="1">
            <w:r w:rsidR="00772261" w:rsidRPr="00A44502">
              <w:rPr>
                <w:rStyle w:val="Hyperlink"/>
                <w:noProof/>
              </w:rPr>
              <w:t>1.3</w:t>
            </w:r>
            <w:r w:rsidR="00772261">
              <w:rPr>
                <w:rFonts w:asciiTheme="minorHAnsi" w:eastAsiaTheme="minorEastAsia" w:hAnsiTheme="minorHAnsi"/>
                <w:noProof/>
                <w:sz w:val="22"/>
                <w:lang w:eastAsia="en-GB"/>
              </w:rPr>
              <w:tab/>
            </w:r>
            <w:r w:rsidR="00772261" w:rsidRPr="00A44502">
              <w:rPr>
                <w:rStyle w:val="Hyperlink"/>
                <w:noProof/>
              </w:rPr>
              <w:t>COMMERCIAL BANKS PERFORMANC</w:t>
            </w:r>
            <w:r w:rsidR="00772261">
              <w:rPr>
                <w:noProof/>
                <w:webHidden/>
              </w:rPr>
              <w:tab/>
            </w:r>
            <w:r w:rsidR="00772261">
              <w:rPr>
                <w:noProof/>
                <w:webHidden/>
              </w:rPr>
              <w:fldChar w:fldCharType="begin"/>
            </w:r>
            <w:r w:rsidR="00772261">
              <w:rPr>
                <w:noProof/>
                <w:webHidden/>
              </w:rPr>
              <w:instrText xml:space="preserve"> PAGEREF _Toc431332836 \h </w:instrText>
            </w:r>
            <w:r w:rsidR="00772261">
              <w:rPr>
                <w:noProof/>
                <w:webHidden/>
              </w:rPr>
            </w:r>
            <w:r w:rsidR="00772261">
              <w:rPr>
                <w:noProof/>
                <w:webHidden/>
              </w:rPr>
              <w:fldChar w:fldCharType="separate"/>
            </w:r>
            <w:r w:rsidR="00772261">
              <w:rPr>
                <w:noProof/>
                <w:webHidden/>
              </w:rPr>
              <w:t>2</w:t>
            </w:r>
            <w:r w:rsidR="00772261">
              <w:rPr>
                <w:noProof/>
                <w:webHidden/>
              </w:rPr>
              <w:fldChar w:fldCharType="end"/>
            </w:r>
          </w:hyperlink>
        </w:p>
        <w:p w:rsidR="00772261" w:rsidRDefault="001C051F">
          <w:pPr>
            <w:pStyle w:val="TOC2"/>
            <w:tabs>
              <w:tab w:val="left" w:pos="880"/>
              <w:tab w:val="right" w:leader="dot" w:pos="9060"/>
            </w:tabs>
            <w:rPr>
              <w:rFonts w:asciiTheme="minorHAnsi" w:eastAsiaTheme="minorEastAsia" w:hAnsiTheme="minorHAnsi"/>
              <w:noProof/>
              <w:sz w:val="22"/>
              <w:lang w:eastAsia="en-GB"/>
            </w:rPr>
          </w:pPr>
          <w:hyperlink w:anchor="_Toc431332837" w:history="1">
            <w:r w:rsidR="00772261" w:rsidRPr="00A44502">
              <w:rPr>
                <w:rStyle w:val="Hyperlink"/>
                <w:noProof/>
              </w:rPr>
              <w:t>1.4</w:t>
            </w:r>
            <w:r w:rsidR="00772261">
              <w:rPr>
                <w:rFonts w:asciiTheme="minorHAnsi" w:eastAsiaTheme="minorEastAsia" w:hAnsiTheme="minorHAnsi"/>
                <w:noProof/>
                <w:sz w:val="22"/>
                <w:lang w:eastAsia="en-GB"/>
              </w:rPr>
              <w:tab/>
            </w:r>
            <w:r w:rsidR="00772261" w:rsidRPr="00A44502">
              <w:rPr>
                <w:rStyle w:val="Hyperlink"/>
                <w:noProof/>
              </w:rPr>
              <w:t>FACTORS THAT AFFECT COMMERCIAL BANK PERFOMANCE</w:t>
            </w:r>
            <w:r w:rsidR="00772261">
              <w:rPr>
                <w:noProof/>
                <w:webHidden/>
              </w:rPr>
              <w:tab/>
            </w:r>
            <w:r w:rsidR="00772261">
              <w:rPr>
                <w:noProof/>
                <w:webHidden/>
              </w:rPr>
              <w:fldChar w:fldCharType="begin"/>
            </w:r>
            <w:r w:rsidR="00772261">
              <w:rPr>
                <w:noProof/>
                <w:webHidden/>
              </w:rPr>
              <w:instrText xml:space="preserve"> PAGEREF _Toc431332837 \h </w:instrText>
            </w:r>
            <w:r w:rsidR="00772261">
              <w:rPr>
                <w:noProof/>
                <w:webHidden/>
              </w:rPr>
            </w:r>
            <w:r w:rsidR="00772261">
              <w:rPr>
                <w:noProof/>
                <w:webHidden/>
              </w:rPr>
              <w:fldChar w:fldCharType="separate"/>
            </w:r>
            <w:r w:rsidR="00772261">
              <w:rPr>
                <w:noProof/>
                <w:webHidden/>
              </w:rPr>
              <w:t>2</w:t>
            </w:r>
            <w:r w:rsidR="00772261">
              <w:rPr>
                <w:noProof/>
                <w:webHidden/>
              </w:rPr>
              <w:fldChar w:fldCharType="end"/>
            </w:r>
          </w:hyperlink>
        </w:p>
        <w:p w:rsidR="00772261" w:rsidRDefault="001C051F">
          <w:pPr>
            <w:pStyle w:val="TOC2"/>
            <w:tabs>
              <w:tab w:val="left" w:pos="880"/>
              <w:tab w:val="right" w:leader="dot" w:pos="9060"/>
            </w:tabs>
            <w:rPr>
              <w:rFonts w:asciiTheme="minorHAnsi" w:eastAsiaTheme="minorEastAsia" w:hAnsiTheme="minorHAnsi"/>
              <w:noProof/>
              <w:sz w:val="22"/>
              <w:lang w:eastAsia="en-GB"/>
            </w:rPr>
          </w:pPr>
          <w:hyperlink w:anchor="_Toc431332838" w:history="1">
            <w:r w:rsidR="00772261" w:rsidRPr="00A44502">
              <w:rPr>
                <w:rStyle w:val="Hyperlink"/>
                <w:rFonts w:eastAsia="Times New Roman"/>
                <w:noProof/>
                <w:lang w:eastAsia="en-GB"/>
              </w:rPr>
              <w:t>1.5</w:t>
            </w:r>
            <w:r w:rsidR="00772261">
              <w:rPr>
                <w:rFonts w:asciiTheme="minorHAnsi" w:eastAsiaTheme="minorEastAsia" w:hAnsiTheme="minorHAnsi"/>
                <w:noProof/>
                <w:sz w:val="22"/>
                <w:lang w:eastAsia="en-GB"/>
              </w:rPr>
              <w:tab/>
            </w:r>
            <w:r w:rsidR="00772261" w:rsidRPr="00A44502">
              <w:rPr>
                <w:rStyle w:val="Hyperlink"/>
                <w:rFonts w:eastAsia="Times New Roman"/>
                <w:noProof/>
                <w:lang w:eastAsia="en-GB"/>
              </w:rPr>
              <w:t>RELATIONSHIP BETWEEN PERFOMANCE AND FACTORS</w:t>
            </w:r>
            <w:r w:rsidR="00772261">
              <w:rPr>
                <w:noProof/>
                <w:webHidden/>
              </w:rPr>
              <w:tab/>
            </w:r>
            <w:r w:rsidR="00772261">
              <w:rPr>
                <w:noProof/>
                <w:webHidden/>
              </w:rPr>
              <w:fldChar w:fldCharType="begin"/>
            </w:r>
            <w:r w:rsidR="00772261">
              <w:rPr>
                <w:noProof/>
                <w:webHidden/>
              </w:rPr>
              <w:instrText xml:space="preserve"> PAGEREF _Toc431332838 \h </w:instrText>
            </w:r>
            <w:r w:rsidR="00772261">
              <w:rPr>
                <w:noProof/>
                <w:webHidden/>
              </w:rPr>
            </w:r>
            <w:r w:rsidR="00772261">
              <w:rPr>
                <w:noProof/>
                <w:webHidden/>
              </w:rPr>
              <w:fldChar w:fldCharType="separate"/>
            </w:r>
            <w:r w:rsidR="00772261">
              <w:rPr>
                <w:noProof/>
                <w:webHidden/>
              </w:rPr>
              <w:t>3</w:t>
            </w:r>
            <w:r w:rsidR="00772261">
              <w:rPr>
                <w:noProof/>
                <w:webHidden/>
              </w:rPr>
              <w:fldChar w:fldCharType="end"/>
            </w:r>
          </w:hyperlink>
        </w:p>
        <w:p w:rsidR="00772261" w:rsidRDefault="001C051F">
          <w:pPr>
            <w:pStyle w:val="TOC2"/>
            <w:tabs>
              <w:tab w:val="left" w:pos="880"/>
              <w:tab w:val="right" w:leader="dot" w:pos="9060"/>
            </w:tabs>
            <w:rPr>
              <w:rFonts w:asciiTheme="minorHAnsi" w:eastAsiaTheme="minorEastAsia" w:hAnsiTheme="minorHAnsi"/>
              <w:noProof/>
              <w:sz w:val="22"/>
              <w:lang w:eastAsia="en-GB"/>
            </w:rPr>
          </w:pPr>
          <w:hyperlink w:anchor="_Toc431332839" w:history="1">
            <w:r w:rsidR="00772261" w:rsidRPr="00A44502">
              <w:rPr>
                <w:rStyle w:val="Hyperlink"/>
                <w:noProof/>
                <w:lang w:eastAsia="en-GB"/>
              </w:rPr>
              <w:t>1.6</w:t>
            </w:r>
            <w:r w:rsidR="00772261">
              <w:rPr>
                <w:rFonts w:asciiTheme="minorHAnsi" w:eastAsiaTheme="minorEastAsia" w:hAnsiTheme="minorHAnsi"/>
                <w:noProof/>
                <w:sz w:val="22"/>
                <w:lang w:eastAsia="en-GB"/>
              </w:rPr>
              <w:tab/>
            </w:r>
            <w:r w:rsidR="00772261" w:rsidRPr="00A44502">
              <w:rPr>
                <w:rStyle w:val="Hyperlink"/>
                <w:noProof/>
                <w:lang w:eastAsia="en-GB"/>
              </w:rPr>
              <w:t>SUMMARY</w:t>
            </w:r>
            <w:r w:rsidR="00772261">
              <w:rPr>
                <w:noProof/>
                <w:webHidden/>
              </w:rPr>
              <w:tab/>
            </w:r>
            <w:r w:rsidR="00772261">
              <w:rPr>
                <w:noProof/>
                <w:webHidden/>
              </w:rPr>
              <w:fldChar w:fldCharType="begin"/>
            </w:r>
            <w:r w:rsidR="00772261">
              <w:rPr>
                <w:noProof/>
                <w:webHidden/>
              </w:rPr>
              <w:instrText xml:space="preserve"> PAGEREF _Toc431332839 \h </w:instrText>
            </w:r>
            <w:r w:rsidR="00772261">
              <w:rPr>
                <w:noProof/>
                <w:webHidden/>
              </w:rPr>
            </w:r>
            <w:r w:rsidR="00772261">
              <w:rPr>
                <w:noProof/>
                <w:webHidden/>
              </w:rPr>
              <w:fldChar w:fldCharType="separate"/>
            </w:r>
            <w:r w:rsidR="00772261">
              <w:rPr>
                <w:noProof/>
                <w:webHidden/>
              </w:rPr>
              <w:t>4</w:t>
            </w:r>
            <w:r w:rsidR="00772261">
              <w:rPr>
                <w:noProof/>
                <w:webHidden/>
              </w:rPr>
              <w:fldChar w:fldCharType="end"/>
            </w:r>
          </w:hyperlink>
        </w:p>
        <w:p w:rsidR="00772261" w:rsidRDefault="001C051F">
          <w:pPr>
            <w:pStyle w:val="TOC1"/>
            <w:tabs>
              <w:tab w:val="right" w:leader="dot" w:pos="9060"/>
            </w:tabs>
            <w:rPr>
              <w:rFonts w:asciiTheme="minorHAnsi" w:eastAsiaTheme="minorEastAsia" w:hAnsiTheme="minorHAnsi"/>
              <w:noProof/>
              <w:sz w:val="22"/>
              <w:lang w:eastAsia="en-GB"/>
            </w:rPr>
          </w:pPr>
          <w:hyperlink w:anchor="_Toc431332840" w:history="1">
            <w:r w:rsidR="00772261" w:rsidRPr="00A44502">
              <w:rPr>
                <w:rStyle w:val="Hyperlink"/>
                <w:rFonts w:eastAsia="Times New Roman"/>
                <w:noProof/>
                <w:lang w:eastAsia="en-GB"/>
              </w:rPr>
              <w:t>LIST OF REFERENCE</w:t>
            </w:r>
            <w:r w:rsidR="00772261">
              <w:rPr>
                <w:noProof/>
                <w:webHidden/>
              </w:rPr>
              <w:tab/>
            </w:r>
            <w:r w:rsidR="00772261">
              <w:rPr>
                <w:noProof/>
                <w:webHidden/>
              </w:rPr>
              <w:fldChar w:fldCharType="begin"/>
            </w:r>
            <w:r w:rsidR="00772261">
              <w:rPr>
                <w:noProof/>
                <w:webHidden/>
              </w:rPr>
              <w:instrText xml:space="preserve"> PAGEREF _Toc431332840 \h </w:instrText>
            </w:r>
            <w:r w:rsidR="00772261">
              <w:rPr>
                <w:noProof/>
                <w:webHidden/>
              </w:rPr>
            </w:r>
            <w:r w:rsidR="00772261">
              <w:rPr>
                <w:noProof/>
                <w:webHidden/>
              </w:rPr>
              <w:fldChar w:fldCharType="separate"/>
            </w:r>
            <w:r w:rsidR="00772261">
              <w:rPr>
                <w:noProof/>
                <w:webHidden/>
              </w:rPr>
              <w:t>5</w:t>
            </w:r>
            <w:r w:rsidR="00772261">
              <w:rPr>
                <w:noProof/>
                <w:webHidden/>
              </w:rPr>
              <w:fldChar w:fldCharType="end"/>
            </w:r>
          </w:hyperlink>
        </w:p>
        <w:p w:rsidR="00772261" w:rsidRDefault="001C051F">
          <w:pPr>
            <w:pStyle w:val="TOC1"/>
            <w:tabs>
              <w:tab w:val="right" w:leader="dot" w:pos="9060"/>
            </w:tabs>
            <w:rPr>
              <w:rFonts w:asciiTheme="minorHAnsi" w:eastAsiaTheme="minorEastAsia" w:hAnsiTheme="minorHAnsi"/>
              <w:noProof/>
              <w:sz w:val="22"/>
              <w:lang w:eastAsia="en-GB"/>
            </w:rPr>
          </w:pPr>
          <w:hyperlink w:anchor="_Toc431332841" w:history="1">
            <w:r w:rsidR="00772261" w:rsidRPr="00A44502">
              <w:rPr>
                <w:rStyle w:val="Hyperlink"/>
                <w:noProof/>
              </w:rPr>
              <w:t>APPENDICES</w:t>
            </w:r>
            <w:r w:rsidR="00772261">
              <w:rPr>
                <w:noProof/>
                <w:webHidden/>
              </w:rPr>
              <w:tab/>
            </w:r>
            <w:r w:rsidR="00772261">
              <w:rPr>
                <w:noProof/>
                <w:webHidden/>
              </w:rPr>
              <w:fldChar w:fldCharType="begin"/>
            </w:r>
            <w:r w:rsidR="00772261">
              <w:rPr>
                <w:noProof/>
                <w:webHidden/>
              </w:rPr>
              <w:instrText xml:space="preserve"> PAGEREF _Toc431332841 \h </w:instrText>
            </w:r>
            <w:r w:rsidR="00772261">
              <w:rPr>
                <w:noProof/>
                <w:webHidden/>
              </w:rPr>
            </w:r>
            <w:r w:rsidR="00772261">
              <w:rPr>
                <w:noProof/>
                <w:webHidden/>
              </w:rPr>
              <w:fldChar w:fldCharType="separate"/>
            </w:r>
            <w:r w:rsidR="00772261">
              <w:rPr>
                <w:noProof/>
                <w:webHidden/>
              </w:rPr>
              <w:t>6</w:t>
            </w:r>
            <w:r w:rsidR="00772261">
              <w:rPr>
                <w:noProof/>
                <w:webHidden/>
              </w:rPr>
              <w:fldChar w:fldCharType="end"/>
            </w:r>
          </w:hyperlink>
        </w:p>
        <w:p w:rsidR="00E8021D" w:rsidRDefault="00E8021D">
          <w:r>
            <w:rPr>
              <w:b/>
              <w:bCs/>
              <w:noProof/>
            </w:rPr>
            <w:fldChar w:fldCharType="end"/>
          </w:r>
        </w:p>
      </w:sdtContent>
    </w:sdt>
    <w:p w:rsidR="00E8021D" w:rsidRPr="00E8021D" w:rsidRDefault="00E8021D" w:rsidP="00E8021D">
      <w:pPr>
        <w:rPr>
          <w:lang w:val="en-ZA" w:eastAsia="en-ZA"/>
        </w:rPr>
      </w:pPr>
    </w:p>
    <w:p w:rsidR="005E01E1" w:rsidRDefault="005E01E1" w:rsidP="00AD1B94">
      <w:pPr>
        <w:pStyle w:val="PrecontentStyle1"/>
      </w:pPr>
      <w:r>
        <w:br w:type="page"/>
      </w:r>
    </w:p>
    <w:p w:rsidR="00E8021D" w:rsidRDefault="004F71A6" w:rsidP="0006295C">
      <w:pPr>
        <w:pStyle w:val="NoNumbersStyle1"/>
      </w:pPr>
      <w:bookmarkStart w:id="1" w:name="_Toc431332832"/>
      <w:r>
        <w:lastRenderedPageBreak/>
        <w:t>LIST OF TABLES</w:t>
      </w:r>
      <w:bookmarkEnd w:id="1"/>
    </w:p>
    <w:p w:rsidR="00772261" w:rsidRDefault="00E8021D">
      <w:pPr>
        <w:pStyle w:val="TableofFigures"/>
        <w:tabs>
          <w:tab w:val="right" w:leader="hyphen" w:pos="9060"/>
        </w:tabs>
        <w:rPr>
          <w:rFonts w:asciiTheme="minorHAnsi" w:eastAsiaTheme="minorEastAsia" w:hAnsiTheme="minorHAnsi"/>
          <w:noProof/>
          <w:sz w:val="22"/>
          <w:lang w:eastAsia="en-GB"/>
        </w:rPr>
      </w:pPr>
      <w:r>
        <w:fldChar w:fldCharType="begin"/>
      </w:r>
      <w:r>
        <w:instrText xml:space="preserve"> TOC \h \z \c "Table" </w:instrText>
      </w:r>
      <w:r>
        <w:fldChar w:fldCharType="separate"/>
      </w:r>
      <w:hyperlink w:anchor="_Toc431332893" w:history="1">
        <w:r w:rsidR="00772261" w:rsidRPr="00FD2E31">
          <w:rPr>
            <w:rStyle w:val="Hyperlink"/>
            <w:noProof/>
          </w:rPr>
          <w:t>Table 1 Commercial Bank in Zimbabwe in 2015</w:t>
        </w:r>
        <w:r w:rsidR="00772261">
          <w:rPr>
            <w:noProof/>
            <w:webHidden/>
          </w:rPr>
          <w:tab/>
        </w:r>
        <w:r w:rsidR="00772261">
          <w:rPr>
            <w:noProof/>
            <w:webHidden/>
          </w:rPr>
          <w:fldChar w:fldCharType="begin"/>
        </w:r>
        <w:r w:rsidR="00772261">
          <w:rPr>
            <w:noProof/>
            <w:webHidden/>
          </w:rPr>
          <w:instrText xml:space="preserve"> PAGEREF _Toc431332893 \h </w:instrText>
        </w:r>
        <w:r w:rsidR="00772261">
          <w:rPr>
            <w:noProof/>
            <w:webHidden/>
          </w:rPr>
        </w:r>
        <w:r w:rsidR="00772261">
          <w:rPr>
            <w:noProof/>
            <w:webHidden/>
          </w:rPr>
          <w:fldChar w:fldCharType="separate"/>
        </w:r>
        <w:r w:rsidR="00772261">
          <w:rPr>
            <w:noProof/>
            <w:webHidden/>
          </w:rPr>
          <w:t>1</w:t>
        </w:r>
        <w:r w:rsidR="00772261">
          <w:rPr>
            <w:noProof/>
            <w:webHidden/>
          </w:rPr>
          <w:fldChar w:fldCharType="end"/>
        </w:r>
      </w:hyperlink>
    </w:p>
    <w:p w:rsidR="00772261" w:rsidRDefault="001C051F">
      <w:pPr>
        <w:pStyle w:val="TableofFigures"/>
        <w:tabs>
          <w:tab w:val="right" w:leader="hyphen" w:pos="9060"/>
        </w:tabs>
        <w:rPr>
          <w:rFonts w:asciiTheme="minorHAnsi" w:eastAsiaTheme="minorEastAsia" w:hAnsiTheme="minorHAnsi"/>
          <w:noProof/>
          <w:sz w:val="22"/>
          <w:lang w:eastAsia="en-GB"/>
        </w:rPr>
      </w:pPr>
      <w:hyperlink w:anchor="_Toc431332894" w:history="1">
        <w:r w:rsidR="00772261" w:rsidRPr="00FD2E31">
          <w:rPr>
            <w:rStyle w:val="Hyperlink"/>
            <w:noProof/>
          </w:rPr>
          <w:t>Table 2 External and internal determinants and proxy ratios</w:t>
        </w:r>
        <w:r w:rsidR="00772261">
          <w:rPr>
            <w:noProof/>
            <w:webHidden/>
          </w:rPr>
          <w:tab/>
        </w:r>
        <w:r w:rsidR="00772261">
          <w:rPr>
            <w:noProof/>
            <w:webHidden/>
          </w:rPr>
          <w:fldChar w:fldCharType="begin"/>
        </w:r>
        <w:r w:rsidR="00772261">
          <w:rPr>
            <w:noProof/>
            <w:webHidden/>
          </w:rPr>
          <w:instrText xml:space="preserve"> PAGEREF _Toc431332894 \h </w:instrText>
        </w:r>
        <w:r w:rsidR="00772261">
          <w:rPr>
            <w:noProof/>
            <w:webHidden/>
          </w:rPr>
        </w:r>
        <w:r w:rsidR="00772261">
          <w:rPr>
            <w:noProof/>
            <w:webHidden/>
          </w:rPr>
          <w:fldChar w:fldCharType="separate"/>
        </w:r>
        <w:r w:rsidR="00772261">
          <w:rPr>
            <w:noProof/>
            <w:webHidden/>
          </w:rPr>
          <w:t>3</w:t>
        </w:r>
        <w:r w:rsidR="00772261">
          <w:rPr>
            <w:noProof/>
            <w:webHidden/>
          </w:rPr>
          <w:fldChar w:fldCharType="end"/>
        </w:r>
      </w:hyperlink>
    </w:p>
    <w:p w:rsidR="00772261" w:rsidRDefault="001C051F">
      <w:pPr>
        <w:pStyle w:val="TableofFigures"/>
        <w:tabs>
          <w:tab w:val="right" w:leader="hyphen" w:pos="9060"/>
        </w:tabs>
        <w:rPr>
          <w:rFonts w:asciiTheme="minorHAnsi" w:eastAsiaTheme="minorEastAsia" w:hAnsiTheme="minorHAnsi"/>
          <w:noProof/>
          <w:sz w:val="22"/>
          <w:lang w:eastAsia="en-GB"/>
        </w:rPr>
      </w:pPr>
      <w:hyperlink w:anchor="_Toc431332895" w:history="1">
        <w:r w:rsidR="00772261" w:rsidRPr="00FD2E31">
          <w:rPr>
            <w:rStyle w:val="Hyperlink"/>
            <w:noProof/>
          </w:rPr>
          <w:t>Table 3 Pooled OLS</w:t>
        </w:r>
        <w:r w:rsidR="00772261">
          <w:rPr>
            <w:noProof/>
            <w:webHidden/>
          </w:rPr>
          <w:tab/>
        </w:r>
        <w:r w:rsidR="00772261">
          <w:rPr>
            <w:noProof/>
            <w:webHidden/>
          </w:rPr>
          <w:fldChar w:fldCharType="begin"/>
        </w:r>
        <w:r w:rsidR="00772261">
          <w:rPr>
            <w:noProof/>
            <w:webHidden/>
          </w:rPr>
          <w:instrText xml:space="preserve"> PAGEREF _Toc431332895 \h </w:instrText>
        </w:r>
        <w:r w:rsidR="00772261">
          <w:rPr>
            <w:noProof/>
            <w:webHidden/>
          </w:rPr>
        </w:r>
        <w:r w:rsidR="00772261">
          <w:rPr>
            <w:noProof/>
            <w:webHidden/>
          </w:rPr>
          <w:fldChar w:fldCharType="separate"/>
        </w:r>
        <w:r w:rsidR="00772261">
          <w:rPr>
            <w:noProof/>
            <w:webHidden/>
          </w:rPr>
          <w:t>4</w:t>
        </w:r>
        <w:r w:rsidR="00772261">
          <w:rPr>
            <w:noProof/>
            <w:webHidden/>
          </w:rPr>
          <w:fldChar w:fldCharType="end"/>
        </w:r>
      </w:hyperlink>
    </w:p>
    <w:p w:rsidR="00772261" w:rsidRDefault="001C051F">
      <w:pPr>
        <w:pStyle w:val="TableofFigures"/>
        <w:tabs>
          <w:tab w:val="right" w:leader="hyphen" w:pos="9060"/>
        </w:tabs>
        <w:rPr>
          <w:rFonts w:asciiTheme="minorHAnsi" w:eastAsiaTheme="minorEastAsia" w:hAnsiTheme="minorHAnsi"/>
          <w:noProof/>
          <w:sz w:val="22"/>
          <w:lang w:eastAsia="en-GB"/>
        </w:rPr>
      </w:pPr>
      <w:hyperlink w:anchor="_Toc431332896" w:history="1">
        <w:r w:rsidR="00772261" w:rsidRPr="00FD2E31">
          <w:rPr>
            <w:rStyle w:val="Hyperlink"/>
            <w:noProof/>
          </w:rPr>
          <w:t>Table 4 Formula sheet</w:t>
        </w:r>
        <w:r w:rsidR="00772261">
          <w:rPr>
            <w:noProof/>
            <w:webHidden/>
          </w:rPr>
          <w:tab/>
        </w:r>
        <w:r w:rsidR="00772261">
          <w:rPr>
            <w:noProof/>
            <w:webHidden/>
          </w:rPr>
          <w:fldChar w:fldCharType="begin"/>
        </w:r>
        <w:r w:rsidR="00772261">
          <w:rPr>
            <w:noProof/>
            <w:webHidden/>
          </w:rPr>
          <w:instrText xml:space="preserve"> PAGEREF _Toc431332896 \h </w:instrText>
        </w:r>
        <w:r w:rsidR="00772261">
          <w:rPr>
            <w:noProof/>
            <w:webHidden/>
          </w:rPr>
        </w:r>
        <w:r w:rsidR="00772261">
          <w:rPr>
            <w:noProof/>
            <w:webHidden/>
          </w:rPr>
          <w:fldChar w:fldCharType="separate"/>
        </w:r>
        <w:r w:rsidR="00772261">
          <w:rPr>
            <w:noProof/>
            <w:webHidden/>
          </w:rPr>
          <w:t>6</w:t>
        </w:r>
        <w:r w:rsidR="00772261">
          <w:rPr>
            <w:noProof/>
            <w:webHidden/>
          </w:rPr>
          <w:fldChar w:fldCharType="end"/>
        </w:r>
      </w:hyperlink>
    </w:p>
    <w:p w:rsidR="003247BC" w:rsidRDefault="00E8021D" w:rsidP="0006295C">
      <w:pPr>
        <w:pStyle w:val="NoNumbersStyle1"/>
      </w:pPr>
      <w:r>
        <w:fldChar w:fldCharType="end"/>
      </w:r>
      <w:bookmarkStart w:id="2" w:name="_Toc431332833"/>
      <w:r w:rsidR="003247BC">
        <w:t>LIST OF FIGURE</w:t>
      </w:r>
      <w:r w:rsidR="000A334F">
        <w:t>S</w:t>
      </w:r>
      <w:bookmarkEnd w:id="2"/>
    </w:p>
    <w:p w:rsidR="00772261" w:rsidRDefault="009C10A7">
      <w:pPr>
        <w:pStyle w:val="TableofFigures"/>
        <w:tabs>
          <w:tab w:val="right" w:leader="dot" w:pos="9060"/>
        </w:tabs>
        <w:rPr>
          <w:rFonts w:asciiTheme="minorHAnsi" w:eastAsiaTheme="minorEastAsia" w:hAnsiTheme="minorHAnsi"/>
          <w:noProof/>
          <w:sz w:val="22"/>
          <w:lang w:eastAsia="en-GB"/>
        </w:rPr>
      </w:pPr>
      <w:r>
        <w:fldChar w:fldCharType="begin"/>
      </w:r>
      <w:r>
        <w:instrText xml:space="preserve"> TOC \c "Figure" </w:instrText>
      </w:r>
      <w:r>
        <w:fldChar w:fldCharType="separate"/>
      </w:r>
      <w:r w:rsidR="00772261">
        <w:rPr>
          <w:noProof/>
        </w:rPr>
        <w:t>Figure 4:1 Commercial bank performance</w:t>
      </w:r>
      <w:r w:rsidR="00772261">
        <w:rPr>
          <w:noProof/>
        </w:rPr>
        <w:tab/>
      </w:r>
      <w:r w:rsidR="00772261">
        <w:rPr>
          <w:noProof/>
        </w:rPr>
        <w:fldChar w:fldCharType="begin"/>
      </w:r>
      <w:r w:rsidR="00772261">
        <w:rPr>
          <w:noProof/>
        </w:rPr>
        <w:instrText xml:space="preserve"> PAGEREF _Toc431332907 \h </w:instrText>
      </w:r>
      <w:r w:rsidR="00772261">
        <w:rPr>
          <w:noProof/>
        </w:rPr>
      </w:r>
      <w:r w:rsidR="00772261">
        <w:rPr>
          <w:noProof/>
        </w:rPr>
        <w:fldChar w:fldCharType="separate"/>
      </w:r>
      <w:r w:rsidR="00772261">
        <w:rPr>
          <w:noProof/>
        </w:rPr>
        <w:t>2</w:t>
      </w:r>
      <w:r w:rsidR="00772261">
        <w:rPr>
          <w:noProof/>
        </w:rPr>
        <w:fldChar w:fldCharType="end"/>
      </w:r>
    </w:p>
    <w:p w:rsidR="005A6AD2" w:rsidRDefault="009C10A7" w:rsidP="008D20CC">
      <w:r>
        <w:fldChar w:fldCharType="end"/>
      </w:r>
    </w:p>
    <w:p w:rsidR="005A6AD2" w:rsidRDefault="005A6AD2" w:rsidP="008D20CC"/>
    <w:p w:rsidR="005A6AD2" w:rsidRDefault="005A6AD2" w:rsidP="008D20CC">
      <w:pPr>
        <w:sectPr w:rsidR="005A6AD2" w:rsidSect="00DE62C9">
          <w:footerReference w:type="default" r:id="rId9"/>
          <w:pgSz w:w="11906" w:h="16838"/>
          <w:pgMar w:top="2155" w:right="1418" w:bottom="1418" w:left="1418" w:header="709" w:footer="709" w:gutter="0"/>
          <w:pgNumType w:fmt="lowerRoman" w:start="1"/>
          <w:cols w:space="708"/>
          <w:titlePg/>
          <w:docGrid w:linePitch="360"/>
        </w:sectPr>
      </w:pPr>
    </w:p>
    <w:p w:rsidR="004D0817" w:rsidRDefault="004D0817" w:rsidP="004D0817">
      <w:pPr>
        <w:pStyle w:val="Heading2"/>
      </w:pPr>
      <w:bookmarkStart w:id="3" w:name="_Toc431332834"/>
      <w:r>
        <w:lastRenderedPageBreak/>
        <w:t>INTRODUCTION</w:t>
      </w:r>
      <w:bookmarkEnd w:id="3"/>
    </w:p>
    <w:p w:rsidR="00314B02" w:rsidRPr="00314B02" w:rsidRDefault="00772261" w:rsidP="00314B02">
      <w:r>
        <w:t>Commercial banks in Zimbabwe play a critical intermediation role of transferring funds from the surplus units to deficit units. T</w:t>
      </w:r>
      <w:r w:rsidR="0064102C">
        <w:t>herefore monitoring their performance</w:t>
      </w:r>
      <w:r>
        <w:t xml:space="preserve"> and factors that influence </w:t>
      </w:r>
      <w:r w:rsidR="000D05D8">
        <w:t xml:space="preserve">the </w:t>
      </w:r>
      <w:r>
        <w:t>performance</w:t>
      </w:r>
      <w:r w:rsidR="0064102C">
        <w:t xml:space="preserve"> </w:t>
      </w:r>
      <w:r w:rsidR="000D05D8">
        <w:t xml:space="preserve">of commercial banks </w:t>
      </w:r>
      <w:r w:rsidR="0064102C">
        <w:t>is of paramount importance</w:t>
      </w:r>
      <w:r w:rsidR="000D05D8">
        <w:t xml:space="preserve"> for policy formulation and thus to </w:t>
      </w:r>
      <w:r w:rsidR="0064102C">
        <w:t xml:space="preserve">the economy </w:t>
      </w:r>
      <w:r>
        <w:t>of Zimbabwe</w:t>
      </w:r>
      <w:r w:rsidR="0064102C">
        <w:t>.</w:t>
      </w:r>
      <w:r w:rsidR="00620A86">
        <w:t xml:space="preserve"> </w:t>
      </w:r>
      <w:r w:rsidR="000D05D8">
        <w:t>The purpose of this short essay is to determine the factors that affect commercial bank performance in Zimbabwe and to achieve this purpose</w:t>
      </w:r>
      <w:r w:rsidR="00620A86">
        <w:t xml:space="preserve">, </w:t>
      </w:r>
      <w:r w:rsidR="000D05D8">
        <w:t xml:space="preserve">a short </w:t>
      </w:r>
      <w:r w:rsidR="00620A86">
        <w:t xml:space="preserve">overview of commercial banks in Zimbabwe is given, </w:t>
      </w:r>
      <w:r w:rsidR="000D05D8">
        <w:t>then commercial bank performance was</w:t>
      </w:r>
      <w:r w:rsidR="00620A86">
        <w:t xml:space="preserve"> measured using three measures (return on asset, return on equity and net interest margin), and then factors that influence performance are elaborated. Lastly to determine the relationship between commercial bank performance and the factors, </w:t>
      </w:r>
      <w:r w:rsidR="00620A86">
        <w:rPr>
          <w:lang w:eastAsia="en-GB"/>
        </w:rPr>
        <w:t xml:space="preserve">a </w:t>
      </w:r>
      <w:r w:rsidR="00620A86">
        <w:t>pooled ordinary square regression model was do</w:t>
      </w:r>
      <w:r w:rsidR="000D05D8">
        <w:t>ne</w:t>
      </w:r>
      <w:r w:rsidR="00620A86">
        <w:t xml:space="preserve"> using GRETL.</w:t>
      </w:r>
    </w:p>
    <w:p w:rsidR="004D0817" w:rsidRDefault="004D0817" w:rsidP="004D0817">
      <w:pPr>
        <w:pStyle w:val="Heading2"/>
      </w:pPr>
      <w:bookmarkStart w:id="4" w:name="_Toc431332835"/>
      <w:r w:rsidRPr="00F45183">
        <w:t>OVERVIEW OF COMMERCIAL BANK IN ZIMBABWE</w:t>
      </w:r>
      <w:bookmarkEnd w:id="4"/>
    </w:p>
    <w:p w:rsidR="004D0817" w:rsidRDefault="004D0817" w:rsidP="004D0817">
      <w:pPr>
        <w:rPr>
          <w:lang w:eastAsia="en-GB"/>
        </w:rPr>
      </w:pPr>
      <w:r>
        <w:t>They are thirteen (13) commercial banks in Zimbabwe which are governed by Companies Act [</w:t>
      </w:r>
      <w:r w:rsidRPr="003C5920">
        <w:rPr>
          <w:rFonts w:cs="Times New Roman"/>
          <w:szCs w:val="24"/>
        </w:rPr>
        <w:t>Chapter 24:03</w:t>
      </w:r>
      <w:r>
        <w:rPr>
          <w:rFonts w:cs="Times New Roman"/>
          <w:szCs w:val="24"/>
        </w:rPr>
        <w:t>]</w:t>
      </w:r>
      <w:r>
        <w:t xml:space="preserve"> and Banking Act of Zimbabwe [</w:t>
      </w:r>
      <w:r w:rsidRPr="0047695F">
        <w:t>Chapter 24:20</w:t>
      </w:r>
      <w:r>
        <w:t xml:space="preserve">]. </w:t>
      </w:r>
      <w:r w:rsidR="004E5EBD">
        <w:fldChar w:fldCharType="begin"/>
      </w:r>
      <w:r w:rsidR="004E5EBD">
        <w:instrText xml:space="preserve"> REF _Ref431125717 \h </w:instrText>
      </w:r>
      <w:r w:rsidR="004E5EBD">
        <w:fldChar w:fldCharType="separate"/>
      </w:r>
      <w:r w:rsidR="004E5EBD">
        <w:t xml:space="preserve">Table </w:t>
      </w:r>
      <w:r w:rsidR="004E5EBD">
        <w:rPr>
          <w:noProof/>
        </w:rPr>
        <w:t>1</w:t>
      </w:r>
      <w:r w:rsidR="004E5EBD">
        <w:fldChar w:fldCharType="end"/>
      </w:r>
      <w:r w:rsidR="004E5EBD">
        <w:t xml:space="preserve"> shows the commercial banks in Zimbabwe as of 2015</w:t>
      </w:r>
      <w:r w:rsidR="00234DD7">
        <w:t xml:space="preserve"> and the year they </w:t>
      </w:r>
      <w:r w:rsidR="00764D6C">
        <w:t>were founded</w:t>
      </w:r>
      <w:r w:rsidR="004E5EBD">
        <w:t>, whether listed</w:t>
      </w:r>
      <w:r w:rsidR="00785C29">
        <w:t xml:space="preserve"> or</w:t>
      </w:r>
      <w:r w:rsidR="004E5EBD">
        <w:t xml:space="preserve"> not listed o</w:t>
      </w:r>
      <w:r w:rsidR="00686FFD">
        <w:t>n Zimbabwe Stock Exchange and their</w:t>
      </w:r>
      <w:r w:rsidR="004E5EBD">
        <w:t xml:space="preserve"> ownership structure. </w:t>
      </w:r>
      <w:r>
        <w:rPr>
          <w:lang w:eastAsia="en-GB"/>
        </w:rPr>
        <w:t xml:space="preserve">According to </w:t>
      </w:r>
      <w:r>
        <w:rPr>
          <w:lang w:eastAsia="en-GB"/>
        </w:rPr>
        <w:fldChar w:fldCharType="begin"/>
      </w:r>
      <w:r>
        <w:rPr>
          <w:lang w:eastAsia="en-GB"/>
        </w:rPr>
        <w:instrText xml:space="preserve"> ADDIN ZOTERO_ITEM CSL_CITATION {"citationID":"kjMoujTa","properties":{"formattedCitation":"(RBZ 2013)","plainCitation":"(RBZ 2013)"},"citationItems":[{"id":312,"uris":["http://zotero.org/users/2519191/items/9TG2G33C"],"uri":["http://zotero.org/users/2519191/items/9TG2G33C"],"itemData":{"id":312,"type":"report","title":"Bank Licensing, Supervision and Surveillance 2013 annual report","publisher":"Reserve Bank of Zimbabwe","author":[{"family":"RBZ","given":""}],"issued":{"date-parts":[["2013"]]}}}],"schema":"https://github.com/citation-style-language/schema/raw/master/csl-citation.json"} </w:instrText>
      </w:r>
      <w:r>
        <w:rPr>
          <w:lang w:eastAsia="en-GB"/>
        </w:rPr>
        <w:fldChar w:fldCharType="separate"/>
      </w:r>
      <w:r w:rsidR="00F4770F">
        <w:rPr>
          <w:rFonts w:cs="Times New Roman"/>
        </w:rPr>
        <w:t xml:space="preserve">Reserve </w:t>
      </w:r>
      <w:r w:rsidRPr="00FE68C9">
        <w:rPr>
          <w:rFonts w:cs="Times New Roman"/>
        </w:rPr>
        <w:t>B</w:t>
      </w:r>
      <w:r w:rsidR="00F4770F">
        <w:rPr>
          <w:rFonts w:cs="Times New Roman"/>
        </w:rPr>
        <w:t xml:space="preserve">ank </w:t>
      </w:r>
      <w:r w:rsidRPr="00FE68C9">
        <w:rPr>
          <w:rFonts w:cs="Times New Roman"/>
        </w:rPr>
        <w:t>Z</w:t>
      </w:r>
      <w:r w:rsidR="00F4770F">
        <w:rPr>
          <w:rFonts w:cs="Times New Roman"/>
        </w:rPr>
        <w:t>imbabwe</w:t>
      </w:r>
      <w:r w:rsidRPr="00FE68C9">
        <w:rPr>
          <w:rFonts w:cs="Times New Roman"/>
        </w:rPr>
        <w:t xml:space="preserve"> </w:t>
      </w:r>
      <w:r w:rsidR="00686FFD">
        <w:rPr>
          <w:rFonts w:cs="Times New Roman"/>
        </w:rPr>
        <w:t>(</w:t>
      </w:r>
      <w:r w:rsidRPr="00FE68C9">
        <w:rPr>
          <w:rFonts w:cs="Times New Roman"/>
        </w:rPr>
        <w:t>2013)</w:t>
      </w:r>
      <w:r>
        <w:rPr>
          <w:lang w:eastAsia="en-GB"/>
        </w:rPr>
        <w:fldChar w:fldCharType="end"/>
      </w:r>
      <w:r w:rsidR="00686FFD">
        <w:rPr>
          <w:lang w:eastAsia="en-GB"/>
        </w:rPr>
        <w:t xml:space="preserve">, 54% of </w:t>
      </w:r>
      <w:r>
        <w:rPr>
          <w:lang w:eastAsia="en-GB"/>
        </w:rPr>
        <w:t xml:space="preserve"> commercial banks are owned by foreigners, 31% are owned by locals and 15% are owned by the government. Out of 13 commercial banks in Zimbabwe, </w:t>
      </w:r>
      <w:r w:rsidR="004E5EBD">
        <w:rPr>
          <w:lang w:eastAsia="en-GB"/>
        </w:rPr>
        <w:t>five (</w:t>
      </w:r>
      <w:r>
        <w:rPr>
          <w:lang w:eastAsia="en-GB"/>
        </w:rPr>
        <w:t>5</w:t>
      </w:r>
      <w:r w:rsidR="004E5EBD">
        <w:rPr>
          <w:lang w:eastAsia="en-GB"/>
        </w:rPr>
        <w:t>)</w:t>
      </w:r>
      <w:r>
        <w:rPr>
          <w:lang w:eastAsia="en-GB"/>
        </w:rPr>
        <w:t xml:space="preserve"> of them </w:t>
      </w:r>
      <w:r w:rsidR="004E5EBD">
        <w:rPr>
          <w:lang w:eastAsia="en-GB"/>
        </w:rPr>
        <w:t>listed on Zimbabwe stock exchange</w:t>
      </w:r>
      <w:r>
        <w:rPr>
          <w:lang w:eastAsia="en-GB"/>
        </w:rPr>
        <w:t>.</w:t>
      </w:r>
    </w:p>
    <w:p w:rsidR="00F4770F" w:rsidRDefault="00F4770F" w:rsidP="004D0817">
      <w:pPr>
        <w:rPr>
          <w:lang w:eastAsia="en-GB"/>
        </w:rPr>
      </w:pPr>
    </w:p>
    <w:p w:rsidR="00F4770F" w:rsidRDefault="00F4770F" w:rsidP="004D0817">
      <w:pPr>
        <w:rPr>
          <w:lang w:eastAsia="en-GB"/>
        </w:rPr>
      </w:pPr>
    </w:p>
    <w:p w:rsidR="00F4770F" w:rsidRDefault="00F4770F" w:rsidP="004D0817">
      <w:pPr>
        <w:rPr>
          <w:lang w:eastAsia="en-GB"/>
        </w:rPr>
      </w:pPr>
    </w:p>
    <w:p w:rsidR="00F4770F" w:rsidRDefault="00F4770F" w:rsidP="004D0817">
      <w:pPr>
        <w:rPr>
          <w:lang w:eastAsia="en-GB"/>
        </w:rPr>
      </w:pPr>
    </w:p>
    <w:p w:rsidR="00F4770F" w:rsidRDefault="00F4770F" w:rsidP="004D0817"/>
    <w:p w:rsidR="004E5EBD" w:rsidRDefault="004E5EBD" w:rsidP="004E5EBD">
      <w:pPr>
        <w:pStyle w:val="Caption"/>
        <w:keepNext/>
      </w:pPr>
      <w:bookmarkStart w:id="5" w:name="_Ref431125717"/>
      <w:bookmarkStart w:id="6" w:name="_Toc431332893"/>
      <w:r>
        <w:lastRenderedPageBreak/>
        <w:t xml:space="preserve">Table </w:t>
      </w:r>
      <w:r w:rsidR="001C051F">
        <w:fldChar w:fldCharType="begin"/>
      </w:r>
      <w:r w:rsidR="001C051F">
        <w:instrText xml:space="preserve"> SEQ Table \* ARABIC </w:instrText>
      </w:r>
      <w:r w:rsidR="001C051F">
        <w:fldChar w:fldCharType="separate"/>
      </w:r>
      <w:r w:rsidR="00772261">
        <w:rPr>
          <w:noProof/>
        </w:rPr>
        <w:t>1</w:t>
      </w:r>
      <w:r w:rsidR="001C051F">
        <w:rPr>
          <w:noProof/>
        </w:rPr>
        <w:fldChar w:fldCharType="end"/>
      </w:r>
      <w:bookmarkEnd w:id="5"/>
      <w:r>
        <w:t xml:space="preserve"> </w:t>
      </w:r>
      <w:r w:rsidRPr="001369BF">
        <w:t>Commercial Bank in Zimbabwe in 2015</w:t>
      </w:r>
      <w:bookmarkEnd w:id="6"/>
    </w:p>
    <w:tbl>
      <w:tblPr>
        <w:tblW w:w="0" w:type="auto"/>
        <w:tblInd w:w="-30" w:type="dxa"/>
        <w:tblBorders>
          <w:top w:val="single" w:sz="18" w:space="0" w:color="auto"/>
          <w:bottom w:val="single" w:sz="18" w:space="0" w:color="auto"/>
        </w:tblBorders>
        <w:tblLayout w:type="fixed"/>
        <w:tblLook w:val="04A0" w:firstRow="1" w:lastRow="0" w:firstColumn="1" w:lastColumn="0" w:noHBand="0" w:noVBand="1"/>
      </w:tblPr>
      <w:tblGrid>
        <w:gridCol w:w="574"/>
        <w:gridCol w:w="3119"/>
        <w:gridCol w:w="992"/>
        <w:gridCol w:w="709"/>
        <w:gridCol w:w="3622"/>
      </w:tblGrid>
      <w:tr w:rsidR="004D0817" w:rsidRPr="00364A7E" w:rsidTr="00F4770F">
        <w:trPr>
          <w:trHeight w:val="253"/>
        </w:trPr>
        <w:tc>
          <w:tcPr>
            <w:tcW w:w="3693" w:type="dxa"/>
            <w:gridSpan w:val="2"/>
            <w:tcBorders>
              <w:top w:val="single" w:sz="18" w:space="0" w:color="auto"/>
              <w:bottom w:val="single" w:sz="18" w:space="0" w:color="auto"/>
            </w:tcBorders>
            <w:shd w:val="clear" w:color="auto" w:fill="auto"/>
          </w:tcPr>
          <w:p w:rsidR="004D0817" w:rsidRPr="00364A7E" w:rsidRDefault="004E5EBD" w:rsidP="00772261">
            <w:pPr>
              <w:spacing w:after="0" w:line="240" w:lineRule="auto"/>
              <w:rPr>
                <w:rFonts w:eastAsia="Calibri" w:cs="Times New Roman"/>
                <w:sz w:val="22"/>
              </w:rPr>
            </w:pPr>
            <w:r>
              <w:t xml:space="preserve"> </w:t>
            </w:r>
            <w:r w:rsidR="004D0817" w:rsidRPr="00364A7E">
              <w:rPr>
                <w:rFonts w:cs="Times New Roman"/>
                <w:sz w:val="22"/>
                <w:lang w:eastAsia="en-GB"/>
              </w:rPr>
              <w:t>Commercial Banks</w:t>
            </w:r>
            <w:r w:rsidR="004D0817" w:rsidRPr="00364A7E">
              <w:rPr>
                <w:rFonts w:eastAsia="Calibri" w:cs="Times New Roman"/>
                <w:sz w:val="22"/>
              </w:rPr>
              <w:t xml:space="preserve"> </w:t>
            </w:r>
          </w:p>
        </w:tc>
        <w:tc>
          <w:tcPr>
            <w:tcW w:w="992" w:type="dxa"/>
            <w:tcBorders>
              <w:top w:val="single" w:sz="18" w:space="0" w:color="auto"/>
              <w:bottom w:val="single" w:sz="18" w:space="0" w:color="auto"/>
            </w:tcBorders>
            <w:shd w:val="clear" w:color="auto" w:fill="auto"/>
          </w:tcPr>
          <w:p w:rsidR="004D0817" w:rsidRPr="00364A7E" w:rsidRDefault="004D0817" w:rsidP="00772261">
            <w:pPr>
              <w:spacing w:after="0" w:line="240" w:lineRule="auto"/>
              <w:rPr>
                <w:rFonts w:eastAsia="Calibri" w:cs="Times New Roman"/>
                <w:sz w:val="22"/>
                <w:lang w:eastAsia="en-GB"/>
              </w:rPr>
            </w:pPr>
            <w:r>
              <w:rPr>
                <w:rFonts w:cs="Times New Roman"/>
                <w:sz w:val="22"/>
                <w:lang w:eastAsia="en-GB"/>
              </w:rPr>
              <w:t>Founded</w:t>
            </w:r>
          </w:p>
        </w:tc>
        <w:tc>
          <w:tcPr>
            <w:tcW w:w="709" w:type="dxa"/>
            <w:tcBorders>
              <w:top w:val="single" w:sz="18" w:space="0" w:color="auto"/>
              <w:bottom w:val="single" w:sz="18" w:space="0" w:color="auto"/>
            </w:tcBorders>
          </w:tcPr>
          <w:p w:rsidR="004D0817" w:rsidRPr="00364A7E" w:rsidRDefault="004D0817" w:rsidP="00772261">
            <w:pPr>
              <w:spacing w:after="0" w:line="240" w:lineRule="auto"/>
              <w:rPr>
                <w:rFonts w:cs="Times New Roman"/>
                <w:sz w:val="22"/>
                <w:lang w:eastAsia="en-GB"/>
              </w:rPr>
            </w:pPr>
            <w:r>
              <w:rPr>
                <w:rFonts w:cs="Times New Roman"/>
                <w:sz w:val="22"/>
                <w:lang w:eastAsia="en-GB"/>
              </w:rPr>
              <w:t>ZSE</w:t>
            </w:r>
          </w:p>
        </w:tc>
        <w:tc>
          <w:tcPr>
            <w:tcW w:w="3622" w:type="dxa"/>
            <w:tcBorders>
              <w:top w:val="single" w:sz="18" w:space="0" w:color="auto"/>
              <w:bottom w:val="single" w:sz="18" w:space="0" w:color="auto"/>
            </w:tcBorders>
          </w:tcPr>
          <w:p w:rsidR="004D0817" w:rsidRPr="00364A7E" w:rsidRDefault="004D0817" w:rsidP="00772261">
            <w:pPr>
              <w:spacing w:after="0" w:line="240" w:lineRule="auto"/>
              <w:rPr>
                <w:rFonts w:cs="Times New Roman"/>
                <w:sz w:val="22"/>
                <w:lang w:eastAsia="en-GB"/>
              </w:rPr>
            </w:pPr>
            <w:r w:rsidRPr="00364A7E">
              <w:rPr>
                <w:rFonts w:cs="Times New Roman"/>
                <w:sz w:val="22"/>
                <w:lang w:eastAsia="en-GB"/>
              </w:rPr>
              <w:t>Ownership structure</w:t>
            </w:r>
          </w:p>
        </w:tc>
      </w:tr>
      <w:tr w:rsidR="004D0817" w:rsidRPr="00364A7E" w:rsidTr="00F4770F">
        <w:trPr>
          <w:trHeight w:val="272"/>
        </w:trPr>
        <w:tc>
          <w:tcPr>
            <w:tcW w:w="574" w:type="dxa"/>
            <w:tcBorders>
              <w:top w:val="single" w:sz="18" w:space="0" w:color="auto"/>
              <w:bottom w:val="nil"/>
            </w:tcBorders>
            <w:shd w:val="clear" w:color="auto" w:fill="auto"/>
          </w:tcPr>
          <w:p w:rsidR="004D0817" w:rsidRPr="00364A7E" w:rsidRDefault="004D0817" w:rsidP="00772261">
            <w:pPr>
              <w:spacing w:after="0" w:line="240" w:lineRule="auto"/>
              <w:rPr>
                <w:rFonts w:eastAsia="Calibri" w:cs="Times New Roman"/>
                <w:sz w:val="22"/>
                <w:lang w:eastAsia="en-GB"/>
              </w:rPr>
            </w:pPr>
            <w:r w:rsidRPr="00364A7E">
              <w:rPr>
                <w:rFonts w:eastAsia="Calibri" w:cs="Times New Roman"/>
                <w:sz w:val="22"/>
                <w:lang w:eastAsia="en-GB"/>
              </w:rPr>
              <w:t>1</w:t>
            </w:r>
          </w:p>
        </w:tc>
        <w:tc>
          <w:tcPr>
            <w:tcW w:w="3119" w:type="dxa"/>
            <w:tcBorders>
              <w:top w:val="single" w:sz="18" w:space="0" w:color="auto"/>
              <w:bottom w:val="nil"/>
            </w:tcBorders>
            <w:shd w:val="clear" w:color="auto" w:fill="auto"/>
          </w:tcPr>
          <w:p w:rsidR="004D0817" w:rsidRPr="00364A7E" w:rsidRDefault="004D0817" w:rsidP="00772261">
            <w:pPr>
              <w:spacing w:after="0" w:line="240" w:lineRule="auto"/>
              <w:rPr>
                <w:rFonts w:eastAsia="Calibri" w:cs="Times New Roman"/>
                <w:sz w:val="22"/>
              </w:rPr>
            </w:pPr>
            <w:proofErr w:type="spellStart"/>
            <w:r w:rsidRPr="00364A7E">
              <w:rPr>
                <w:rFonts w:cs="Times New Roman"/>
                <w:sz w:val="22"/>
              </w:rPr>
              <w:t>Agribank</w:t>
            </w:r>
            <w:proofErr w:type="spellEnd"/>
          </w:p>
        </w:tc>
        <w:tc>
          <w:tcPr>
            <w:tcW w:w="992" w:type="dxa"/>
            <w:tcBorders>
              <w:top w:val="single" w:sz="18" w:space="0" w:color="auto"/>
              <w:bottom w:val="nil"/>
            </w:tcBorders>
            <w:shd w:val="clear" w:color="auto" w:fill="auto"/>
          </w:tcPr>
          <w:p w:rsidR="004D0817" w:rsidRPr="00364A7E" w:rsidRDefault="004D0817" w:rsidP="00772261">
            <w:pPr>
              <w:spacing w:after="0" w:line="240" w:lineRule="auto"/>
              <w:rPr>
                <w:rFonts w:eastAsia="Calibri" w:cs="Times New Roman"/>
                <w:sz w:val="22"/>
                <w:lang w:eastAsia="en-GB"/>
              </w:rPr>
            </w:pPr>
            <w:r w:rsidRPr="00364A7E">
              <w:rPr>
                <w:rFonts w:cs="Times New Roman"/>
                <w:sz w:val="22"/>
                <w:lang w:eastAsia="en-GB"/>
              </w:rPr>
              <w:t>1999</w:t>
            </w:r>
          </w:p>
        </w:tc>
        <w:tc>
          <w:tcPr>
            <w:tcW w:w="709" w:type="dxa"/>
            <w:tcBorders>
              <w:top w:val="single" w:sz="18" w:space="0" w:color="auto"/>
              <w:bottom w:val="nil"/>
            </w:tcBorders>
          </w:tcPr>
          <w:p w:rsidR="004D0817" w:rsidRPr="00364A7E" w:rsidRDefault="004D0817" w:rsidP="00772261">
            <w:pPr>
              <w:spacing w:after="0" w:line="240" w:lineRule="auto"/>
              <w:rPr>
                <w:rFonts w:cs="Times New Roman"/>
                <w:sz w:val="22"/>
                <w:lang w:eastAsia="en-GB"/>
              </w:rPr>
            </w:pPr>
            <w:r w:rsidRPr="00364A7E">
              <w:rPr>
                <w:rFonts w:cs="Times New Roman"/>
                <w:sz w:val="22"/>
                <w:lang w:eastAsia="en-GB"/>
              </w:rPr>
              <w:t>No</w:t>
            </w:r>
          </w:p>
        </w:tc>
        <w:tc>
          <w:tcPr>
            <w:tcW w:w="3622" w:type="dxa"/>
            <w:tcBorders>
              <w:top w:val="single" w:sz="18" w:space="0" w:color="auto"/>
              <w:bottom w:val="nil"/>
            </w:tcBorders>
          </w:tcPr>
          <w:p w:rsidR="004D0817" w:rsidRPr="00364A7E" w:rsidRDefault="004D0817" w:rsidP="00772261">
            <w:pPr>
              <w:spacing w:after="0" w:line="240" w:lineRule="auto"/>
              <w:jc w:val="left"/>
              <w:rPr>
                <w:rFonts w:cs="Times New Roman"/>
                <w:sz w:val="22"/>
                <w:lang w:eastAsia="en-GB"/>
              </w:rPr>
            </w:pPr>
            <w:r w:rsidRPr="00364A7E">
              <w:rPr>
                <w:rFonts w:cs="Times New Roman"/>
                <w:sz w:val="22"/>
                <w:lang w:eastAsia="en-GB"/>
              </w:rPr>
              <w:t>Significant government shareholding</w:t>
            </w:r>
          </w:p>
        </w:tc>
      </w:tr>
      <w:tr w:rsidR="004D0817" w:rsidRPr="00364A7E" w:rsidTr="00F4770F">
        <w:trPr>
          <w:trHeight w:val="226"/>
        </w:trPr>
        <w:tc>
          <w:tcPr>
            <w:tcW w:w="574" w:type="dxa"/>
            <w:tcBorders>
              <w:top w:val="nil"/>
              <w:bottom w:val="nil"/>
            </w:tcBorders>
            <w:shd w:val="clear" w:color="auto" w:fill="auto"/>
          </w:tcPr>
          <w:p w:rsidR="004D0817" w:rsidRPr="00364A7E" w:rsidRDefault="004D0817" w:rsidP="00772261">
            <w:pPr>
              <w:spacing w:after="0" w:line="240" w:lineRule="auto"/>
              <w:rPr>
                <w:rFonts w:eastAsia="Calibri" w:cs="Times New Roman"/>
                <w:sz w:val="22"/>
                <w:lang w:eastAsia="en-GB"/>
              </w:rPr>
            </w:pPr>
            <w:r w:rsidRPr="00364A7E">
              <w:rPr>
                <w:rFonts w:eastAsia="Calibri" w:cs="Times New Roman"/>
                <w:sz w:val="22"/>
                <w:lang w:eastAsia="en-GB"/>
              </w:rPr>
              <w:t>2</w:t>
            </w:r>
          </w:p>
        </w:tc>
        <w:tc>
          <w:tcPr>
            <w:tcW w:w="3119" w:type="dxa"/>
            <w:tcBorders>
              <w:top w:val="nil"/>
              <w:bottom w:val="nil"/>
            </w:tcBorders>
            <w:shd w:val="clear" w:color="auto" w:fill="auto"/>
          </w:tcPr>
          <w:p w:rsidR="004D0817" w:rsidRPr="00364A7E" w:rsidRDefault="004D0817" w:rsidP="00772261">
            <w:pPr>
              <w:spacing w:after="0" w:line="240" w:lineRule="auto"/>
              <w:rPr>
                <w:rFonts w:eastAsia="Calibri" w:cs="Times New Roman"/>
                <w:sz w:val="22"/>
                <w:lang w:eastAsia="en-GB"/>
              </w:rPr>
            </w:pPr>
            <w:r w:rsidRPr="00364A7E">
              <w:rPr>
                <w:rFonts w:cs="Times New Roman"/>
                <w:sz w:val="22"/>
              </w:rPr>
              <w:t>Banc ABC</w:t>
            </w:r>
          </w:p>
        </w:tc>
        <w:tc>
          <w:tcPr>
            <w:tcW w:w="992" w:type="dxa"/>
            <w:tcBorders>
              <w:top w:val="nil"/>
              <w:bottom w:val="nil"/>
            </w:tcBorders>
            <w:shd w:val="clear" w:color="auto" w:fill="auto"/>
          </w:tcPr>
          <w:p w:rsidR="004D0817" w:rsidRPr="00364A7E" w:rsidRDefault="004D0817" w:rsidP="00772261">
            <w:pPr>
              <w:spacing w:after="0" w:line="240" w:lineRule="auto"/>
              <w:rPr>
                <w:rFonts w:eastAsia="Calibri" w:cs="Times New Roman"/>
                <w:sz w:val="22"/>
                <w:lang w:eastAsia="en-GB"/>
              </w:rPr>
            </w:pPr>
            <w:r w:rsidRPr="00364A7E">
              <w:rPr>
                <w:rFonts w:eastAsia="Calibri" w:cs="Times New Roman"/>
                <w:sz w:val="22"/>
                <w:lang w:eastAsia="en-GB"/>
              </w:rPr>
              <w:t>1997</w:t>
            </w:r>
          </w:p>
        </w:tc>
        <w:tc>
          <w:tcPr>
            <w:tcW w:w="709" w:type="dxa"/>
            <w:tcBorders>
              <w:top w:val="nil"/>
              <w:bottom w:val="nil"/>
            </w:tcBorders>
          </w:tcPr>
          <w:p w:rsidR="004D0817" w:rsidRPr="00364A7E" w:rsidRDefault="004D0817" w:rsidP="00772261">
            <w:pPr>
              <w:spacing w:after="0" w:line="240" w:lineRule="auto"/>
              <w:rPr>
                <w:rFonts w:eastAsia="Calibri" w:cs="Times New Roman"/>
                <w:sz w:val="22"/>
                <w:lang w:eastAsia="en-GB"/>
              </w:rPr>
            </w:pPr>
            <w:r w:rsidRPr="00364A7E">
              <w:rPr>
                <w:rFonts w:cs="Times New Roman"/>
                <w:sz w:val="22"/>
                <w:lang w:eastAsia="en-GB"/>
              </w:rPr>
              <w:t>No</w:t>
            </w:r>
          </w:p>
        </w:tc>
        <w:tc>
          <w:tcPr>
            <w:tcW w:w="3622" w:type="dxa"/>
            <w:tcBorders>
              <w:top w:val="nil"/>
              <w:bottom w:val="nil"/>
            </w:tcBorders>
          </w:tcPr>
          <w:p w:rsidR="004D0817" w:rsidRPr="00364A7E" w:rsidRDefault="004D0817" w:rsidP="00772261">
            <w:pPr>
              <w:spacing w:after="0" w:line="240" w:lineRule="auto"/>
              <w:rPr>
                <w:rFonts w:eastAsia="Calibri" w:cs="Times New Roman"/>
                <w:sz w:val="22"/>
                <w:lang w:eastAsia="en-GB"/>
              </w:rPr>
            </w:pPr>
            <w:r w:rsidRPr="00364A7E">
              <w:rPr>
                <w:rFonts w:eastAsia="Calibri" w:cs="Times New Roman"/>
                <w:sz w:val="22"/>
                <w:lang w:eastAsia="en-GB"/>
              </w:rPr>
              <w:t>Significant foreign shareholding</w:t>
            </w:r>
          </w:p>
        </w:tc>
      </w:tr>
      <w:tr w:rsidR="004D0817" w:rsidRPr="00364A7E" w:rsidTr="00F4770F">
        <w:trPr>
          <w:trHeight w:val="243"/>
        </w:trPr>
        <w:tc>
          <w:tcPr>
            <w:tcW w:w="574" w:type="dxa"/>
            <w:tcBorders>
              <w:top w:val="nil"/>
              <w:bottom w:val="nil"/>
            </w:tcBorders>
            <w:shd w:val="clear" w:color="auto" w:fill="auto"/>
          </w:tcPr>
          <w:p w:rsidR="004D0817" w:rsidRPr="00364A7E" w:rsidRDefault="004D0817" w:rsidP="00772261">
            <w:pPr>
              <w:spacing w:after="0" w:line="240" w:lineRule="auto"/>
              <w:rPr>
                <w:rFonts w:eastAsia="Calibri" w:cs="Times New Roman"/>
                <w:sz w:val="22"/>
                <w:lang w:eastAsia="en-GB"/>
              </w:rPr>
            </w:pPr>
            <w:r w:rsidRPr="00364A7E">
              <w:rPr>
                <w:rFonts w:eastAsia="Calibri" w:cs="Times New Roman"/>
                <w:sz w:val="22"/>
                <w:lang w:eastAsia="en-GB"/>
              </w:rPr>
              <w:t>3</w:t>
            </w:r>
          </w:p>
        </w:tc>
        <w:tc>
          <w:tcPr>
            <w:tcW w:w="3119" w:type="dxa"/>
            <w:tcBorders>
              <w:top w:val="nil"/>
              <w:bottom w:val="nil"/>
            </w:tcBorders>
            <w:shd w:val="clear" w:color="auto" w:fill="auto"/>
          </w:tcPr>
          <w:p w:rsidR="004D0817" w:rsidRPr="00364A7E" w:rsidRDefault="004D0817" w:rsidP="00772261">
            <w:pPr>
              <w:spacing w:after="0" w:line="240" w:lineRule="auto"/>
              <w:rPr>
                <w:rFonts w:eastAsia="Calibri" w:cs="Times New Roman"/>
                <w:sz w:val="22"/>
                <w:lang w:eastAsia="en-GB"/>
              </w:rPr>
            </w:pPr>
            <w:r w:rsidRPr="00364A7E">
              <w:rPr>
                <w:rFonts w:cs="Times New Roman"/>
                <w:sz w:val="22"/>
              </w:rPr>
              <w:t>Barclays Bank of Zimbabwe</w:t>
            </w:r>
          </w:p>
        </w:tc>
        <w:tc>
          <w:tcPr>
            <w:tcW w:w="992" w:type="dxa"/>
            <w:tcBorders>
              <w:top w:val="nil"/>
              <w:bottom w:val="nil"/>
            </w:tcBorders>
            <w:shd w:val="clear" w:color="auto" w:fill="auto"/>
          </w:tcPr>
          <w:p w:rsidR="004D0817" w:rsidRPr="00364A7E" w:rsidRDefault="004D0817" w:rsidP="00772261">
            <w:pPr>
              <w:spacing w:after="0" w:line="240" w:lineRule="auto"/>
              <w:rPr>
                <w:rFonts w:eastAsia="Calibri" w:cs="Times New Roman"/>
                <w:sz w:val="22"/>
                <w:lang w:eastAsia="en-GB"/>
              </w:rPr>
            </w:pPr>
            <w:r w:rsidRPr="00364A7E">
              <w:rPr>
                <w:rFonts w:eastAsia="Calibri" w:cs="Times New Roman"/>
                <w:sz w:val="22"/>
                <w:lang w:eastAsia="en-GB"/>
              </w:rPr>
              <w:t>1912</w:t>
            </w:r>
          </w:p>
        </w:tc>
        <w:tc>
          <w:tcPr>
            <w:tcW w:w="709" w:type="dxa"/>
            <w:tcBorders>
              <w:top w:val="nil"/>
              <w:bottom w:val="nil"/>
            </w:tcBorders>
          </w:tcPr>
          <w:p w:rsidR="004D0817" w:rsidRPr="00364A7E" w:rsidRDefault="004D0817" w:rsidP="00772261">
            <w:pPr>
              <w:spacing w:after="0" w:line="240" w:lineRule="auto"/>
              <w:rPr>
                <w:rFonts w:eastAsia="Calibri" w:cs="Times New Roman"/>
                <w:sz w:val="22"/>
                <w:lang w:eastAsia="en-GB"/>
              </w:rPr>
            </w:pPr>
            <w:r w:rsidRPr="00364A7E">
              <w:rPr>
                <w:rFonts w:eastAsia="Calibri" w:cs="Times New Roman"/>
                <w:sz w:val="22"/>
                <w:lang w:eastAsia="en-GB"/>
              </w:rPr>
              <w:t>Yes</w:t>
            </w:r>
          </w:p>
        </w:tc>
        <w:tc>
          <w:tcPr>
            <w:tcW w:w="3622" w:type="dxa"/>
            <w:tcBorders>
              <w:top w:val="nil"/>
              <w:bottom w:val="nil"/>
            </w:tcBorders>
          </w:tcPr>
          <w:p w:rsidR="004D0817" w:rsidRPr="00364A7E" w:rsidRDefault="004D0817" w:rsidP="00772261">
            <w:pPr>
              <w:spacing w:after="0" w:line="240" w:lineRule="auto"/>
              <w:rPr>
                <w:rFonts w:eastAsia="Calibri" w:cs="Times New Roman"/>
                <w:sz w:val="22"/>
                <w:lang w:eastAsia="en-GB"/>
              </w:rPr>
            </w:pPr>
            <w:r w:rsidRPr="00364A7E">
              <w:rPr>
                <w:rFonts w:eastAsia="Calibri" w:cs="Times New Roman"/>
                <w:sz w:val="22"/>
                <w:lang w:eastAsia="en-GB"/>
              </w:rPr>
              <w:t>Significant foreign shareholding</w:t>
            </w:r>
          </w:p>
        </w:tc>
      </w:tr>
      <w:tr w:rsidR="004D0817" w:rsidRPr="00364A7E" w:rsidTr="00F4770F">
        <w:trPr>
          <w:trHeight w:val="226"/>
        </w:trPr>
        <w:tc>
          <w:tcPr>
            <w:tcW w:w="574" w:type="dxa"/>
            <w:tcBorders>
              <w:top w:val="nil"/>
              <w:bottom w:val="nil"/>
            </w:tcBorders>
            <w:shd w:val="clear" w:color="auto" w:fill="auto"/>
          </w:tcPr>
          <w:p w:rsidR="004D0817" w:rsidRPr="00364A7E" w:rsidRDefault="004D0817" w:rsidP="00772261">
            <w:pPr>
              <w:spacing w:after="0" w:line="240" w:lineRule="auto"/>
              <w:rPr>
                <w:rFonts w:eastAsia="Calibri" w:cs="Times New Roman"/>
                <w:sz w:val="22"/>
                <w:lang w:eastAsia="en-GB"/>
              </w:rPr>
            </w:pPr>
            <w:r w:rsidRPr="00364A7E">
              <w:rPr>
                <w:rFonts w:eastAsia="Calibri" w:cs="Times New Roman"/>
                <w:sz w:val="22"/>
                <w:lang w:eastAsia="en-GB"/>
              </w:rPr>
              <w:t>4</w:t>
            </w:r>
          </w:p>
        </w:tc>
        <w:tc>
          <w:tcPr>
            <w:tcW w:w="3119" w:type="dxa"/>
            <w:tcBorders>
              <w:top w:val="nil"/>
              <w:bottom w:val="nil"/>
            </w:tcBorders>
            <w:shd w:val="clear" w:color="auto" w:fill="auto"/>
          </w:tcPr>
          <w:p w:rsidR="004D0817" w:rsidRPr="00364A7E" w:rsidRDefault="004D0817" w:rsidP="00772261">
            <w:pPr>
              <w:spacing w:after="0" w:line="240" w:lineRule="auto"/>
              <w:rPr>
                <w:rFonts w:eastAsia="Calibri" w:cs="Times New Roman"/>
                <w:sz w:val="22"/>
                <w:lang w:eastAsia="en-GB"/>
              </w:rPr>
            </w:pPr>
            <w:r w:rsidRPr="00364A7E">
              <w:rPr>
                <w:rFonts w:cs="Times New Roman"/>
                <w:sz w:val="22"/>
              </w:rPr>
              <w:t>CBZ Bank limited</w:t>
            </w:r>
          </w:p>
        </w:tc>
        <w:tc>
          <w:tcPr>
            <w:tcW w:w="992" w:type="dxa"/>
            <w:tcBorders>
              <w:top w:val="nil"/>
              <w:bottom w:val="nil"/>
            </w:tcBorders>
            <w:shd w:val="clear" w:color="auto" w:fill="auto"/>
          </w:tcPr>
          <w:p w:rsidR="004D0817" w:rsidRPr="00364A7E" w:rsidRDefault="004D0817" w:rsidP="00772261">
            <w:pPr>
              <w:spacing w:after="0" w:line="240" w:lineRule="auto"/>
              <w:rPr>
                <w:rFonts w:eastAsia="Calibri" w:cs="Times New Roman"/>
                <w:sz w:val="22"/>
                <w:lang w:eastAsia="en-GB"/>
              </w:rPr>
            </w:pPr>
            <w:r w:rsidRPr="00364A7E">
              <w:rPr>
                <w:rFonts w:eastAsia="Calibri" w:cs="Times New Roman"/>
                <w:sz w:val="22"/>
                <w:lang w:eastAsia="en-GB"/>
              </w:rPr>
              <w:t>1980</w:t>
            </w:r>
          </w:p>
        </w:tc>
        <w:tc>
          <w:tcPr>
            <w:tcW w:w="709" w:type="dxa"/>
            <w:tcBorders>
              <w:top w:val="nil"/>
              <w:bottom w:val="nil"/>
            </w:tcBorders>
          </w:tcPr>
          <w:p w:rsidR="004D0817" w:rsidRPr="00364A7E" w:rsidRDefault="004D0817" w:rsidP="00772261">
            <w:pPr>
              <w:spacing w:after="0" w:line="240" w:lineRule="auto"/>
              <w:rPr>
                <w:rFonts w:eastAsia="Calibri" w:cs="Times New Roman"/>
                <w:sz w:val="22"/>
                <w:lang w:eastAsia="en-GB"/>
              </w:rPr>
            </w:pPr>
            <w:r w:rsidRPr="00364A7E">
              <w:rPr>
                <w:rFonts w:eastAsia="Calibri" w:cs="Times New Roman"/>
                <w:sz w:val="22"/>
                <w:lang w:eastAsia="en-GB"/>
              </w:rPr>
              <w:t>Yes</w:t>
            </w:r>
          </w:p>
        </w:tc>
        <w:tc>
          <w:tcPr>
            <w:tcW w:w="3622" w:type="dxa"/>
            <w:tcBorders>
              <w:top w:val="nil"/>
              <w:bottom w:val="nil"/>
            </w:tcBorders>
          </w:tcPr>
          <w:p w:rsidR="004D0817" w:rsidRPr="00364A7E" w:rsidRDefault="004D0817" w:rsidP="00772261">
            <w:pPr>
              <w:spacing w:after="0" w:line="240" w:lineRule="auto"/>
              <w:rPr>
                <w:rFonts w:eastAsia="Calibri" w:cs="Times New Roman"/>
                <w:sz w:val="22"/>
                <w:lang w:eastAsia="en-GB"/>
              </w:rPr>
            </w:pPr>
            <w:r w:rsidRPr="00364A7E">
              <w:rPr>
                <w:rFonts w:eastAsia="Calibri" w:cs="Times New Roman"/>
                <w:sz w:val="22"/>
                <w:lang w:eastAsia="en-GB"/>
              </w:rPr>
              <w:t xml:space="preserve">Indigenous privately owned </w:t>
            </w:r>
          </w:p>
        </w:tc>
      </w:tr>
      <w:tr w:rsidR="004D0817" w:rsidRPr="00364A7E" w:rsidTr="00F4770F">
        <w:trPr>
          <w:trHeight w:val="226"/>
        </w:trPr>
        <w:tc>
          <w:tcPr>
            <w:tcW w:w="574" w:type="dxa"/>
            <w:tcBorders>
              <w:top w:val="nil"/>
              <w:bottom w:val="nil"/>
            </w:tcBorders>
            <w:shd w:val="clear" w:color="auto" w:fill="auto"/>
          </w:tcPr>
          <w:p w:rsidR="004D0817" w:rsidRPr="00364A7E" w:rsidRDefault="004D0817" w:rsidP="00772261">
            <w:pPr>
              <w:spacing w:after="0" w:line="240" w:lineRule="auto"/>
              <w:rPr>
                <w:rFonts w:eastAsia="Calibri" w:cs="Times New Roman"/>
                <w:sz w:val="22"/>
                <w:lang w:eastAsia="en-GB"/>
              </w:rPr>
            </w:pPr>
            <w:r w:rsidRPr="00364A7E">
              <w:rPr>
                <w:rFonts w:eastAsia="Calibri" w:cs="Times New Roman"/>
                <w:sz w:val="22"/>
                <w:lang w:eastAsia="en-GB"/>
              </w:rPr>
              <w:t>5</w:t>
            </w:r>
          </w:p>
        </w:tc>
        <w:tc>
          <w:tcPr>
            <w:tcW w:w="3119" w:type="dxa"/>
            <w:tcBorders>
              <w:top w:val="nil"/>
              <w:bottom w:val="nil"/>
            </w:tcBorders>
            <w:shd w:val="clear" w:color="auto" w:fill="auto"/>
          </w:tcPr>
          <w:p w:rsidR="004D0817" w:rsidRPr="00364A7E" w:rsidRDefault="004D0817" w:rsidP="00772261">
            <w:pPr>
              <w:spacing w:after="0" w:line="240" w:lineRule="auto"/>
              <w:rPr>
                <w:rFonts w:eastAsia="Calibri" w:cs="Times New Roman"/>
                <w:sz w:val="22"/>
                <w:lang w:eastAsia="en-GB"/>
              </w:rPr>
            </w:pPr>
            <w:proofErr w:type="spellStart"/>
            <w:r w:rsidRPr="00364A7E">
              <w:rPr>
                <w:rFonts w:eastAsia="Calibri" w:cs="Times New Roman"/>
                <w:sz w:val="22"/>
                <w:lang w:eastAsia="en-GB"/>
              </w:rPr>
              <w:t>Ecobank</w:t>
            </w:r>
            <w:proofErr w:type="spellEnd"/>
            <w:r w:rsidRPr="00364A7E">
              <w:rPr>
                <w:rFonts w:eastAsia="Calibri" w:cs="Times New Roman"/>
                <w:sz w:val="22"/>
                <w:lang w:eastAsia="en-GB"/>
              </w:rPr>
              <w:t xml:space="preserve"> </w:t>
            </w:r>
            <w:proofErr w:type="spellStart"/>
            <w:r w:rsidRPr="00364A7E">
              <w:rPr>
                <w:rFonts w:eastAsia="Calibri" w:cs="Times New Roman"/>
                <w:sz w:val="22"/>
                <w:lang w:eastAsia="en-GB"/>
              </w:rPr>
              <w:t>Ecobank</w:t>
            </w:r>
            <w:proofErr w:type="spellEnd"/>
            <w:r w:rsidRPr="00364A7E">
              <w:rPr>
                <w:rFonts w:eastAsia="Calibri" w:cs="Times New Roman"/>
                <w:sz w:val="22"/>
                <w:lang w:eastAsia="en-GB"/>
              </w:rPr>
              <w:t xml:space="preserve"> </w:t>
            </w:r>
          </w:p>
        </w:tc>
        <w:tc>
          <w:tcPr>
            <w:tcW w:w="992" w:type="dxa"/>
            <w:tcBorders>
              <w:top w:val="nil"/>
              <w:bottom w:val="nil"/>
            </w:tcBorders>
            <w:shd w:val="clear" w:color="auto" w:fill="auto"/>
          </w:tcPr>
          <w:p w:rsidR="004D0817" w:rsidRPr="00364A7E" w:rsidRDefault="004D0817" w:rsidP="00772261">
            <w:pPr>
              <w:spacing w:after="0" w:line="240" w:lineRule="auto"/>
              <w:rPr>
                <w:rFonts w:eastAsia="Calibri" w:cs="Times New Roman"/>
                <w:sz w:val="22"/>
                <w:lang w:eastAsia="en-GB"/>
              </w:rPr>
            </w:pPr>
            <w:r w:rsidRPr="00364A7E">
              <w:rPr>
                <w:rFonts w:eastAsia="Calibri" w:cs="Times New Roman"/>
                <w:sz w:val="22"/>
                <w:lang w:eastAsia="en-GB"/>
              </w:rPr>
              <w:t>2002</w:t>
            </w:r>
          </w:p>
        </w:tc>
        <w:tc>
          <w:tcPr>
            <w:tcW w:w="709" w:type="dxa"/>
            <w:tcBorders>
              <w:top w:val="nil"/>
              <w:bottom w:val="nil"/>
            </w:tcBorders>
          </w:tcPr>
          <w:p w:rsidR="004D0817" w:rsidRPr="00364A7E" w:rsidRDefault="004D0817" w:rsidP="00772261">
            <w:pPr>
              <w:spacing w:after="0" w:line="240" w:lineRule="auto"/>
              <w:rPr>
                <w:rFonts w:eastAsia="Calibri" w:cs="Times New Roman"/>
                <w:sz w:val="22"/>
                <w:lang w:eastAsia="en-GB"/>
              </w:rPr>
            </w:pPr>
            <w:r w:rsidRPr="00364A7E">
              <w:rPr>
                <w:rFonts w:cs="Times New Roman"/>
                <w:sz w:val="22"/>
                <w:lang w:eastAsia="en-GB"/>
              </w:rPr>
              <w:t>No</w:t>
            </w:r>
          </w:p>
        </w:tc>
        <w:tc>
          <w:tcPr>
            <w:tcW w:w="3622" w:type="dxa"/>
            <w:tcBorders>
              <w:top w:val="nil"/>
              <w:bottom w:val="nil"/>
            </w:tcBorders>
          </w:tcPr>
          <w:p w:rsidR="004D0817" w:rsidRPr="00364A7E" w:rsidRDefault="004D0817" w:rsidP="00772261">
            <w:pPr>
              <w:spacing w:after="0" w:line="240" w:lineRule="auto"/>
              <w:rPr>
                <w:rFonts w:eastAsia="Calibri" w:cs="Times New Roman"/>
                <w:sz w:val="22"/>
                <w:lang w:eastAsia="en-GB"/>
              </w:rPr>
            </w:pPr>
            <w:r w:rsidRPr="00364A7E">
              <w:rPr>
                <w:rFonts w:eastAsia="Calibri" w:cs="Times New Roman"/>
                <w:sz w:val="22"/>
                <w:lang w:eastAsia="en-GB"/>
              </w:rPr>
              <w:t>Significant foreign shareholding</w:t>
            </w:r>
          </w:p>
        </w:tc>
      </w:tr>
      <w:tr w:rsidR="004D0817" w:rsidRPr="00364A7E" w:rsidTr="00F4770F">
        <w:trPr>
          <w:trHeight w:val="226"/>
        </w:trPr>
        <w:tc>
          <w:tcPr>
            <w:tcW w:w="574" w:type="dxa"/>
            <w:tcBorders>
              <w:top w:val="nil"/>
              <w:bottom w:val="nil"/>
            </w:tcBorders>
            <w:shd w:val="clear" w:color="auto" w:fill="auto"/>
          </w:tcPr>
          <w:p w:rsidR="004D0817" w:rsidRPr="00364A7E" w:rsidRDefault="004D0817" w:rsidP="00772261">
            <w:pPr>
              <w:spacing w:after="0" w:line="240" w:lineRule="auto"/>
              <w:rPr>
                <w:rFonts w:eastAsia="Calibri" w:cs="Times New Roman"/>
                <w:sz w:val="22"/>
                <w:lang w:eastAsia="en-GB"/>
              </w:rPr>
            </w:pPr>
            <w:r w:rsidRPr="00364A7E">
              <w:rPr>
                <w:rFonts w:eastAsia="Calibri" w:cs="Times New Roman"/>
                <w:sz w:val="22"/>
                <w:lang w:eastAsia="en-GB"/>
              </w:rPr>
              <w:t>6</w:t>
            </w:r>
          </w:p>
        </w:tc>
        <w:tc>
          <w:tcPr>
            <w:tcW w:w="3119" w:type="dxa"/>
            <w:tcBorders>
              <w:top w:val="nil"/>
              <w:bottom w:val="nil"/>
            </w:tcBorders>
            <w:shd w:val="clear" w:color="auto" w:fill="auto"/>
          </w:tcPr>
          <w:p w:rsidR="004D0817" w:rsidRPr="00364A7E" w:rsidRDefault="004D0817" w:rsidP="00772261">
            <w:pPr>
              <w:spacing w:after="0" w:line="240" w:lineRule="auto"/>
              <w:rPr>
                <w:rFonts w:eastAsia="Calibri" w:cs="Times New Roman"/>
                <w:sz w:val="22"/>
                <w:lang w:eastAsia="en-GB"/>
              </w:rPr>
            </w:pPr>
            <w:r w:rsidRPr="00364A7E">
              <w:rPr>
                <w:rFonts w:eastAsia="Calibri" w:cs="Times New Roman"/>
                <w:sz w:val="22"/>
                <w:lang w:eastAsia="en-GB"/>
              </w:rPr>
              <w:t>FBC Bank Limited</w:t>
            </w:r>
          </w:p>
        </w:tc>
        <w:tc>
          <w:tcPr>
            <w:tcW w:w="992" w:type="dxa"/>
            <w:tcBorders>
              <w:top w:val="nil"/>
              <w:bottom w:val="nil"/>
            </w:tcBorders>
            <w:shd w:val="clear" w:color="auto" w:fill="auto"/>
          </w:tcPr>
          <w:p w:rsidR="004D0817" w:rsidRPr="00364A7E" w:rsidRDefault="004D0817" w:rsidP="00772261">
            <w:pPr>
              <w:spacing w:after="0" w:line="240" w:lineRule="auto"/>
              <w:rPr>
                <w:rFonts w:eastAsia="Calibri" w:cs="Times New Roman"/>
                <w:sz w:val="22"/>
                <w:lang w:eastAsia="en-GB"/>
              </w:rPr>
            </w:pPr>
            <w:r w:rsidRPr="00364A7E">
              <w:rPr>
                <w:rFonts w:eastAsia="Calibri" w:cs="Times New Roman"/>
                <w:sz w:val="22"/>
                <w:lang w:eastAsia="en-GB"/>
              </w:rPr>
              <w:t>1997</w:t>
            </w:r>
          </w:p>
        </w:tc>
        <w:tc>
          <w:tcPr>
            <w:tcW w:w="709" w:type="dxa"/>
            <w:tcBorders>
              <w:top w:val="nil"/>
              <w:bottom w:val="nil"/>
            </w:tcBorders>
          </w:tcPr>
          <w:p w:rsidR="004D0817" w:rsidRPr="00364A7E" w:rsidRDefault="004D0817" w:rsidP="00772261">
            <w:pPr>
              <w:spacing w:after="0" w:line="240" w:lineRule="auto"/>
              <w:rPr>
                <w:rFonts w:eastAsia="Calibri" w:cs="Times New Roman"/>
                <w:sz w:val="22"/>
                <w:lang w:eastAsia="en-GB"/>
              </w:rPr>
            </w:pPr>
            <w:r w:rsidRPr="00364A7E">
              <w:rPr>
                <w:rFonts w:eastAsia="Calibri" w:cs="Times New Roman"/>
                <w:sz w:val="22"/>
                <w:lang w:eastAsia="en-GB"/>
              </w:rPr>
              <w:t>Yes</w:t>
            </w:r>
          </w:p>
        </w:tc>
        <w:tc>
          <w:tcPr>
            <w:tcW w:w="3622" w:type="dxa"/>
            <w:tcBorders>
              <w:top w:val="nil"/>
              <w:bottom w:val="nil"/>
            </w:tcBorders>
          </w:tcPr>
          <w:p w:rsidR="004D0817" w:rsidRPr="00364A7E" w:rsidRDefault="004D0817" w:rsidP="00772261">
            <w:pPr>
              <w:spacing w:after="0" w:line="240" w:lineRule="auto"/>
              <w:rPr>
                <w:rFonts w:eastAsia="Calibri" w:cs="Times New Roman"/>
                <w:sz w:val="22"/>
                <w:lang w:eastAsia="en-GB"/>
              </w:rPr>
            </w:pPr>
            <w:r w:rsidRPr="00364A7E">
              <w:rPr>
                <w:rFonts w:eastAsia="Calibri" w:cs="Times New Roman"/>
                <w:sz w:val="22"/>
                <w:lang w:eastAsia="en-GB"/>
              </w:rPr>
              <w:t>Indigenous privately owned</w:t>
            </w:r>
          </w:p>
        </w:tc>
      </w:tr>
      <w:tr w:rsidR="004D0817" w:rsidRPr="00364A7E" w:rsidTr="00F4770F">
        <w:trPr>
          <w:trHeight w:val="226"/>
        </w:trPr>
        <w:tc>
          <w:tcPr>
            <w:tcW w:w="574" w:type="dxa"/>
            <w:tcBorders>
              <w:top w:val="nil"/>
              <w:bottom w:val="nil"/>
            </w:tcBorders>
            <w:shd w:val="clear" w:color="auto" w:fill="auto"/>
          </w:tcPr>
          <w:p w:rsidR="004D0817" w:rsidRPr="00364A7E" w:rsidRDefault="004D0817" w:rsidP="00772261">
            <w:pPr>
              <w:spacing w:after="0" w:line="240" w:lineRule="auto"/>
              <w:rPr>
                <w:rFonts w:eastAsia="Calibri" w:cs="Times New Roman"/>
                <w:sz w:val="22"/>
                <w:lang w:eastAsia="en-GB"/>
              </w:rPr>
            </w:pPr>
            <w:r w:rsidRPr="00364A7E">
              <w:rPr>
                <w:rFonts w:eastAsia="Calibri" w:cs="Times New Roman"/>
                <w:sz w:val="22"/>
                <w:lang w:eastAsia="en-GB"/>
              </w:rPr>
              <w:t>7</w:t>
            </w:r>
          </w:p>
        </w:tc>
        <w:tc>
          <w:tcPr>
            <w:tcW w:w="3119" w:type="dxa"/>
            <w:tcBorders>
              <w:top w:val="nil"/>
              <w:bottom w:val="nil"/>
            </w:tcBorders>
            <w:shd w:val="clear" w:color="auto" w:fill="auto"/>
          </w:tcPr>
          <w:p w:rsidR="004D0817" w:rsidRPr="00364A7E" w:rsidRDefault="004D0817" w:rsidP="00772261">
            <w:pPr>
              <w:spacing w:after="0" w:line="240" w:lineRule="auto"/>
              <w:rPr>
                <w:rFonts w:eastAsia="Calibri" w:cs="Times New Roman"/>
                <w:sz w:val="22"/>
                <w:lang w:eastAsia="en-GB"/>
              </w:rPr>
            </w:pPr>
            <w:r>
              <w:rPr>
                <w:rFonts w:cs="Times New Roman"/>
                <w:sz w:val="22"/>
              </w:rPr>
              <w:t>MBCA Bank limited</w:t>
            </w:r>
            <w:r w:rsidRPr="00364A7E">
              <w:rPr>
                <w:rFonts w:cs="Times New Roman"/>
                <w:sz w:val="22"/>
                <w:lang w:eastAsia="en-GB"/>
              </w:rPr>
              <w:tab/>
            </w:r>
          </w:p>
        </w:tc>
        <w:tc>
          <w:tcPr>
            <w:tcW w:w="992" w:type="dxa"/>
            <w:tcBorders>
              <w:top w:val="nil"/>
              <w:bottom w:val="nil"/>
            </w:tcBorders>
            <w:shd w:val="clear" w:color="auto" w:fill="auto"/>
          </w:tcPr>
          <w:p w:rsidR="004D0817" w:rsidRPr="00364A7E" w:rsidRDefault="004D0817" w:rsidP="00772261">
            <w:pPr>
              <w:spacing w:after="0" w:line="240" w:lineRule="auto"/>
              <w:rPr>
                <w:rFonts w:eastAsia="Calibri" w:cs="Times New Roman"/>
                <w:sz w:val="22"/>
                <w:lang w:eastAsia="en-GB"/>
              </w:rPr>
            </w:pPr>
            <w:r w:rsidRPr="00364A7E">
              <w:rPr>
                <w:rFonts w:eastAsia="Calibri" w:cs="Times New Roman"/>
                <w:sz w:val="22"/>
                <w:lang w:eastAsia="en-GB"/>
              </w:rPr>
              <w:t>1956</w:t>
            </w:r>
          </w:p>
        </w:tc>
        <w:tc>
          <w:tcPr>
            <w:tcW w:w="709" w:type="dxa"/>
            <w:tcBorders>
              <w:top w:val="nil"/>
              <w:bottom w:val="nil"/>
            </w:tcBorders>
          </w:tcPr>
          <w:p w:rsidR="004D0817" w:rsidRPr="00364A7E" w:rsidRDefault="004D0817" w:rsidP="00772261">
            <w:pPr>
              <w:spacing w:after="0" w:line="240" w:lineRule="auto"/>
              <w:rPr>
                <w:rFonts w:eastAsia="Calibri" w:cs="Times New Roman"/>
                <w:sz w:val="22"/>
                <w:lang w:eastAsia="en-GB"/>
              </w:rPr>
            </w:pPr>
            <w:r w:rsidRPr="00364A7E">
              <w:rPr>
                <w:rFonts w:cs="Times New Roman"/>
                <w:sz w:val="22"/>
                <w:lang w:eastAsia="en-GB"/>
              </w:rPr>
              <w:t>No</w:t>
            </w:r>
          </w:p>
        </w:tc>
        <w:tc>
          <w:tcPr>
            <w:tcW w:w="3622" w:type="dxa"/>
            <w:tcBorders>
              <w:top w:val="nil"/>
              <w:bottom w:val="nil"/>
            </w:tcBorders>
          </w:tcPr>
          <w:p w:rsidR="004D0817" w:rsidRPr="00364A7E" w:rsidRDefault="004D0817" w:rsidP="00772261">
            <w:pPr>
              <w:spacing w:after="0" w:line="240" w:lineRule="auto"/>
              <w:rPr>
                <w:rFonts w:eastAsia="Calibri" w:cs="Times New Roman"/>
                <w:sz w:val="22"/>
                <w:lang w:eastAsia="en-GB"/>
              </w:rPr>
            </w:pPr>
            <w:r w:rsidRPr="00364A7E">
              <w:rPr>
                <w:rFonts w:eastAsia="Calibri" w:cs="Times New Roman"/>
                <w:sz w:val="22"/>
                <w:lang w:eastAsia="en-GB"/>
              </w:rPr>
              <w:t>Significant foreign shareholding</w:t>
            </w:r>
          </w:p>
        </w:tc>
      </w:tr>
      <w:tr w:rsidR="004D0817" w:rsidRPr="00364A7E" w:rsidTr="00F4770F">
        <w:trPr>
          <w:trHeight w:val="226"/>
        </w:trPr>
        <w:tc>
          <w:tcPr>
            <w:tcW w:w="574" w:type="dxa"/>
            <w:tcBorders>
              <w:top w:val="nil"/>
              <w:bottom w:val="nil"/>
            </w:tcBorders>
            <w:shd w:val="clear" w:color="auto" w:fill="auto"/>
          </w:tcPr>
          <w:p w:rsidR="004D0817" w:rsidRPr="00364A7E" w:rsidRDefault="004D0817" w:rsidP="00772261">
            <w:pPr>
              <w:spacing w:after="0" w:line="240" w:lineRule="auto"/>
              <w:rPr>
                <w:rFonts w:eastAsia="Calibri" w:cs="Times New Roman"/>
                <w:sz w:val="22"/>
                <w:lang w:eastAsia="en-GB"/>
              </w:rPr>
            </w:pPr>
            <w:r w:rsidRPr="00364A7E">
              <w:rPr>
                <w:rFonts w:eastAsia="Calibri" w:cs="Times New Roman"/>
                <w:sz w:val="22"/>
                <w:lang w:eastAsia="en-GB"/>
              </w:rPr>
              <w:t>8</w:t>
            </w:r>
          </w:p>
        </w:tc>
        <w:tc>
          <w:tcPr>
            <w:tcW w:w="3119" w:type="dxa"/>
            <w:tcBorders>
              <w:top w:val="nil"/>
              <w:bottom w:val="nil"/>
            </w:tcBorders>
            <w:shd w:val="clear" w:color="auto" w:fill="auto"/>
          </w:tcPr>
          <w:p w:rsidR="004D0817" w:rsidRPr="00364A7E" w:rsidRDefault="004D0817" w:rsidP="00772261">
            <w:pPr>
              <w:spacing w:after="0" w:line="240" w:lineRule="auto"/>
              <w:rPr>
                <w:rFonts w:eastAsia="Calibri" w:cs="Times New Roman"/>
                <w:sz w:val="22"/>
                <w:lang w:eastAsia="en-GB"/>
              </w:rPr>
            </w:pPr>
            <w:proofErr w:type="spellStart"/>
            <w:r>
              <w:rPr>
                <w:rFonts w:cs="Times New Roman"/>
                <w:sz w:val="22"/>
              </w:rPr>
              <w:t>Metbank</w:t>
            </w:r>
            <w:proofErr w:type="spellEnd"/>
          </w:p>
        </w:tc>
        <w:tc>
          <w:tcPr>
            <w:tcW w:w="992" w:type="dxa"/>
            <w:tcBorders>
              <w:top w:val="nil"/>
              <w:bottom w:val="nil"/>
            </w:tcBorders>
            <w:shd w:val="clear" w:color="auto" w:fill="auto"/>
          </w:tcPr>
          <w:p w:rsidR="004D0817" w:rsidRPr="00364A7E" w:rsidRDefault="004D0817" w:rsidP="00772261">
            <w:pPr>
              <w:spacing w:after="0" w:line="240" w:lineRule="auto"/>
              <w:rPr>
                <w:rFonts w:eastAsia="Calibri" w:cs="Times New Roman"/>
                <w:sz w:val="22"/>
                <w:lang w:eastAsia="en-GB"/>
              </w:rPr>
            </w:pPr>
            <w:r w:rsidRPr="00364A7E">
              <w:rPr>
                <w:rFonts w:eastAsia="Calibri" w:cs="Times New Roman"/>
                <w:sz w:val="22"/>
                <w:lang w:eastAsia="en-GB"/>
              </w:rPr>
              <w:t>1999</w:t>
            </w:r>
          </w:p>
        </w:tc>
        <w:tc>
          <w:tcPr>
            <w:tcW w:w="709" w:type="dxa"/>
            <w:tcBorders>
              <w:top w:val="nil"/>
              <w:bottom w:val="nil"/>
            </w:tcBorders>
          </w:tcPr>
          <w:p w:rsidR="004D0817" w:rsidRPr="00364A7E" w:rsidRDefault="004D0817" w:rsidP="00772261">
            <w:pPr>
              <w:spacing w:after="0" w:line="240" w:lineRule="auto"/>
              <w:rPr>
                <w:rFonts w:eastAsia="Calibri" w:cs="Times New Roman"/>
                <w:sz w:val="22"/>
                <w:lang w:eastAsia="en-GB"/>
              </w:rPr>
            </w:pPr>
            <w:r w:rsidRPr="00364A7E">
              <w:rPr>
                <w:rFonts w:cs="Times New Roman"/>
                <w:sz w:val="22"/>
                <w:lang w:eastAsia="en-GB"/>
              </w:rPr>
              <w:t>No</w:t>
            </w:r>
          </w:p>
        </w:tc>
        <w:tc>
          <w:tcPr>
            <w:tcW w:w="3622" w:type="dxa"/>
            <w:tcBorders>
              <w:top w:val="nil"/>
              <w:bottom w:val="nil"/>
            </w:tcBorders>
          </w:tcPr>
          <w:p w:rsidR="004D0817" w:rsidRPr="00364A7E" w:rsidRDefault="004D0817" w:rsidP="00772261">
            <w:pPr>
              <w:spacing w:after="0" w:line="240" w:lineRule="auto"/>
              <w:rPr>
                <w:rFonts w:eastAsia="Calibri" w:cs="Times New Roman"/>
                <w:sz w:val="22"/>
                <w:lang w:eastAsia="en-GB"/>
              </w:rPr>
            </w:pPr>
            <w:r w:rsidRPr="00364A7E">
              <w:rPr>
                <w:rFonts w:eastAsia="Calibri" w:cs="Times New Roman"/>
                <w:sz w:val="22"/>
                <w:lang w:eastAsia="en-GB"/>
              </w:rPr>
              <w:t>Significant foreign shareholding</w:t>
            </w:r>
          </w:p>
        </w:tc>
      </w:tr>
      <w:tr w:rsidR="004D0817" w:rsidRPr="00364A7E" w:rsidTr="00F4770F">
        <w:trPr>
          <w:trHeight w:val="226"/>
        </w:trPr>
        <w:tc>
          <w:tcPr>
            <w:tcW w:w="574" w:type="dxa"/>
            <w:tcBorders>
              <w:top w:val="nil"/>
              <w:bottom w:val="nil"/>
            </w:tcBorders>
            <w:shd w:val="clear" w:color="auto" w:fill="auto"/>
          </w:tcPr>
          <w:p w:rsidR="004D0817" w:rsidRPr="00364A7E" w:rsidRDefault="004D0817" w:rsidP="00772261">
            <w:pPr>
              <w:spacing w:after="0" w:line="240" w:lineRule="auto"/>
              <w:rPr>
                <w:rFonts w:eastAsia="Calibri" w:cs="Times New Roman"/>
                <w:sz w:val="22"/>
                <w:lang w:eastAsia="en-GB"/>
              </w:rPr>
            </w:pPr>
            <w:r w:rsidRPr="00364A7E">
              <w:rPr>
                <w:rFonts w:eastAsia="Calibri" w:cs="Times New Roman"/>
                <w:sz w:val="22"/>
                <w:lang w:eastAsia="en-GB"/>
              </w:rPr>
              <w:t>9</w:t>
            </w:r>
          </w:p>
        </w:tc>
        <w:tc>
          <w:tcPr>
            <w:tcW w:w="3119" w:type="dxa"/>
            <w:tcBorders>
              <w:top w:val="nil"/>
              <w:bottom w:val="nil"/>
            </w:tcBorders>
            <w:shd w:val="clear" w:color="auto" w:fill="auto"/>
          </w:tcPr>
          <w:p w:rsidR="004D0817" w:rsidRPr="00364A7E" w:rsidRDefault="004D0817" w:rsidP="00772261">
            <w:pPr>
              <w:spacing w:after="0" w:line="240" w:lineRule="auto"/>
              <w:rPr>
                <w:rFonts w:eastAsia="Calibri" w:cs="Times New Roman"/>
                <w:sz w:val="22"/>
                <w:lang w:eastAsia="en-GB"/>
              </w:rPr>
            </w:pPr>
            <w:r>
              <w:rPr>
                <w:rFonts w:cs="Times New Roman"/>
                <w:sz w:val="22"/>
              </w:rPr>
              <w:t>NMB Bank Limited</w:t>
            </w:r>
          </w:p>
        </w:tc>
        <w:tc>
          <w:tcPr>
            <w:tcW w:w="992" w:type="dxa"/>
            <w:tcBorders>
              <w:top w:val="nil"/>
              <w:bottom w:val="nil"/>
            </w:tcBorders>
            <w:shd w:val="clear" w:color="auto" w:fill="auto"/>
          </w:tcPr>
          <w:p w:rsidR="004D0817" w:rsidRPr="00364A7E" w:rsidRDefault="004D0817" w:rsidP="00772261">
            <w:pPr>
              <w:spacing w:after="0" w:line="240" w:lineRule="auto"/>
              <w:rPr>
                <w:rFonts w:eastAsia="Calibri" w:cs="Times New Roman"/>
                <w:sz w:val="22"/>
                <w:lang w:eastAsia="en-GB"/>
              </w:rPr>
            </w:pPr>
            <w:r w:rsidRPr="00364A7E">
              <w:rPr>
                <w:rFonts w:eastAsia="Calibri" w:cs="Times New Roman"/>
                <w:sz w:val="22"/>
                <w:lang w:eastAsia="en-GB"/>
              </w:rPr>
              <w:t>1992</w:t>
            </w:r>
          </w:p>
        </w:tc>
        <w:tc>
          <w:tcPr>
            <w:tcW w:w="709" w:type="dxa"/>
            <w:tcBorders>
              <w:top w:val="nil"/>
              <w:bottom w:val="nil"/>
            </w:tcBorders>
          </w:tcPr>
          <w:p w:rsidR="004D0817" w:rsidRPr="00364A7E" w:rsidRDefault="004D0817" w:rsidP="00772261">
            <w:pPr>
              <w:spacing w:after="0" w:line="240" w:lineRule="auto"/>
              <w:rPr>
                <w:rFonts w:eastAsia="Calibri" w:cs="Times New Roman"/>
                <w:sz w:val="22"/>
                <w:lang w:eastAsia="en-GB"/>
              </w:rPr>
            </w:pPr>
            <w:r w:rsidRPr="00364A7E">
              <w:rPr>
                <w:rFonts w:eastAsia="Calibri" w:cs="Times New Roman"/>
                <w:sz w:val="22"/>
                <w:lang w:eastAsia="en-GB"/>
              </w:rPr>
              <w:t>Yes</w:t>
            </w:r>
          </w:p>
        </w:tc>
        <w:tc>
          <w:tcPr>
            <w:tcW w:w="3622" w:type="dxa"/>
            <w:tcBorders>
              <w:top w:val="nil"/>
              <w:bottom w:val="nil"/>
            </w:tcBorders>
          </w:tcPr>
          <w:p w:rsidR="004D0817" w:rsidRPr="00364A7E" w:rsidRDefault="004D0817" w:rsidP="00772261">
            <w:pPr>
              <w:spacing w:after="0" w:line="240" w:lineRule="auto"/>
              <w:rPr>
                <w:rFonts w:eastAsia="Calibri" w:cs="Times New Roman"/>
                <w:sz w:val="22"/>
                <w:lang w:eastAsia="en-GB"/>
              </w:rPr>
            </w:pPr>
            <w:r w:rsidRPr="00364A7E">
              <w:rPr>
                <w:rFonts w:eastAsia="Calibri" w:cs="Times New Roman"/>
                <w:sz w:val="22"/>
                <w:lang w:eastAsia="en-GB"/>
              </w:rPr>
              <w:t>Indigenous privately owned</w:t>
            </w:r>
          </w:p>
        </w:tc>
      </w:tr>
      <w:tr w:rsidR="004D0817" w:rsidRPr="00364A7E" w:rsidTr="00F4770F">
        <w:trPr>
          <w:trHeight w:val="226"/>
        </w:trPr>
        <w:tc>
          <w:tcPr>
            <w:tcW w:w="574" w:type="dxa"/>
            <w:tcBorders>
              <w:top w:val="nil"/>
              <w:bottom w:val="nil"/>
            </w:tcBorders>
            <w:shd w:val="clear" w:color="auto" w:fill="auto"/>
          </w:tcPr>
          <w:p w:rsidR="004D0817" w:rsidRPr="00364A7E" w:rsidRDefault="004D0817" w:rsidP="00772261">
            <w:pPr>
              <w:spacing w:after="0" w:line="240" w:lineRule="auto"/>
              <w:rPr>
                <w:rFonts w:eastAsia="Calibri" w:cs="Times New Roman"/>
                <w:sz w:val="22"/>
                <w:lang w:eastAsia="en-GB"/>
              </w:rPr>
            </w:pPr>
            <w:r w:rsidRPr="00364A7E">
              <w:rPr>
                <w:rFonts w:eastAsia="Calibri" w:cs="Times New Roman"/>
                <w:sz w:val="22"/>
                <w:lang w:eastAsia="en-GB"/>
              </w:rPr>
              <w:t>10</w:t>
            </w:r>
          </w:p>
        </w:tc>
        <w:tc>
          <w:tcPr>
            <w:tcW w:w="3119" w:type="dxa"/>
            <w:tcBorders>
              <w:top w:val="nil"/>
              <w:bottom w:val="nil"/>
            </w:tcBorders>
            <w:shd w:val="clear" w:color="auto" w:fill="auto"/>
          </w:tcPr>
          <w:p w:rsidR="004D0817" w:rsidRPr="00364A7E" w:rsidRDefault="004D0817" w:rsidP="00772261">
            <w:pPr>
              <w:spacing w:after="0" w:line="240" w:lineRule="auto"/>
              <w:rPr>
                <w:rFonts w:eastAsia="Calibri" w:cs="Times New Roman"/>
                <w:sz w:val="22"/>
                <w:lang w:eastAsia="en-GB"/>
              </w:rPr>
            </w:pPr>
            <w:proofErr w:type="spellStart"/>
            <w:r>
              <w:rPr>
                <w:rFonts w:cs="Times New Roman"/>
                <w:sz w:val="22"/>
              </w:rPr>
              <w:t>Stanbic</w:t>
            </w:r>
            <w:proofErr w:type="spellEnd"/>
            <w:r>
              <w:rPr>
                <w:rFonts w:cs="Times New Roman"/>
                <w:sz w:val="22"/>
              </w:rPr>
              <w:t xml:space="preserve"> Zimbabwe Limited</w:t>
            </w:r>
          </w:p>
        </w:tc>
        <w:tc>
          <w:tcPr>
            <w:tcW w:w="992" w:type="dxa"/>
            <w:tcBorders>
              <w:top w:val="nil"/>
              <w:bottom w:val="nil"/>
            </w:tcBorders>
            <w:shd w:val="clear" w:color="auto" w:fill="auto"/>
          </w:tcPr>
          <w:p w:rsidR="004D0817" w:rsidRPr="00364A7E" w:rsidRDefault="004D0817" w:rsidP="00772261">
            <w:pPr>
              <w:spacing w:after="0" w:line="240" w:lineRule="auto"/>
              <w:rPr>
                <w:rFonts w:eastAsia="Calibri" w:cs="Times New Roman"/>
                <w:sz w:val="22"/>
                <w:lang w:eastAsia="en-GB"/>
              </w:rPr>
            </w:pPr>
            <w:r w:rsidRPr="00364A7E">
              <w:rPr>
                <w:rFonts w:eastAsia="Calibri" w:cs="Times New Roman"/>
                <w:sz w:val="22"/>
                <w:lang w:eastAsia="en-GB"/>
              </w:rPr>
              <w:t>1992</w:t>
            </w:r>
          </w:p>
        </w:tc>
        <w:tc>
          <w:tcPr>
            <w:tcW w:w="709" w:type="dxa"/>
            <w:tcBorders>
              <w:top w:val="nil"/>
              <w:bottom w:val="nil"/>
            </w:tcBorders>
          </w:tcPr>
          <w:p w:rsidR="004D0817" w:rsidRPr="00364A7E" w:rsidRDefault="004D0817" w:rsidP="00772261">
            <w:pPr>
              <w:spacing w:after="0" w:line="240" w:lineRule="auto"/>
              <w:rPr>
                <w:rFonts w:eastAsia="Calibri" w:cs="Times New Roman"/>
                <w:sz w:val="22"/>
                <w:lang w:eastAsia="en-GB"/>
              </w:rPr>
            </w:pPr>
            <w:r w:rsidRPr="00364A7E">
              <w:rPr>
                <w:rFonts w:cs="Times New Roman"/>
                <w:sz w:val="22"/>
                <w:lang w:eastAsia="en-GB"/>
              </w:rPr>
              <w:t>No</w:t>
            </w:r>
          </w:p>
        </w:tc>
        <w:tc>
          <w:tcPr>
            <w:tcW w:w="3622" w:type="dxa"/>
            <w:tcBorders>
              <w:top w:val="nil"/>
              <w:bottom w:val="nil"/>
            </w:tcBorders>
          </w:tcPr>
          <w:p w:rsidR="004D0817" w:rsidRPr="00364A7E" w:rsidRDefault="004D0817" w:rsidP="00772261">
            <w:pPr>
              <w:spacing w:after="0" w:line="240" w:lineRule="auto"/>
              <w:rPr>
                <w:rFonts w:eastAsia="Calibri" w:cs="Times New Roman"/>
                <w:sz w:val="22"/>
                <w:lang w:eastAsia="en-GB"/>
              </w:rPr>
            </w:pPr>
            <w:r w:rsidRPr="00364A7E">
              <w:rPr>
                <w:rFonts w:eastAsia="Calibri" w:cs="Times New Roman"/>
                <w:sz w:val="22"/>
                <w:lang w:eastAsia="en-GB"/>
              </w:rPr>
              <w:t>Significant foreign shareholding</w:t>
            </w:r>
          </w:p>
        </w:tc>
      </w:tr>
      <w:tr w:rsidR="004D0817" w:rsidRPr="00364A7E" w:rsidTr="00F4770F">
        <w:trPr>
          <w:trHeight w:val="226"/>
        </w:trPr>
        <w:tc>
          <w:tcPr>
            <w:tcW w:w="574" w:type="dxa"/>
            <w:tcBorders>
              <w:top w:val="nil"/>
              <w:bottom w:val="nil"/>
            </w:tcBorders>
            <w:shd w:val="clear" w:color="auto" w:fill="auto"/>
          </w:tcPr>
          <w:p w:rsidR="004D0817" w:rsidRPr="00364A7E" w:rsidRDefault="004D0817" w:rsidP="00772261">
            <w:pPr>
              <w:spacing w:after="0" w:line="240" w:lineRule="auto"/>
              <w:rPr>
                <w:rFonts w:eastAsia="Calibri" w:cs="Times New Roman"/>
                <w:sz w:val="22"/>
                <w:lang w:eastAsia="en-GB"/>
              </w:rPr>
            </w:pPr>
            <w:r w:rsidRPr="00364A7E">
              <w:rPr>
                <w:rFonts w:eastAsia="Calibri" w:cs="Times New Roman"/>
                <w:sz w:val="22"/>
                <w:lang w:eastAsia="en-GB"/>
              </w:rPr>
              <w:t>11</w:t>
            </w:r>
          </w:p>
        </w:tc>
        <w:tc>
          <w:tcPr>
            <w:tcW w:w="3119" w:type="dxa"/>
            <w:tcBorders>
              <w:top w:val="nil"/>
              <w:bottom w:val="nil"/>
            </w:tcBorders>
            <w:shd w:val="clear" w:color="auto" w:fill="auto"/>
          </w:tcPr>
          <w:p w:rsidR="004D0817" w:rsidRPr="00364A7E" w:rsidRDefault="004D0817" w:rsidP="00772261">
            <w:pPr>
              <w:spacing w:after="0" w:line="240" w:lineRule="auto"/>
              <w:rPr>
                <w:rFonts w:eastAsia="Calibri" w:cs="Times New Roman"/>
                <w:sz w:val="22"/>
                <w:lang w:eastAsia="en-GB"/>
              </w:rPr>
            </w:pPr>
            <w:r>
              <w:rPr>
                <w:rFonts w:cs="Times New Roman"/>
                <w:sz w:val="22"/>
              </w:rPr>
              <w:t>Standard chartered bank</w:t>
            </w:r>
          </w:p>
        </w:tc>
        <w:tc>
          <w:tcPr>
            <w:tcW w:w="992" w:type="dxa"/>
            <w:tcBorders>
              <w:top w:val="nil"/>
              <w:bottom w:val="nil"/>
            </w:tcBorders>
            <w:shd w:val="clear" w:color="auto" w:fill="auto"/>
          </w:tcPr>
          <w:p w:rsidR="004D0817" w:rsidRPr="00364A7E" w:rsidRDefault="004D0817" w:rsidP="00772261">
            <w:pPr>
              <w:spacing w:after="0" w:line="240" w:lineRule="auto"/>
              <w:rPr>
                <w:rFonts w:eastAsia="Calibri" w:cs="Times New Roman"/>
                <w:sz w:val="22"/>
                <w:lang w:eastAsia="en-GB"/>
              </w:rPr>
            </w:pPr>
            <w:r w:rsidRPr="00364A7E">
              <w:rPr>
                <w:rFonts w:eastAsia="Calibri" w:cs="Times New Roman"/>
                <w:sz w:val="22"/>
                <w:lang w:eastAsia="en-GB"/>
              </w:rPr>
              <w:t>1892</w:t>
            </w:r>
          </w:p>
        </w:tc>
        <w:tc>
          <w:tcPr>
            <w:tcW w:w="709" w:type="dxa"/>
            <w:tcBorders>
              <w:top w:val="nil"/>
              <w:bottom w:val="nil"/>
            </w:tcBorders>
          </w:tcPr>
          <w:p w:rsidR="004D0817" w:rsidRPr="00364A7E" w:rsidRDefault="004D0817" w:rsidP="00772261">
            <w:pPr>
              <w:spacing w:after="0" w:line="240" w:lineRule="auto"/>
              <w:rPr>
                <w:rFonts w:eastAsia="Calibri" w:cs="Times New Roman"/>
                <w:sz w:val="22"/>
                <w:lang w:eastAsia="en-GB"/>
              </w:rPr>
            </w:pPr>
            <w:r w:rsidRPr="00364A7E">
              <w:rPr>
                <w:rFonts w:cs="Times New Roman"/>
                <w:sz w:val="22"/>
                <w:lang w:eastAsia="en-GB"/>
              </w:rPr>
              <w:t>No</w:t>
            </w:r>
          </w:p>
        </w:tc>
        <w:tc>
          <w:tcPr>
            <w:tcW w:w="3622" w:type="dxa"/>
            <w:tcBorders>
              <w:top w:val="nil"/>
              <w:bottom w:val="nil"/>
            </w:tcBorders>
          </w:tcPr>
          <w:p w:rsidR="004D0817" w:rsidRPr="00364A7E" w:rsidRDefault="004D0817" w:rsidP="00772261">
            <w:pPr>
              <w:spacing w:after="0" w:line="240" w:lineRule="auto"/>
              <w:rPr>
                <w:rFonts w:eastAsia="Calibri" w:cs="Times New Roman"/>
                <w:sz w:val="22"/>
                <w:lang w:eastAsia="en-GB"/>
              </w:rPr>
            </w:pPr>
            <w:r w:rsidRPr="00364A7E">
              <w:rPr>
                <w:rFonts w:eastAsia="Calibri" w:cs="Times New Roman"/>
                <w:sz w:val="22"/>
                <w:lang w:eastAsia="en-GB"/>
              </w:rPr>
              <w:t>Significant foreign shareholding</w:t>
            </w:r>
          </w:p>
        </w:tc>
      </w:tr>
      <w:tr w:rsidR="004D0817" w:rsidRPr="00364A7E" w:rsidTr="00F4770F">
        <w:trPr>
          <w:trHeight w:val="224"/>
        </w:trPr>
        <w:tc>
          <w:tcPr>
            <w:tcW w:w="574" w:type="dxa"/>
            <w:tcBorders>
              <w:top w:val="nil"/>
              <w:bottom w:val="nil"/>
            </w:tcBorders>
            <w:shd w:val="clear" w:color="auto" w:fill="auto"/>
          </w:tcPr>
          <w:p w:rsidR="004D0817" w:rsidRPr="00364A7E" w:rsidRDefault="004D0817" w:rsidP="00772261">
            <w:pPr>
              <w:spacing w:after="0" w:line="240" w:lineRule="auto"/>
              <w:rPr>
                <w:rFonts w:eastAsia="Calibri" w:cs="Times New Roman"/>
                <w:sz w:val="22"/>
                <w:lang w:eastAsia="en-GB"/>
              </w:rPr>
            </w:pPr>
            <w:r w:rsidRPr="00364A7E">
              <w:rPr>
                <w:rFonts w:eastAsia="Calibri" w:cs="Times New Roman"/>
                <w:sz w:val="22"/>
                <w:lang w:eastAsia="en-GB"/>
              </w:rPr>
              <w:t>12</w:t>
            </w:r>
          </w:p>
        </w:tc>
        <w:tc>
          <w:tcPr>
            <w:tcW w:w="3119" w:type="dxa"/>
            <w:tcBorders>
              <w:top w:val="nil"/>
              <w:bottom w:val="nil"/>
            </w:tcBorders>
            <w:shd w:val="clear" w:color="auto" w:fill="auto"/>
          </w:tcPr>
          <w:p w:rsidR="004D0817" w:rsidRPr="00364A7E" w:rsidRDefault="004D0817" w:rsidP="00772261">
            <w:pPr>
              <w:spacing w:after="0" w:line="240" w:lineRule="auto"/>
              <w:jc w:val="left"/>
              <w:rPr>
                <w:rFonts w:eastAsia="Calibri" w:cs="Times New Roman"/>
                <w:sz w:val="22"/>
                <w:lang w:eastAsia="en-GB"/>
              </w:rPr>
            </w:pPr>
            <w:r>
              <w:rPr>
                <w:rFonts w:cs="Times New Roman"/>
                <w:sz w:val="22"/>
              </w:rPr>
              <w:t>Steward Bank (</w:t>
            </w:r>
            <w:r w:rsidRPr="00364A7E">
              <w:rPr>
                <w:rFonts w:cs="Times New Roman"/>
                <w:sz w:val="22"/>
                <w:lang w:eastAsia="en-GB"/>
              </w:rPr>
              <w:t>Previously TNB)</w:t>
            </w:r>
          </w:p>
        </w:tc>
        <w:tc>
          <w:tcPr>
            <w:tcW w:w="992" w:type="dxa"/>
            <w:tcBorders>
              <w:top w:val="nil"/>
              <w:bottom w:val="nil"/>
            </w:tcBorders>
            <w:shd w:val="clear" w:color="auto" w:fill="auto"/>
          </w:tcPr>
          <w:p w:rsidR="004D0817" w:rsidRPr="00364A7E" w:rsidRDefault="004D0817" w:rsidP="00772261">
            <w:pPr>
              <w:spacing w:after="0" w:line="240" w:lineRule="auto"/>
              <w:rPr>
                <w:rFonts w:eastAsia="Calibri" w:cs="Times New Roman"/>
                <w:sz w:val="22"/>
                <w:lang w:eastAsia="en-GB"/>
              </w:rPr>
            </w:pPr>
            <w:r w:rsidRPr="00364A7E">
              <w:rPr>
                <w:rFonts w:eastAsia="Calibri" w:cs="Times New Roman"/>
                <w:sz w:val="22"/>
                <w:lang w:eastAsia="en-GB"/>
              </w:rPr>
              <w:t>2009</w:t>
            </w:r>
          </w:p>
        </w:tc>
        <w:tc>
          <w:tcPr>
            <w:tcW w:w="709" w:type="dxa"/>
            <w:tcBorders>
              <w:top w:val="nil"/>
              <w:bottom w:val="nil"/>
            </w:tcBorders>
          </w:tcPr>
          <w:p w:rsidR="004D0817" w:rsidRPr="00364A7E" w:rsidRDefault="004D0817" w:rsidP="00772261">
            <w:pPr>
              <w:spacing w:after="0" w:line="240" w:lineRule="auto"/>
              <w:rPr>
                <w:rFonts w:eastAsia="Calibri" w:cs="Times New Roman"/>
                <w:sz w:val="22"/>
                <w:lang w:eastAsia="en-GB"/>
              </w:rPr>
            </w:pPr>
            <w:r w:rsidRPr="00364A7E">
              <w:rPr>
                <w:rFonts w:cs="Times New Roman"/>
                <w:sz w:val="22"/>
                <w:lang w:eastAsia="en-GB"/>
              </w:rPr>
              <w:t>No</w:t>
            </w:r>
          </w:p>
        </w:tc>
        <w:tc>
          <w:tcPr>
            <w:tcW w:w="3622" w:type="dxa"/>
            <w:tcBorders>
              <w:top w:val="nil"/>
              <w:bottom w:val="nil"/>
            </w:tcBorders>
          </w:tcPr>
          <w:p w:rsidR="004D0817" w:rsidRPr="00364A7E" w:rsidRDefault="004D0817" w:rsidP="00772261">
            <w:pPr>
              <w:spacing w:after="0" w:line="240" w:lineRule="auto"/>
              <w:rPr>
                <w:rFonts w:eastAsia="Calibri" w:cs="Times New Roman"/>
                <w:sz w:val="22"/>
                <w:lang w:eastAsia="en-GB"/>
              </w:rPr>
            </w:pPr>
            <w:r w:rsidRPr="00364A7E">
              <w:rPr>
                <w:rFonts w:eastAsia="Calibri" w:cs="Times New Roman"/>
                <w:sz w:val="22"/>
                <w:lang w:eastAsia="en-GB"/>
              </w:rPr>
              <w:t>Indigenous privately owned</w:t>
            </w:r>
          </w:p>
        </w:tc>
      </w:tr>
      <w:tr w:rsidR="004D0817" w:rsidRPr="00364A7E" w:rsidTr="00F4770F">
        <w:trPr>
          <w:trHeight w:val="212"/>
        </w:trPr>
        <w:tc>
          <w:tcPr>
            <w:tcW w:w="574" w:type="dxa"/>
            <w:tcBorders>
              <w:top w:val="nil"/>
              <w:bottom w:val="single" w:sz="18" w:space="0" w:color="auto"/>
            </w:tcBorders>
            <w:shd w:val="clear" w:color="auto" w:fill="auto"/>
          </w:tcPr>
          <w:p w:rsidR="004D0817" w:rsidRPr="00364A7E" w:rsidRDefault="004D0817" w:rsidP="00772261">
            <w:pPr>
              <w:spacing w:after="0" w:line="240" w:lineRule="auto"/>
              <w:rPr>
                <w:rFonts w:eastAsia="Calibri" w:cs="Times New Roman"/>
                <w:sz w:val="22"/>
                <w:lang w:eastAsia="en-GB"/>
              </w:rPr>
            </w:pPr>
            <w:r w:rsidRPr="00364A7E">
              <w:rPr>
                <w:rFonts w:eastAsia="Calibri" w:cs="Times New Roman"/>
                <w:sz w:val="22"/>
                <w:lang w:eastAsia="en-GB"/>
              </w:rPr>
              <w:t>13</w:t>
            </w:r>
          </w:p>
        </w:tc>
        <w:tc>
          <w:tcPr>
            <w:tcW w:w="3119" w:type="dxa"/>
            <w:tcBorders>
              <w:top w:val="nil"/>
              <w:bottom w:val="single" w:sz="18" w:space="0" w:color="auto"/>
            </w:tcBorders>
            <w:shd w:val="clear" w:color="auto" w:fill="auto"/>
          </w:tcPr>
          <w:p w:rsidR="004D0817" w:rsidRPr="00364A7E" w:rsidRDefault="004D0817" w:rsidP="00772261">
            <w:pPr>
              <w:spacing w:after="0" w:line="240" w:lineRule="auto"/>
              <w:rPr>
                <w:rFonts w:eastAsia="Calibri" w:cs="Times New Roman"/>
                <w:sz w:val="22"/>
                <w:lang w:eastAsia="en-GB"/>
              </w:rPr>
            </w:pPr>
            <w:r w:rsidRPr="00364A7E">
              <w:rPr>
                <w:rFonts w:eastAsia="Calibri" w:cs="Times New Roman"/>
                <w:sz w:val="22"/>
                <w:lang w:eastAsia="en-GB"/>
              </w:rPr>
              <w:t>ZB Bank Limited</w:t>
            </w:r>
          </w:p>
        </w:tc>
        <w:tc>
          <w:tcPr>
            <w:tcW w:w="992" w:type="dxa"/>
            <w:tcBorders>
              <w:top w:val="nil"/>
              <w:bottom w:val="single" w:sz="18" w:space="0" w:color="auto"/>
            </w:tcBorders>
            <w:shd w:val="clear" w:color="auto" w:fill="auto"/>
          </w:tcPr>
          <w:p w:rsidR="004D0817" w:rsidRPr="00364A7E" w:rsidRDefault="004D0817" w:rsidP="00772261">
            <w:pPr>
              <w:spacing w:after="0" w:line="240" w:lineRule="auto"/>
              <w:rPr>
                <w:rFonts w:eastAsia="Calibri" w:cs="Times New Roman"/>
                <w:sz w:val="22"/>
                <w:lang w:eastAsia="en-GB"/>
              </w:rPr>
            </w:pPr>
            <w:r w:rsidRPr="00364A7E">
              <w:rPr>
                <w:rFonts w:eastAsia="Calibri" w:cs="Times New Roman"/>
                <w:sz w:val="22"/>
                <w:lang w:eastAsia="en-GB"/>
              </w:rPr>
              <w:t>1951</w:t>
            </w:r>
          </w:p>
        </w:tc>
        <w:tc>
          <w:tcPr>
            <w:tcW w:w="709" w:type="dxa"/>
            <w:tcBorders>
              <w:top w:val="nil"/>
              <w:bottom w:val="single" w:sz="18" w:space="0" w:color="auto"/>
            </w:tcBorders>
          </w:tcPr>
          <w:p w:rsidR="004D0817" w:rsidRPr="00364A7E" w:rsidRDefault="004D0817" w:rsidP="00772261">
            <w:pPr>
              <w:spacing w:after="0" w:line="240" w:lineRule="auto"/>
              <w:rPr>
                <w:rFonts w:cs="Times New Roman"/>
                <w:sz w:val="22"/>
                <w:lang w:eastAsia="en-GB"/>
              </w:rPr>
            </w:pPr>
            <w:r w:rsidRPr="00364A7E">
              <w:rPr>
                <w:rFonts w:eastAsia="Calibri" w:cs="Times New Roman"/>
                <w:sz w:val="22"/>
                <w:lang w:eastAsia="en-GB"/>
              </w:rPr>
              <w:t>Yes</w:t>
            </w:r>
          </w:p>
        </w:tc>
        <w:tc>
          <w:tcPr>
            <w:tcW w:w="3622" w:type="dxa"/>
            <w:tcBorders>
              <w:top w:val="nil"/>
              <w:bottom w:val="single" w:sz="18" w:space="0" w:color="auto"/>
            </w:tcBorders>
          </w:tcPr>
          <w:p w:rsidR="004D0817" w:rsidRPr="00364A7E" w:rsidRDefault="004D0817" w:rsidP="00772261">
            <w:pPr>
              <w:spacing w:after="0" w:line="240" w:lineRule="auto"/>
              <w:jc w:val="left"/>
              <w:rPr>
                <w:rFonts w:eastAsia="Calibri" w:cs="Times New Roman"/>
                <w:sz w:val="22"/>
                <w:lang w:eastAsia="en-GB"/>
              </w:rPr>
            </w:pPr>
            <w:r w:rsidRPr="00364A7E">
              <w:rPr>
                <w:rFonts w:eastAsia="Calibri" w:cs="Times New Roman"/>
                <w:sz w:val="22"/>
                <w:lang w:eastAsia="en-GB"/>
              </w:rPr>
              <w:t>Significant government shareholding</w:t>
            </w:r>
          </w:p>
        </w:tc>
      </w:tr>
      <w:tr w:rsidR="00F4770F" w:rsidRPr="00364A7E" w:rsidTr="009C7D75">
        <w:trPr>
          <w:trHeight w:val="212"/>
        </w:trPr>
        <w:tc>
          <w:tcPr>
            <w:tcW w:w="9016" w:type="dxa"/>
            <w:gridSpan w:val="5"/>
            <w:tcBorders>
              <w:top w:val="single" w:sz="18" w:space="0" w:color="auto"/>
              <w:bottom w:val="nil"/>
            </w:tcBorders>
            <w:shd w:val="clear" w:color="auto" w:fill="auto"/>
          </w:tcPr>
          <w:p w:rsidR="00F4770F" w:rsidRPr="00364A7E" w:rsidRDefault="00F4770F" w:rsidP="00772261">
            <w:pPr>
              <w:spacing w:after="0" w:line="240" w:lineRule="auto"/>
              <w:jc w:val="left"/>
              <w:rPr>
                <w:rFonts w:eastAsia="Calibri" w:cs="Times New Roman"/>
                <w:sz w:val="22"/>
                <w:lang w:eastAsia="en-GB"/>
              </w:rPr>
            </w:pPr>
            <w:r>
              <w:rPr>
                <w:rFonts w:eastAsia="Calibri" w:cs="Times New Roman"/>
                <w:sz w:val="22"/>
                <w:lang w:eastAsia="en-GB"/>
              </w:rPr>
              <w:t xml:space="preserve">Source: </w:t>
            </w:r>
            <w:r>
              <w:rPr>
                <w:lang w:eastAsia="en-GB"/>
              </w:rPr>
              <w:fldChar w:fldCharType="begin"/>
            </w:r>
            <w:r>
              <w:rPr>
                <w:lang w:eastAsia="en-GB"/>
              </w:rPr>
              <w:instrText xml:space="preserve"> ADDIN ZOTERO_ITEM CSL_CITATION {"citationID":"kjMoujTa","properties":{"formattedCitation":"(RBZ 2013)","plainCitation":"(RBZ 2013)"},"citationItems":[{"id":312,"uris":["http://zotero.org/users/2519191/items/9TG2G33C"],"uri":["http://zotero.org/users/2519191/items/9TG2G33C"],"itemData":{"id":312,"type":"report","title":"Bank Licensing, Supervision and Surveillance 2013 annual report","publisher":"Reserve Bank of Zimbabwe","author":[{"family":"RBZ","given":""}],"issued":{"date-parts":[["2013"]]}}}],"schema":"https://github.com/citation-style-language/schema/raw/master/csl-citation.json"} </w:instrText>
            </w:r>
            <w:r>
              <w:rPr>
                <w:lang w:eastAsia="en-GB"/>
              </w:rPr>
              <w:fldChar w:fldCharType="separate"/>
            </w:r>
            <w:r>
              <w:rPr>
                <w:rFonts w:cs="Times New Roman"/>
              </w:rPr>
              <w:t xml:space="preserve">Reserve </w:t>
            </w:r>
            <w:r w:rsidRPr="00FE68C9">
              <w:rPr>
                <w:rFonts w:cs="Times New Roman"/>
              </w:rPr>
              <w:t>B</w:t>
            </w:r>
            <w:r>
              <w:rPr>
                <w:rFonts w:cs="Times New Roman"/>
              </w:rPr>
              <w:t xml:space="preserve">ank </w:t>
            </w:r>
            <w:r w:rsidRPr="00FE68C9">
              <w:rPr>
                <w:rFonts w:cs="Times New Roman"/>
              </w:rPr>
              <w:t>Z</w:t>
            </w:r>
            <w:r>
              <w:rPr>
                <w:rFonts w:cs="Times New Roman"/>
              </w:rPr>
              <w:t>imbabwe</w:t>
            </w:r>
            <w:r w:rsidRPr="00FE68C9">
              <w:rPr>
                <w:rFonts w:cs="Times New Roman"/>
              </w:rPr>
              <w:t xml:space="preserve"> </w:t>
            </w:r>
            <w:r>
              <w:rPr>
                <w:rFonts w:cs="Times New Roman"/>
              </w:rPr>
              <w:t>(</w:t>
            </w:r>
            <w:r w:rsidRPr="00FE68C9">
              <w:rPr>
                <w:rFonts w:cs="Times New Roman"/>
              </w:rPr>
              <w:t>2013)</w:t>
            </w:r>
            <w:r>
              <w:rPr>
                <w:lang w:eastAsia="en-GB"/>
              </w:rPr>
              <w:fldChar w:fldCharType="end"/>
            </w:r>
          </w:p>
        </w:tc>
      </w:tr>
    </w:tbl>
    <w:p w:rsidR="004D0817" w:rsidRDefault="004D0817" w:rsidP="004D0817">
      <w:pPr>
        <w:pStyle w:val="Heading2"/>
      </w:pPr>
      <w:bookmarkStart w:id="7" w:name="_Toc422509467"/>
      <w:bookmarkStart w:id="8" w:name="_Toc431332836"/>
      <w:r>
        <w:t>COMMERCIAL BANKS PERFORMANC</w:t>
      </w:r>
      <w:bookmarkEnd w:id="7"/>
      <w:bookmarkEnd w:id="8"/>
      <w:r w:rsidR="00686FFD">
        <w:t>E</w:t>
      </w:r>
    </w:p>
    <w:p w:rsidR="00262108" w:rsidRPr="00262108" w:rsidRDefault="004D0817" w:rsidP="00262108">
      <w:pPr>
        <w:rPr>
          <w:szCs w:val="24"/>
        </w:rPr>
      </w:pPr>
      <w:r>
        <w:t>‘</w:t>
      </w:r>
      <w:r w:rsidRPr="00326302">
        <w:rPr>
          <w:rStyle w:val="IntenseEmphasis"/>
        </w:rPr>
        <w:t>To understand how well a bank is doing, there is a need to start by looking at a bank’s income statement, the description of the sources of income and expenses that affect the bank’s profitability’</w:t>
      </w:r>
      <w:r>
        <w:t xml:space="preserve"> </w:t>
      </w:r>
      <w:r>
        <w:fldChar w:fldCharType="begin"/>
      </w:r>
      <w:r>
        <w:instrText xml:space="preserve"> ADDIN ZOTERO_ITEM CSL_CITATION {"citationID":"yBhHXdCZ","properties":{"formattedCitation":"(Mishkin &amp; Eakins 2014, p.452)","plainCitation":"(Mishkin &amp; Eakins 2014, p.452)"},"citationItems":[{"id":122,"uris":["http://zotero.org/users/2519191/items/IX3SVSPX"],"uri":["http://zotero.org/users/2519191/items/IX3SVSPX"],"itemData":{"id":122,"type":"book","title":"Financial Markets and Institutions","publisher":"Prentice Hall","number-of-pages":"704","edition":"8 edition","source":"Amazon","abstract":"For all undergraduate and graduate students of Financial Markets. This title is also suitable for all readers interested in financial markets and institutions.   A practical and current look into today’s financial markets and institutions.  In  Financial Markets and Institutions , bestselling authors Frederic S. Mishkin and Stanley G. Eakins provide a practical introduction to prepare students for today’s changing landscape of financial markets and institutions. A unifying framework uses core principles to organize students’ thinking then examines the models as real-world scenarios from a practitioner’s perspective. By analyzing these applications, students develop the critical-thinking and problem-solving skills necessary to respond to challenging situations in their future careers. Although this text has undergone a major revision, the Eighth Edition retains Mishkin/Eakins’ hallmark pedagogy that make it the best-selling textbook on financial markets and institutions. This program will provide a better teaching and learning experience–for you and your students. Here’s how:    Organize Learning with a Unifying Analytic Framework: Core principles organize students’ thinking and then examine the models as real-world scenarios from a practitioner’s perspective.    Help Students Transition from Classroom to Career with Real-Life Business Scenarios: Cases increase students’ interest by applying theory to real-world data and examples.   Emphasis Critical Thinking with Key Features  :  Examples and exercises allow students to put into practice the concepts that they are learning.  Keep Your Course Current and Relevant: New material on financial markets and institutions and monetary policy appear throughout the text.","ISBN":"978-0-13-342362-4","language":"English","author":[{"family":"Mishkin","given":"Frederic S."},{"family":"Eakins","given":"Stanley"}],"issued":{"date-parts":[["2014",1,12]]}},"locator":"452","label":"page"}],"schema":"https://github.com/citation-style-language/schema/raw/master/csl-citation.json"} </w:instrText>
      </w:r>
      <w:r>
        <w:fldChar w:fldCharType="separate"/>
      </w:r>
      <w:r w:rsidRPr="00FE68C9">
        <w:rPr>
          <w:rFonts w:cs="Times New Roman"/>
        </w:rPr>
        <w:t>(Mishkin &amp; Eakins 2014, p.452)</w:t>
      </w:r>
      <w:r>
        <w:fldChar w:fldCharType="end"/>
      </w:r>
      <w:r>
        <w:t>.</w:t>
      </w:r>
      <w:r>
        <w:rPr>
          <w:rFonts w:cs="Times New Roman"/>
        </w:rPr>
        <w:t xml:space="preserve"> Therefore </w:t>
      </w:r>
      <w:r w:rsidR="00686FFD">
        <w:rPr>
          <w:rFonts w:cs="Times New Roman"/>
        </w:rPr>
        <w:t xml:space="preserve">in order to determine </w:t>
      </w:r>
      <w:r>
        <w:rPr>
          <w:rFonts w:cs="Times New Roman"/>
        </w:rPr>
        <w:t xml:space="preserve">commercial bank performance </w:t>
      </w:r>
      <w:r w:rsidR="00686FFD">
        <w:rPr>
          <w:rFonts w:cs="Times New Roman"/>
        </w:rPr>
        <w:t xml:space="preserve">in Zimbabwe, statement of comprehensive income are used, </w:t>
      </w:r>
      <w:r>
        <w:rPr>
          <w:rFonts w:cs="Times New Roman"/>
        </w:rPr>
        <w:t>but to enable comparability with other commercial banks in other countries,</w:t>
      </w:r>
      <w:r w:rsidR="00686FFD">
        <w:rPr>
          <w:rFonts w:cs="Times New Roman"/>
        </w:rPr>
        <w:t xml:space="preserve"> commercial banks performance are further</w:t>
      </w:r>
      <w:r>
        <w:rPr>
          <w:rFonts w:cs="Times New Roman"/>
        </w:rPr>
        <w:t xml:space="preserve"> measured </w:t>
      </w:r>
      <w:r w:rsidRPr="00262108">
        <w:rPr>
          <w:rFonts w:cs="Times New Roman"/>
          <w:szCs w:val="24"/>
        </w:rPr>
        <w:t xml:space="preserve">by calculating return </w:t>
      </w:r>
      <w:r w:rsidR="00772261" w:rsidRPr="00262108">
        <w:rPr>
          <w:rFonts w:cs="Times New Roman"/>
          <w:szCs w:val="24"/>
        </w:rPr>
        <w:t>on asset(ROA), return on equity (ROE) and n</w:t>
      </w:r>
      <w:r w:rsidRPr="00262108">
        <w:rPr>
          <w:rFonts w:cs="Times New Roman"/>
          <w:szCs w:val="24"/>
        </w:rPr>
        <w:t>et interest margin</w:t>
      </w:r>
      <w:r w:rsidR="00314B02" w:rsidRPr="00262108">
        <w:rPr>
          <w:rFonts w:cs="Times New Roman"/>
          <w:szCs w:val="24"/>
        </w:rPr>
        <w:t xml:space="preserve">. </w:t>
      </w:r>
      <w:r w:rsidR="00262108" w:rsidRPr="00262108">
        <w:rPr>
          <w:rFonts w:cs="Times New Roman"/>
          <w:szCs w:val="24"/>
        </w:rPr>
        <w:t>In addition, economic measures such economic value added (EVA) and risk adjusted return on capital (RAROC). Market based measures of performance also used by investors to evaluate performance of commercial bank and they are four market based measures of performance which include total share return (TSR), price/earnings ratio (P/E), price to book value (P/B) and Credit Default Swap. Because of the availability of data, return on asset</w:t>
      </w:r>
      <w:r w:rsidR="009162A2">
        <w:rPr>
          <w:rFonts w:cs="Times New Roman"/>
          <w:szCs w:val="24"/>
        </w:rPr>
        <w:t xml:space="preserve"> </w:t>
      </w:r>
      <w:r w:rsidR="00262108" w:rsidRPr="00262108">
        <w:rPr>
          <w:rFonts w:cs="Times New Roman"/>
          <w:szCs w:val="24"/>
        </w:rPr>
        <w:t>(ROA), return on equity (ROE) and net interest margin are the popular measure</w:t>
      </w:r>
      <w:r w:rsidR="00FA191E">
        <w:rPr>
          <w:rFonts w:cs="Times New Roman"/>
          <w:szCs w:val="24"/>
        </w:rPr>
        <w:t>s which</w:t>
      </w:r>
      <w:r w:rsidR="00262108" w:rsidRPr="00262108">
        <w:rPr>
          <w:rFonts w:cs="Times New Roman"/>
          <w:szCs w:val="24"/>
        </w:rPr>
        <w:t xml:space="preserve"> were used to measure commercial bank performance. </w:t>
      </w:r>
      <w:r w:rsidR="00686FFD" w:rsidRPr="00262108">
        <w:rPr>
          <w:rFonts w:cs="Times New Roman"/>
          <w:szCs w:val="24"/>
        </w:rPr>
        <w:fldChar w:fldCharType="begin"/>
      </w:r>
      <w:r w:rsidR="00686FFD" w:rsidRPr="00262108">
        <w:rPr>
          <w:rFonts w:cs="Times New Roman"/>
          <w:szCs w:val="24"/>
        </w:rPr>
        <w:instrText xml:space="preserve"> REF _Ref431357630 </w:instrText>
      </w:r>
      <w:r w:rsidR="00262108" w:rsidRPr="00262108">
        <w:rPr>
          <w:rFonts w:cs="Times New Roman"/>
          <w:szCs w:val="24"/>
        </w:rPr>
        <w:instrText xml:space="preserve"> \* MERGEFORMAT </w:instrText>
      </w:r>
      <w:r w:rsidR="00686FFD" w:rsidRPr="00262108">
        <w:rPr>
          <w:rFonts w:cs="Times New Roman"/>
          <w:szCs w:val="24"/>
        </w:rPr>
        <w:fldChar w:fldCharType="separate"/>
      </w:r>
      <w:r w:rsidR="00686FFD" w:rsidRPr="00262108">
        <w:rPr>
          <w:rFonts w:cs="Times New Roman"/>
          <w:szCs w:val="24"/>
        </w:rPr>
        <w:t>Table 4</w:t>
      </w:r>
      <w:r w:rsidR="00686FFD" w:rsidRPr="00262108">
        <w:rPr>
          <w:rFonts w:cs="Times New Roman"/>
          <w:szCs w:val="24"/>
        </w:rPr>
        <w:fldChar w:fldCharType="end"/>
      </w:r>
      <w:r w:rsidR="00686FFD" w:rsidRPr="00262108">
        <w:rPr>
          <w:rFonts w:cs="Times New Roman"/>
          <w:szCs w:val="24"/>
        </w:rPr>
        <w:t xml:space="preserve"> in appendices shows how these ratios are calculated. </w:t>
      </w:r>
      <w:r w:rsidRPr="00262108">
        <w:rPr>
          <w:rFonts w:cs="Times New Roman"/>
          <w:szCs w:val="24"/>
        </w:rPr>
        <w:t xml:space="preserve">The return on </w:t>
      </w:r>
      <w:r w:rsidR="009D7CB8" w:rsidRPr="00262108">
        <w:rPr>
          <w:rFonts w:cs="Times New Roman"/>
          <w:szCs w:val="24"/>
        </w:rPr>
        <w:t xml:space="preserve">asset (ROA), return on equity and </w:t>
      </w:r>
      <w:r w:rsidR="00772261" w:rsidRPr="00262108">
        <w:rPr>
          <w:rFonts w:cs="Times New Roman"/>
          <w:szCs w:val="24"/>
        </w:rPr>
        <w:t>n</w:t>
      </w:r>
      <w:r w:rsidRPr="00262108">
        <w:rPr>
          <w:rFonts w:cs="Times New Roman"/>
          <w:szCs w:val="24"/>
        </w:rPr>
        <w:t>e</w:t>
      </w:r>
      <w:r w:rsidR="009162A2">
        <w:rPr>
          <w:rFonts w:cs="Times New Roman"/>
          <w:szCs w:val="24"/>
        </w:rPr>
        <w:t xml:space="preserve">t interest margin from 2009 to </w:t>
      </w:r>
      <w:r w:rsidRPr="00262108">
        <w:rPr>
          <w:rFonts w:cs="Times New Roman"/>
          <w:szCs w:val="24"/>
        </w:rPr>
        <w:t xml:space="preserve">2014 were calculated and graphically represented as shown in </w:t>
      </w:r>
      <w:r w:rsidR="00686FFD" w:rsidRPr="00262108">
        <w:rPr>
          <w:rFonts w:cs="Times New Roman"/>
          <w:szCs w:val="24"/>
        </w:rPr>
        <w:fldChar w:fldCharType="begin"/>
      </w:r>
      <w:r w:rsidR="00686FFD" w:rsidRPr="00262108">
        <w:rPr>
          <w:rFonts w:cs="Times New Roman"/>
          <w:szCs w:val="24"/>
        </w:rPr>
        <w:instrText xml:space="preserve"> REF _Ref431357737 </w:instrText>
      </w:r>
      <w:r w:rsidR="00262108" w:rsidRPr="00262108">
        <w:rPr>
          <w:rFonts w:cs="Times New Roman"/>
          <w:szCs w:val="24"/>
        </w:rPr>
        <w:instrText xml:space="preserve"> \* MERGEFORMAT </w:instrText>
      </w:r>
      <w:r w:rsidR="00686FFD" w:rsidRPr="00262108">
        <w:rPr>
          <w:rFonts w:cs="Times New Roman"/>
          <w:szCs w:val="24"/>
        </w:rPr>
        <w:fldChar w:fldCharType="separate"/>
      </w:r>
      <w:r w:rsidR="00686FFD" w:rsidRPr="00262108">
        <w:rPr>
          <w:rFonts w:cs="Times New Roman"/>
          <w:szCs w:val="24"/>
        </w:rPr>
        <w:t>Figure 1</w:t>
      </w:r>
      <w:r w:rsidR="00686FFD" w:rsidRPr="00262108">
        <w:rPr>
          <w:rFonts w:cs="Times New Roman"/>
          <w:szCs w:val="24"/>
        </w:rPr>
        <w:fldChar w:fldCharType="end"/>
      </w:r>
      <w:r w:rsidR="00686FFD" w:rsidRPr="00262108">
        <w:rPr>
          <w:rFonts w:cs="Times New Roman"/>
          <w:szCs w:val="24"/>
        </w:rPr>
        <w:t xml:space="preserve">. </w:t>
      </w:r>
      <w:r w:rsidRPr="00262108">
        <w:rPr>
          <w:rFonts w:cs="Times New Roman"/>
          <w:szCs w:val="24"/>
        </w:rPr>
        <w:t>There was an increase in ROA, ROE and NIM from 2009 to 2012 and the</w:t>
      </w:r>
      <w:r w:rsidR="009D7CB8" w:rsidRPr="00262108">
        <w:rPr>
          <w:rFonts w:cs="Times New Roman"/>
          <w:szCs w:val="24"/>
        </w:rPr>
        <w:t>n ROA and ROE plummeted to 1.1% and 8.6</w:t>
      </w:r>
      <w:r w:rsidRPr="00262108">
        <w:rPr>
          <w:rFonts w:cs="Times New Roman"/>
          <w:szCs w:val="24"/>
        </w:rPr>
        <w:t>% respectiv</w:t>
      </w:r>
      <w:r w:rsidR="009D7CB8" w:rsidRPr="00262108">
        <w:rPr>
          <w:rFonts w:cs="Times New Roman"/>
          <w:szCs w:val="24"/>
        </w:rPr>
        <w:t>ely in 2013. On the other hand net interest margin remained stable throughout</w:t>
      </w:r>
      <w:r w:rsidR="009D7CB8" w:rsidRPr="00262108">
        <w:rPr>
          <w:szCs w:val="24"/>
        </w:rPr>
        <w:t xml:space="preserve"> the years under review.</w:t>
      </w:r>
      <w:r w:rsidR="00262108" w:rsidRPr="00262108">
        <w:rPr>
          <w:szCs w:val="24"/>
        </w:rPr>
        <w:t xml:space="preserve"> </w:t>
      </w:r>
    </w:p>
    <w:p w:rsidR="00262108" w:rsidRPr="002B39CC" w:rsidRDefault="00262108" w:rsidP="004D0817">
      <w:pPr>
        <w:rPr>
          <w:rFonts w:cs="Times New Roman"/>
        </w:rPr>
      </w:pPr>
    </w:p>
    <w:p w:rsidR="00772261" w:rsidRDefault="00772261" w:rsidP="00772261">
      <w:pPr>
        <w:pStyle w:val="Caption"/>
        <w:keepNext/>
      </w:pPr>
      <w:bookmarkStart w:id="9" w:name="_Ref431357737"/>
      <w:r>
        <w:t xml:space="preserve">Figure </w:t>
      </w:r>
      <w:r w:rsidR="001C051F">
        <w:fldChar w:fldCharType="begin"/>
      </w:r>
      <w:r w:rsidR="001C051F">
        <w:instrText xml:space="preserve"> SEQ Figure</w:instrText>
      </w:r>
      <w:r w:rsidR="001C051F">
        <w:instrText xml:space="preserve"> \* ARABIC </w:instrText>
      </w:r>
      <w:r w:rsidR="001C051F">
        <w:fldChar w:fldCharType="separate"/>
      </w:r>
      <w:r>
        <w:rPr>
          <w:noProof/>
        </w:rPr>
        <w:t>1</w:t>
      </w:r>
      <w:r w:rsidR="001C051F">
        <w:rPr>
          <w:noProof/>
        </w:rPr>
        <w:fldChar w:fldCharType="end"/>
      </w:r>
      <w:bookmarkEnd w:id="9"/>
      <w:r>
        <w:t xml:space="preserve">: </w:t>
      </w:r>
      <w:r w:rsidRPr="000B3F4B">
        <w:t>Commercial bank performance</w:t>
      </w:r>
    </w:p>
    <w:p w:rsidR="004D0817" w:rsidRDefault="00DB4156" w:rsidP="004D0817">
      <w:pPr>
        <w:pStyle w:val="Caption"/>
        <w:keepNext/>
      </w:pPr>
      <w:r>
        <w:rPr>
          <w:noProof/>
          <w:lang w:eastAsia="en-GB"/>
        </w:rPr>
        <w:drawing>
          <wp:inline distT="0" distB="0" distL="0" distR="0" wp14:anchorId="7DA9B0B4" wp14:editId="71ECD4AF">
            <wp:extent cx="5667375" cy="306705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E0404" w:rsidRPr="00BE0404" w:rsidRDefault="00BE0404" w:rsidP="00BE0404">
      <w:r>
        <w:t>Source: Annual financial statements</w:t>
      </w:r>
    </w:p>
    <w:p w:rsidR="004D0817" w:rsidRDefault="004D0817" w:rsidP="004D0817">
      <w:pPr>
        <w:pStyle w:val="Heading2"/>
      </w:pPr>
      <w:bookmarkStart w:id="10" w:name="_Ref431330190"/>
      <w:bookmarkStart w:id="11" w:name="_Toc431332837"/>
      <w:r>
        <w:t>FACTORS THAT AFFECT COMMERCIAL BANK PERFOMANCE</w:t>
      </w:r>
      <w:bookmarkEnd w:id="10"/>
      <w:bookmarkEnd w:id="11"/>
    </w:p>
    <w:p w:rsidR="004D0817" w:rsidRDefault="00686FFD" w:rsidP="004D0817">
      <w:r>
        <w:t xml:space="preserve">According to </w:t>
      </w:r>
      <w:r>
        <w:fldChar w:fldCharType="begin"/>
      </w:r>
      <w:r>
        <w:instrText xml:space="preserve"> ADDIN ZOTERO_ITEM CSL_CITATION {"citationID":"KKMukIw0","properties":{"formattedCitation":"(Roman &amp; Tomuleasa 2012)","plainCitation":"(Roman &amp; Tomuleasa 2012)"},"citationItems":[{"id":100,"uris":["http://zotero.org/users/2519191/items/K69F7MRP"],"uri":["http://zotero.org/users/2519191/items/K69F7MRP"],"itemData":{"id":100,"type":"article-journal","title":"Analysis of profitability determinants: Empirical evidence of commercial banks in new EU member states","container-title":"Retrieved from icfb. rs. opf. slu. cz/sites/icfb. rs. opf. slu. cz/files/39_roman. pdf","source":"Google Scholar","URL":"http://icfb.rs.opf.slu.cz/sites/icfb.rs.opf.slu.cz/files/39_roman.pdf","shortTitle":"Analysis of profitability determinants","author":[{"family":"Roman","given":"Angela"},{"family":"Tomuleasa","given":"I."}],"issued":{"date-parts":[["2012"]]},"accessed":{"date-parts":[["2015",7,10]]}}}],"schema":"https://github.com/citation-style-language/schema/raw/master/csl-citation.json"} </w:instrText>
      </w:r>
      <w:r>
        <w:fldChar w:fldCharType="separate"/>
      </w:r>
      <w:r w:rsidRPr="00FE68C9">
        <w:rPr>
          <w:rFonts w:cs="Times New Roman"/>
        </w:rPr>
        <w:t xml:space="preserve">Roman &amp; Tomuleasa </w:t>
      </w:r>
      <w:r>
        <w:rPr>
          <w:rFonts w:cs="Times New Roman"/>
        </w:rPr>
        <w:t>(</w:t>
      </w:r>
      <w:r w:rsidRPr="00FE68C9">
        <w:rPr>
          <w:rFonts w:cs="Times New Roman"/>
        </w:rPr>
        <w:t>2012</w:t>
      </w:r>
      <w:r>
        <w:fldChar w:fldCharType="end"/>
      </w:r>
      <w:r>
        <w:t xml:space="preserve">); </w:t>
      </w:r>
      <w:r>
        <w:fldChar w:fldCharType="begin"/>
      </w:r>
      <w:r>
        <w:instrText xml:space="preserve"> ADDIN ZOTERO_ITEM CSL_CITATION {"citationID":"sppga5bB","properties":{"formattedCitation":"(Ali et al. 2011)","plainCitation":"(Ali et al. 2011)"},"citationItems":[{"id":15,"uris":["http://zotero.org/users/2519191/items/2936UV9C"],"uri":["http://zotero.org/users/2519191/items/2936UV9C"],"itemData":{"id":15,"type":"article-journal","title":"Bank-Specific and Macroeconomic Indicators of Profitability-Empirical Evidence from the Commercial Banks of Pakistan","container-title":"International Journal of Business and Social Science","page":"235–242","volume":"2","issue":"6","source":"Google Scholar","URL":"http://joc.hcc.edu.pk/faculty_publications/bankspecific.pdf","author":[{"family":"Ali","given":"Khizer"},{"family":"Akhtar","given":"Muhammad Farhan"},{"family":"Ahmed","given":"Hafiz Zafar"}],"issued":{"date-parts":[["2011"]]},"accessed":{"date-parts":[["2015",7,5]]}}}],"schema":"https://github.com/citation-style-language/schema/raw/master/csl-citation.json"} </w:instrText>
      </w:r>
      <w:r>
        <w:fldChar w:fldCharType="separate"/>
      </w:r>
      <w:r w:rsidRPr="00FE68C9">
        <w:rPr>
          <w:rFonts w:cs="Times New Roman"/>
        </w:rPr>
        <w:t xml:space="preserve">Ali et al. </w:t>
      </w:r>
      <w:r>
        <w:rPr>
          <w:rFonts w:cs="Times New Roman"/>
        </w:rPr>
        <w:t>(</w:t>
      </w:r>
      <w:r w:rsidRPr="00FE68C9">
        <w:rPr>
          <w:rFonts w:cs="Times New Roman"/>
        </w:rPr>
        <w:t>2011</w:t>
      </w:r>
      <w:r>
        <w:fldChar w:fldCharType="end"/>
      </w:r>
      <w:r>
        <w:t xml:space="preserve">); </w:t>
      </w:r>
      <w:r>
        <w:fldChar w:fldCharType="begin"/>
      </w:r>
      <w:r>
        <w:instrText xml:space="preserve"> ADDIN ZOTERO_ITEM CSL_CITATION {"citationID":"XTeZahun","properties":{"formattedCitation":"(Kosmidou et al. 2005)","plainCitation":"(Kosmidou et al. 2005)"},"citationItems":[{"id":285,"uris":["http://zotero.org/users/2519191/items/DZWWSBGD"],"uri":["http://zotero.org/users/2519191/items/DZWWSBGD"],"itemData":{"id":285,"type":"paper-conference","title":"Determinants of profitability of domestic UK commercial banks: panel evidence from the period 1995-2002","container-title":"Money Macro and Finance (MMF) Research Group Conference","volume":"45","source":"Google Scholar","URL":"https://curve.coventry.ac.uk/open/file/0e96868a-c91f-7854-ffc7-b1d58eb809ed/1/Determinants%20of%20profitability.pdf","shortTitle":"Determinants of profitability of domestic UK commercial banks","author":[{"family":"Kosmidou","given":"Kyriaki"},{"family":"Tanna","given":"Sailesh"},{"family":"Pasiouras","given":"Fotios"}],"issued":{"date-parts":[["2005"]]},"accessed":{"date-parts":[["2015",7,13]]}}}],"schema":"https://github.com/citation-style-language/schema/raw/master/csl-citation.json"} </w:instrText>
      </w:r>
      <w:r>
        <w:fldChar w:fldCharType="separate"/>
      </w:r>
      <w:r w:rsidRPr="00FE68C9">
        <w:rPr>
          <w:rFonts w:cs="Times New Roman"/>
        </w:rPr>
        <w:t xml:space="preserve">Kosmidou et al. </w:t>
      </w:r>
      <w:r>
        <w:rPr>
          <w:rFonts w:cs="Times New Roman"/>
        </w:rPr>
        <w:t>(</w:t>
      </w:r>
      <w:r w:rsidRPr="00FE68C9">
        <w:rPr>
          <w:rFonts w:cs="Times New Roman"/>
        </w:rPr>
        <w:t>2005</w:t>
      </w:r>
      <w:r>
        <w:fldChar w:fldCharType="end"/>
      </w:r>
      <w:r w:rsidR="00584DB1">
        <w:t>) and</w:t>
      </w:r>
      <w:r>
        <w:t xml:space="preserve"> </w:t>
      </w:r>
      <w:r>
        <w:fldChar w:fldCharType="begin"/>
      </w:r>
      <w:r>
        <w:instrText xml:space="preserve"> ADDIN ZOTERO_ITEM CSL_CITATION {"citationID":"x5PW70iH","properties":{"formattedCitation":"(Tamimi, 2010)","plainCitation":"(Tamimi, 2010)","dontUpdate":true},"citationItems":[{"id":115,"uris":["http://zotero.org/users/2519191/items/DWGZV2QC"],"uri":["http://zotero.org/users/2519191/items/DWGZV2QC"],"itemData":{"id":115,"type":"article-journal","title":"Factors influencing performance of the UAE Islamic and Conventional national banks","container-title":"Global Journal of Business Research","page":"1-9","volume":"4","issue":"2","author":[{"family":"Tamimi","given":"Hussein A. Hassan","non-dropping-particle":"Al-"}],"issued":{"date-parts":[["2010"]]}}}],"schema":"https://github.com/citation-style-language/schema/raw/master/csl-citation.json"} </w:instrText>
      </w:r>
      <w:r>
        <w:fldChar w:fldCharType="separate"/>
      </w:r>
      <w:r w:rsidRPr="0043352B">
        <w:rPr>
          <w:rFonts w:cs="Times New Roman"/>
        </w:rPr>
        <w:t xml:space="preserve">Tamimi, </w:t>
      </w:r>
      <w:r>
        <w:rPr>
          <w:rFonts w:cs="Times New Roman"/>
        </w:rPr>
        <w:t>(</w:t>
      </w:r>
      <w:r w:rsidRPr="0043352B">
        <w:rPr>
          <w:rFonts w:cs="Times New Roman"/>
        </w:rPr>
        <w:t>2010</w:t>
      </w:r>
      <w:r>
        <w:fldChar w:fldCharType="end"/>
      </w:r>
      <w:r>
        <w:t>) c</w:t>
      </w:r>
      <w:r w:rsidR="004D0817">
        <w:t xml:space="preserve">ommercial bank performance is influenced by several factors </w:t>
      </w:r>
      <w:r w:rsidR="000532BE">
        <w:t>which can be categorised</w:t>
      </w:r>
      <w:r w:rsidR="00E62641">
        <w:t xml:space="preserve"> as</w:t>
      </w:r>
      <w:r w:rsidR="000532BE">
        <w:t xml:space="preserve"> </w:t>
      </w:r>
      <w:r w:rsidR="004D0817">
        <w:t>internal determinants and ext</w:t>
      </w:r>
      <w:r w:rsidR="00E62641">
        <w:t>ernal determinants</w:t>
      </w:r>
      <w:r w:rsidR="000532BE">
        <w:t xml:space="preserve">. Other researchers like  </w:t>
      </w:r>
      <w:r w:rsidR="000532BE">
        <w:fldChar w:fldCharType="begin"/>
      </w:r>
      <w:r w:rsidR="000532BE">
        <w:instrText xml:space="preserve"> ADDIN ZOTERO_ITEM CSL_CITATION {"citationID":"J2rNDPQp","properties":{"formattedCitation":"(Abdullah, Parvez and Ayreen, 2014)","plainCitation":"(Abdullah, Parvez and Ayreen, 2014)","dontUpdate":true},"citationItems":[{"id":114,"uris":["http://zotero.org/users/2519191/items/VU65PWMA"],"uri":["http://zotero.org/users/2519191/items/VU65PWMA"],"itemData":{"id":114,"type":"article-journal","title":"Bank Specific, Industry Specific and Macroeconomic Determinants of Commercial Bank Profitability: A Case of Bangladesh","container-title":"World","volume":"4","issue":"3","source":"Google Scholar","URL":"http://wjsspapers.com/static/documents/October/2014/7.%20Nayeem%20and%20Kamruddin.pdf","shortTitle":"Bank Specific, Industry Specific and Macroeconomic Determinants of Commercial Bank Profitability","author":[{"family":"Abdullah","given":"Mohammad Nayeem"},{"family":"Parvez","given":"Kamruddin"},{"family":"Ayreen","given":"Salma"}],"issued":{"date-parts":[["2014"]]},"accessed":{"date-parts":[["2015",7,10]]}}}],"schema":"https://github.com/citation-style-language/schema/raw/master/csl-citation.json"} </w:instrText>
      </w:r>
      <w:r w:rsidR="000532BE">
        <w:fldChar w:fldCharType="separate"/>
      </w:r>
      <w:r w:rsidR="000532BE" w:rsidRPr="00690183">
        <w:rPr>
          <w:rFonts w:cs="Times New Roman"/>
        </w:rPr>
        <w:t>Abdullah, Parvez and Ayreen,</w:t>
      </w:r>
      <w:r w:rsidR="000532BE">
        <w:rPr>
          <w:rFonts w:cs="Times New Roman"/>
        </w:rPr>
        <w:t>(</w:t>
      </w:r>
      <w:r w:rsidR="000532BE" w:rsidRPr="00690183">
        <w:rPr>
          <w:rFonts w:cs="Times New Roman"/>
        </w:rPr>
        <w:t>2014</w:t>
      </w:r>
      <w:r w:rsidR="000532BE">
        <w:fldChar w:fldCharType="end"/>
      </w:r>
      <w:r w:rsidR="000532BE">
        <w:t xml:space="preserve">) and </w:t>
      </w:r>
      <w:r w:rsidR="000532BE">
        <w:fldChar w:fldCharType="begin"/>
      </w:r>
      <w:r w:rsidR="000532BE">
        <w:instrText xml:space="preserve"> ADDIN ZOTERO_ITEM CSL_CITATION {"citationID":"T8Zwn1ec","properties":{"formattedCitation":"(Athanasoglou et al. 2005)","plainCitation":"(Athanasoglou et al. 2005)"},"citationItems":[{"id":234,"uris":["http://zotero.org/users/2519191/items/7TEJFIVS"],"uri":["http://zotero.org/users/2519191/items/7TEJFIVS"],"itemData":{"id":234,"type":"article-journal","title":"Bank-specific, industry-specific and macroeconomic determinants of bank profitability","container-title":"Journal of international financial Markets, Institutions and Money","page":"121–136","volume":"18","issue":"2","source":"Google Scholar","URL":"http://www.sciencedirect.com/science/article/pii/S1042443106000473","author":[{"family":"Athanasoglou","given":"Panayiotis P."},{"family":"Brissimis","given":"Sophocles N."},{"family":"Delis","given":"Matthaios D."}],"issued":{"date-parts":[["2005"]]},"accessed":{"date-parts":[["2015",7,12]]}}}],"schema":"https://github.com/citation-style-language/schema/raw/master/csl-citation.json"} </w:instrText>
      </w:r>
      <w:r w:rsidR="000532BE">
        <w:fldChar w:fldCharType="separate"/>
      </w:r>
      <w:r w:rsidR="000532BE" w:rsidRPr="00FE68C9">
        <w:rPr>
          <w:rFonts w:cs="Times New Roman"/>
        </w:rPr>
        <w:t xml:space="preserve">Athanasoglou et al. </w:t>
      </w:r>
      <w:r w:rsidR="000532BE">
        <w:rPr>
          <w:rFonts w:cs="Times New Roman"/>
        </w:rPr>
        <w:t>(</w:t>
      </w:r>
      <w:r w:rsidR="000532BE" w:rsidRPr="00FE68C9">
        <w:rPr>
          <w:rFonts w:cs="Times New Roman"/>
        </w:rPr>
        <w:t>2005</w:t>
      </w:r>
      <w:r w:rsidR="000532BE">
        <w:fldChar w:fldCharType="end"/>
      </w:r>
      <w:r w:rsidR="000532BE">
        <w:t xml:space="preserve">) prefer to categorise them into </w:t>
      </w:r>
      <w:r w:rsidR="004D0817">
        <w:t xml:space="preserve">bank specific, industry specific and macroeconomics determinants. As shown </w:t>
      </w:r>
      <w:r w:rsidR="00314B02">
        <w:t xml:space="preserve">in </w:t>
      </w:r>
      <w:r w:rsidR="00314B02">
        <w:fldChar w:fldCharType="begin"/>
      </w:r>
      <w:r w:rsidR="00314B02">
        <w:instrText xml:space="preserve"> REF _Ref431126293 \h </w:instrText>
      </w:r>
      <w:r w:rsidR="00314B02">
        <w:fldChar w:fldCharType="separate"/>
      </w:r>
      <w:r w:rsidR="00314B02">
        <w:t xml:space="preserve">Table </w:t>
      </w:r>
      <w:r w:rsidR="00314B02">
        <w:rPr>
          <w:noProof/>
        </w:rPr>
        <w:t>2</w:t>
      </w:r>
      <w:r w:rsidR="00314B02">
        <w:fldChar w:fldCharType="end"/>
      </w:r>
      <w:r w:rsidR="004D0817">
        <w:t xml:space="preserve"> bank specific factors include bank size, credit risk, diversification, management efficiency capital adequacy and liquidity. External factors can further be divided into gross domestic product (GDP), inflation and interest rates. As shown in the</w:t>
      </w:r>
      <w:r w:rsidR="00314B02">
        <w:t xml:space="preserve"> </w:t>
      </w:r>
      <w:r w:rsidR="00314B02">
        <w:fldChar w:fldCharType="begin"/>
      </w:r>
      <w:r w:rsidR="00314B02">
        <w:instrText xml:space="preserve"> REF _Ref431126293 \h </w:instrText>
      </w:r>
      <w:r w:rsidR="00314B02">
        <w:fldChar w:fldCharType="separate"/>
      </w:r>
      <w:r w:rsidR="00314B02">
        <w:t xml:space="preserve">Table </w:t>
      </w:r>
      <w:r w:rsidR="00314B02">
        <w:rPr>
          <w:noProof/>
        </w:rPr>
        <w:t>2</w:t>
      </w:r>
      <w:r w:rsidR="00314B02">
        <w:fldChar w:fldCharType="end"/>
      </w:r>
      <w:r w:rsidR="004D0817">
        <w:t>, these factors can have either positive or negative impact on commercial bank performance.</w:t>
      </w:r>
      <w:r w:rsidR="000532BE">
        <w:t xml:space="preserve"> In order to quantify these qualitative factors, financial ratios are used and </w:t>
      </w:r>
      <w:r w:rsidR="00FD7075">
        <w:t>3</w:t>
      </w:r>
      <w:r w:rsidR="000532BE">
        <w:t xml:space="preserve"> shows the ratios that can be used for different factors.</w:t>
      </w:r>
    </w:p>
    <w:p w:rsidR="000532BE" w:rsidRDefault="000532BE" w:rsidP="004D0817"/>
    <w:p w:rsidR="00314B02" w:rsidRDefault="00314B02" w:rsidP="00314B02">
      <w:pPr>
        <w:pStyle w:val="Caption"/>
        <w:keepNext/>
      </w:pPr>
      <w:bookmarkStart w:id="12" w:name="_Ref431126293"/>
      <w:bookmarkStart w:id="13" w:name="_Ref431330215"/>
      <w:bookmarkStart w:id="14" w:name="_Toc431332894"/>
      <w:r>
        <w:lastRenderedPageBreak/>
        <w:t xml:space="preserve">Table </w:t>
      </w:r>
      <w:r w:rsidR="001C051F">
        <w:fldChar w:fldCharType="begin"/>
      </w:r>
      <w:r w:rsidR="001C051F">
        <w:instrText xml:space="preserve"> SEQ Table \* ARABIC </w:instrText>
      </w:r>
      <w:r w:rsidR="001C051F">
        <w:fldChar w:fldCharType="separate"/>
      </w:r>
      <w:r w:rsidR="00772261">
        <w:rPr>
          <w:noProof/>
        </w:rPr>
        <w:t>2</w:t>
      </w:r>
      <w:r w:rsidR="001C051F">
        <w:rPr>
          <w:noProof/>
        </w:rPr>
        <w:fldChar w:fldCharType="end"/>
      </w:r>
      <w:bookmarkEnd w:id="12"/>
      <w:r>
        <w:t xml:space="preserve"> </w:t>
      </w:r>
      <w:r w:rsidRPr="00047184">
        <w:t>External and internal determinants and proxy ratios</w:t>
      </w:r>
      <w:bookmarkEnd w:id="13"/>
      <w:bookmarkEnd w:id="14"/>
    </w:p>
    <w:tbl>
      <w:tblPr>
        <w:tblStyle w:val="TableGrid"/>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3493"/>
        <w:gridCol w:w="3020"/>
      </w:tblGrid>
      <w:tr w:rsidR="004D0817" w:rsidTr="00F4770F">
        <w:tc>
          <w:tcPr>
            <w:tcW w:w="2547" w:type="dxa"/>
            <w:tcBorders>
              <w:top w:val="single" w:sz="18" w:space="0" w:color="auto"/>
              <w:bottom w:val="single" w:sz="18" w:space="0" w:color="auto"/>
            </w:tcBorders>
          </w:tcPr>
          <w:p w:rsidR="004D0817" w:rsidRDefault="004D0817" w:rsidP="00772261">
            <w:pPr>
              <w:spacing w:after="0" w:line="240" w:lineRule="auto"/>
            </w:pPr>
            <w:r>
              <w:t>Factor</w:t>
            </w:r>
          </w:p>
        </w:tc>
        <w:tc>
          <w:tcPr>
            <w:tcW w:w="3493" w:type="dxa"/>
            <w:tcBorders>
              <w:top w:val="single" w:sz="18" w:space="0" w:color="auto"/>
              <w:bottom w:val="single" w:sz="18" w:space="0" w:color="auto"/>
            </w:tcBorders>
          </w:tcPr>
          <w:p w:rsidR="004D0817" w:rsidRDefault="004D0817" w:rsidP="00772261">
            <w:pPr>
              <w:spacing w:after="0" w:line="240" w:lineRule="auto"/>
            </w:pPr>
            <w:r>
              <w:t>Proxy measure</w:t>
            </w:r>
          </w:p>
        </w:tc>
        <w:tc>
          <w:tcPr>
            <w:tcW w:w="3020" w:type="dxa"/>
            <w:tcBorders>
              <w:top w:val="single" w:sz="18" w:space="0" w:color="auto"/>
              <w:bottom w:val="single" w:sz="18" w:space="0" w:color="auto"/>
            </w:tcBorders>
          </w:tcPr>
          <w:p w:rsidR="004D0817" w:rsidRDefault="004D0817" w:rsidP="00772261">
            <w:pPr>
              <w:spacing w:after="0" w:line="240" w:lineRule="auto"/>
            </w:pPr>
            <w:r>
              <w:t>Presumed relationship with bank profitability</w:t>
            </w:r>
          </w:p>
        </w:tc>
      </w:tr>
      <w:tr w:rsidR="004D0817" w:rsidTr="00F4770F">
        <w:tc>
          <w:tcPr>
            <w:tcW w:w="2547" w:type="dxa"/>
            <w:tcBorders>
              <w:top w:val="single" w:sz="18" w:space="0" w:color="auto"/>
              <w:bottom w:val="nil"/>
            </w:tcBorders>
          </w:tcPr>
          <w:p w:rsidR="004D0817" w:rsidRDefault="004D0817" w:rsidP="00772261">
            <w:pPr>
              <w:spacing w:after="0" w:line="240" w:lineRule="auto"/>
            </w:pPr>
            <w:r>
              <w:t>Bank size</w:t>
            </w:r>
          </w:p>
        </w:tc>
        <w:tc>
          <w:tcPr>
            <w:tcW w:w="3493" w:type="dxa"/>
            <w:tcBorders>
              <w:top w:val="single" w:sz="18" w:space="0" w:color="auto"/>
              <w:bottom w:val="nil"/>
            </w:tcBorders>
          </w:tcPr>
          <w:p w:rsidR="004D0817" w:rsidRDefault="004D0817" w:rsidP="00772261">
            <w:pPr>
              <w:spacing w:after="0" w:line="240" w:lineRule="auto"/>
            </w:pPr>
            <w:r>
              <w:t>Natural logarithm of total asset</w:t>
            </w:r>
          </w:p>
        </w:tc>
        <w:tc>
          <w:tcPr>
            <w:tcW w:w="3020" w:type="dxa"/>
            <w:tcBorders>
              <w:top w:val="single" w:sz="18" w:space="0" w:color="auto"/>
              <w:bottom w:val="nil"/>
            </w:tcBorders>
          </w:tcPr>
          <w:p w:rsidR="004D0817" w:rsidRDefault="004D0817" w:rsidP="00772261">
            <w:pPr>
              <w:spacing w:after="0" w:line="240" w:lineRule="auto"/>
            </w:pPr>
            <w:r>
              <w:t>Positive or negative</w:t>
            </w:r>
          </w:p>
        </w:tc>
      </w:tr>
      <w:tr w:rsidR="004D0817" w:rsidTr="00F4770F">
        <w:tc>
          <w:tcPr>
            <w:tcW w:w="2547" w:type="dxa"/>
            <w:tcBorders>
              <w:top w:val="nil"/>
              <w:bottom w:val="nil"/>
            </w:tcBorders>
          </w:tcPr>
          <w:p w:rsidR="004D0817" w:rsidRDefault="004D0817" w:rsidP="00772261">
            <w:pPr>
              <w:spacing w:after="0" w:line="240" w:lineRule="auto"/>
            </w:pPr>
            <w:r>
              <w:t xml:space="preserve">Credit risk </w:t>
            </w:r>
          </w:p>
        </w:tc>
        <w:tc>
          <w:tcPr>
            <w:tcW w:w="3493" w:type="dxa"/>
            <w:tcBorders>
              <w:top w:val="nil"/>
              <w:bottom w:val="nil"/>
            </w:tcBorders>
          </w:tcPr>
          <w:p w:rsidR="004D0817" w:rsidRDefault="004D0817" w:rsidP="00772261">
            <w:pPr>
              <w:spacing w:after="0" w:line="240" w:lineRule="auto"/>
            </w:pPr>
            <w:r>
              <w:t>Loan loss provision/ total Loans</w:t>
            </w:r>
          </w:p>
        </w:tc>
        <w:tc>
          <w:tcPr>
            <w:tcW w:w="3020" w:type="dxa"/>
            <w:tcBorders>
              <w:top w:val="nil"/>
              <w:bottom w:val="nil"/>
            </w:tcBorders>
          </w:tcPr>
          <w:p w:rsidR="004D0817" w:rsidRDefault="004D0817" w:rsidP="00772261">
            <w:pPr>
              <w:spacing w:after="0" w:line="240" w:lineRule="auto"/>
            </w:pPr>
            <w:r>
              <w:t>Negative</w:t>
            </w:r>
          </w:p>
        </w:tc>
      </w:tr>
      <w:tr w:rsidR="004D0817" w:rsidTr="00F4770F">
        <w:tc>
          <w:tcPr>
            <w:tcW w:w="2547" w:type="dxa"/>
            <w:tcBorders>
              <w:top w:val="nil"/>
              <w:bottom w:val="nil"/>
            </w:tcBorders>
          </w:tcPr>
          <w:p w:rsidR="004D0817" w:rsidRDefault="004D0817" w:rsidP="00772261">
            <w:pPr>
              <w:spacing w:after="0" w:line="240" w:lineRule="auto"/>
            </w:pPr>
            <w:r>
              <w:t xml:space="preserve">Diversification </w:t>
            </w:r>
          </w:p>
        </w:tc>
        <w:tc>
          <w:tcPr>
            <w:tcW w:w="3493" w:type="dxa"/>
            <w:tcBorders>
              <w:top w:val="nil"/>
              <w:bottom w:val="nil"/>
            </w:tcBorders>
          </w:tcPr>
          <w:p w:rsidR="004D0817" w:rsidRDefault="004D0817" w:rsidP="00772261">
            <w:pPr>
              <w:spacing w:after="0" w:line="240" w:lineRule="auto"/>
            </w:pPr>
            <w:r>
              <w:t>Non-interest income to total asset</w:t>
            </w:r>
          </w:p>
        </w:tc>
        <w:tc>
          <w:tcPr>
            <w:tcW w:w="3020" w:type="dxa"/>
            <w:tcBorders>
              <w:top w:val="nil"/>
              <w:bottom w:val="nil"/>
            </w:tcBorders>
          </w:tcPr>
          <w:p w:rsidR="004D0817" w:rsidRDefault="004D0817" w:rsidP="00772261">
            <w:pPr>
              <w:spacing w:after="0" w:line="240" w:lineRule="auto"/>
            </w:pPr>
            <w:r>
              <w:t>Positive</w:t>
            </w:r>
          </w:p>
        </w:tc>
      </w:tr>
      <w:tr w:rsidR="004D0817" w:rsidTr="00F4770F">
        <w:tc>
          <w:tcPr>
            <w:tcW w:w="2547" w:type="dxa"/>
            <w:tcBorders>
              <w:top w:val="nil"/>
              <w:bottom w:val="nil"/>
            </w:tcBorders>
          </w:tcPr>
          <w:p w:rsidR="004D0817" w:rsidRDefault="004D0817" w:rsidP="00772261">
            <w:pPr>
              <w:spacing w:after="0" w:line="240" w:lineRule="auto"/>
            </w:pPr>
            <w:r>
              <w:t xml:space="preserve">Management efficiency  </w:t>
            </w:r>
          </w:p>
        </w:tc>
        <w:tc>
          <w:tcPr>
            <w:tcW w:w="3493" w:type="dxa"/>
            <w:tcBorders>
              <w:top w:val="nil"/>
              <w:bottom w:val="nil"/>
            </w:tcBorders>
          </w:tcPr>
          <w:p w:rsidR="004D0817" w:rsidRDefault="004D0817" w:rsidP="00772261">
            <w:pPr>
              <w:spacing w:after="0" w:line="240" w:lineRule="auto"/>
            </w:pPr>
            <w:r>
              <w:t xml:space="preserve">Cost to income ratio </w:t>
            </w:r>
          </w:p>
        </w:tc>
        <w:tc>
          <w:tcPr>
            <w:tcW w:w="3020" w:type="dxa"/>
            <w:tcBorders>
              <w:top w:val="nil"/>
              <w:bottom w:val="nil"/>
            </w:tcBorders>
          </w:tcPr>
          <w:p w:rsidR="004D0817" w:rsidRDefault="004D0817" w:rsidP="00772261">
            <w:pPr>
              <w:spacing w:after="0" w:line="240" w:lineRule="auto"/>
            </w:pPr>
            <w:r>
              <w:t>Negative</w:t>
            </w:r>
          </w:p>
        </w:tc>
      </w:tr>
      <w:tr w:rsidR="004D0817" w:rsidTr="00F4770F">
        <w:tc>
          <w:tcPr>
            <w:tcW w:w="2547" w:type="dxa"/>
            <w:tcBorders>
              <w:top w:val="nil"/>
              <w:bottom w:val="nil"/>
            </w:tcBorders>
          </w:tcPr>
          <w:p w:rsidR="004D0817" w:rsidRDefault="004D0817" w:rsidP="00772261">
            <w:pPr>
              <w:spacing w:after="0" w:line="240" w:lineRule="auto"/>
            </w:pPr>
            <w:r>
              <w:t xml:space="preserve">Capital adequacy </w:t>
            </w:r>
          </w:p>
        </w:tc>
        <w:tc>
          <w:tcPr>
            <w:tcW w:w="3493" w:type="dxa"/>
            <w:tcBorders>
              <w:top w:val="nil"/>
              <w:bottom w:val="nil"/>
            </w:tcBorders>
          </w:tcPr>
          <w:p w:rsidR="004D0817" w:rsidRDefault="004D0817" w:rsidP="00772261">
            <w:pPr>
              <w:spacing w:after="0" w:line="240" w:lineRule="auto"/>
            </w:pPr>
            <w:r>
              <w:t>Capital base/Total weighted assets</w:t>
            </w:r>
          </w:p>
        </w:tc>
        <w:tc>
          <w:tcPr>
            <w:tcW w:w="3020" w:type="dxa"/>
            <w:tcBorders>
              <w:top w:val="nil"/>
              <w:bottom w:val="nil"/>
            </w:tcBorders>
          </w:tcPr>
          <w:p w:rsidR="004D0817" w:rsidRDefault="004D0817" w:rsidP="00772261">
            <w:pPr>
              <w:spacing w:after="0" w:line="240" w:lineRule="auto"/>
            </w:pPr>
            <w:r>
              <w:t>Positive or negative</w:t>
            </w:r>
          </w:p>
        </w:tc>
      </w:tr>
      <w:tr w:rsidR="004D0817" w:rsidTr="00F4770F">
        <w:tc>
          <w:tcPr>
            <w:tcW w:w="2547" w:type="dxa"/>
            <w:tcBorders>
              <w:top w:val="nil"/>
              <w:bottom w:val="nil"/>
            </w:tcBorders>
          </w:tcPr>
          <w:p w:rsidR="004D0817" w:rsidRDefault="004D0817" w:rsidP="00772261">
            <w:pPr>
              <w:spacing w:after="0" w:line="240" w:lineRule="auto"/>
            </w:pPr>
            <w:r>
              <w:t>Gross domestic product</w:t>
            </w:r>
          </w:p>
        </w:tc>
        <w:tc>
          <w:tcPr>
            <w:tcW w:w="3493" w:type="dxa"/>
            <w:tcBorders>
              <w:top w:val="nil"/>
              <w:bottom w:val="nil"/>
            </w:tcBorders>
          </w:tcPr>
          <w:p w:rsidR="004D0817" w:rsidRDefault="004D0817" w:rsidP="00772261">
            <w:pPr>
              <w:spacing w:after="0" w:line="240" w:lineRule="auto"/>
            </w:pPr>
            <w:r>
              <w:t>GDP growth rate</w:t>
            </w:r>
          </w:p>
        </w:tc>
        <w:tc>
          <w:tcPr>
            <w:tcW w:w="3020" w:type="dxa"/>
            <w:tcBorders>
              <w:top w:val="nil"/>
              <w:bottom w:val="nil"/>
            </w:tcBorders>
          </w:tcPr>
          <w:p w:rsidR="004D0817" w:rsidRDefault="004D0817" w:rsidP="00772261">
            <w:pPr>
              <w:spacing w:after="0" w:line="240" w:lineRule="auto"/>
            </w:pPr>
            <w:r>
              <w:t xml:space="preserve">Positive </w:t>
            </w:r>
          </w:p>
        </w:tc>
      </w:tr>
      <w:tr w:rsidR="004D0817" w:rsidTr="00F4770F">
        <w:tc>
          <w:tcPr>
            <w:tcW w:w="2547" w:type="dxa"/>
            <w:tcBorders>
              <w:top w:val="nil"/>
              <w:bottom w:val="nil"/>
            </w:tcBorders>
          </w:tcPr>
          <w:p w:rsidR="004D0817" w:rsidRDefault="004D0817" w:rsidP="00772261">
            <w:pPr>
              <w:spacing w:after="0" w:line="240" w:lineRule="auto"/>
            </w:pPr>
            <w:r>
              <w:t>Inflation</w:t>
            </w:r>
          </w:p>
        </w:tc>
        <w:tc>
          <w:tcPr>
            <w:tcW w:w="3493" w:type="dxa"/>
            <w:tcBorders>
              <w:top w:val="nil"/>
              <w:bottom w:val="nil"/>
            </w:tcBorders>
          </w:tcPr>
          <w:p w:rsidR="004D0817" w:rsidRDefault="004D0817" w:rsidP="00772261">
            <w:pPr>
              <w:spacing w:after="0" w:line="240" w:lineRule="auto"/>
            </w:pPr>
            <w:r>
              <w:t>Inflation rate</w:t>
            </w:r>
          </w:p>
        </w:tc>
        <w:tc>
          <w:tcPr>
            <w:tcW w:w="3020" w:type="dxa"/>
            <w:tcBorders>
              <w:top w:val="nil"/>
              <w:bottom w:val="nil"/>
            </w:tcBorders>
          </w:tcPr>
          <w:p w:rsidR="004D0817" w:rsidRDefault="004D0817" w:rsidP="00772261">
            <w:pPr>
              <w:spacing w:after="0" w:line="240" w:lineRule="auto"/>
            </w:pPr>
            <w:r>
              <w:t>Positive or negative</w:t>
            </w:r>
          </w:p>
        </w:tc>
      </w:tr>
      <w:tr w:rsidR="004D0817" w:rsidTr="00F4770F">
        <w:tc>
          <w:tcPr>
            <w:tcW w:w="2547" w:type="dxa"/>
            <w:tcBorders>
              <w:top w:val="nil"/>
              <w:bottom w:val="single" w:sz="18" w:space="0" w:color="auto"/>
            </w:tcBorders>
          </w:tcPr>
          <w:p w:rsidR="004D0817" w:rsidRDefault="004D0817" w:rsidP="00772261">
            <w:pPr>
              <w:spacing w:after="0" w:line="240" w:lineRule="auto"/>
            </w:pPr>
            <w:r>
              <w:t xml:space="preserve">Interest fluctuations </w:t>
            </w:r>
          </w:p>
        </w:tc>
        <w:tc>
          <w:tcPr>
            <w:tcW w:w="3493" w:type="dxa"/>
            <w:tcBorders>
              <w:top w:val="nil"/>
              <w:bottom w:val="single" w:sz="18" w:space="0" w:color="auto"/>
            </w:tcBorders>
          </w:tcPr>
          <w:p w:rsidR="004D0817" w:rsidRDefault="004D0817" w:rsidP="00772261">
            <w:pPr>
              <w:spacing w:after="0" w:line="240" w:lineRule="auto"/>
            </w:pPr>
            <w:r>
              <w:t>interest</w:t>
            </w:r>
          </w:p>
        </w:tc>
        <w:tc>
          <w:tcPr>
            <w:tcW w:w="3020" w:type="dxa"/>
            <w:tcBorders>
              <w:top w:val="nil"/>
              <w:bottom w:val="single" w:sz="18" w:space="0" w:color="auto"/>
            </w:tcBorders>
          </w:tcPr>
          <w:p w:rsidR="004D0817" w:rsidRDefault="004D0817" w:rsidP="00772261">
            <w:pPr>
              <w:spacing w:after="0" w:line="240" w:lineRule="auto"/>
            </w:pPr>
            <w:r>
              <w:t>Positive or negative</w:t>
            </w:r>
          </w:p>
        </w:tc>
      </w:tr>
      <w:tr w:rsidR="00F4770F" w:rsidTr="00A91D1C">
        <w:tc>
          <w:tcPr>
            <w:tcW w:w="9060" w:type="dxa"/>
            <w:gridSpan w:val="3"/>
            <w:tcBorders>
              <w:top w:val="single" w:sz="18" w:space="0" w:color="auto"/>
              <w:bottom w:val="nil"/>
            </w:tcBorders>
          </w:tcPr>
          <w:p w:rsidR="00F4770F" w:rsidRDefault="00F4770F" w:rsidP="00772261">
            <w:pPr>
              <w:spacing w:after="0" w:line="240" w:lineRule="auto"/>
            </w:pPr>
            <w:r>
              <w:t>Source:</w:t>
            </w:r>
            <w:r w:rsidR="00BE0404">
              <w:t xml:space="preserve"> </w:t>
            </w:r>
            <w:r w:rsidR="00BE0404">
              <w:fldChar w:fldCharType="begin"/>
            </w:r>
            <w:r w:rsidR="00BE0404">
              <w:instrText xml:space="preserve"> ADDIN ZOTERO_ITEM CSL_CITATION {"citationID":"J4CxcUi6","properties":{"formattedCitation":"(Said &amp; Tumin 2011)","plainCitation":"(Said &amp; Tumin 2011)"},"citationItems":[{"id":224,"uris":["http://zotero.org/users/2519191/items/NVQI9QZN"],"uri":["http://zotero.org/users/2519191/items/NVQI9QZN"],"itemData":{"id":224,"type":"article-journal","title":"Performance and financial ratios of commercial banks in Malaysia and China","container-title":"International Review of Business Research Papers","page":"157–169","volume":"7","issue":"2","source":"Google Scholar","URL":"http://www.irbrp.com/static/documents/March/2011/11.%20Rasidah-FINAL.pdf","author":[{"family":"Said","given":"Rasidah Mohd"},{"family":"Tumin","given":"Mohd Hanafi"}],"issued":{"date-parts":[["2011"]]},"accessed":{"date-parts":[["2015",7,2]]}}}],"schema":"https://github.com/citation-style-language/schema/raw/master/csl-citation.json"} </w:instrText>
            </w:r>
            <w:r w:rsidR="00BE0404">
              <w:fldChar w:fldCharType="separate"/>
            </w:r>
            <w:r w:rsidR="00BE0404" w:rsidRPr="00FE68C9">
              <w:rPr>
                <w:rFonts w:cs="Times New Roman"/>
              </w:rPr>
              <w:t xml:space="preserve">Said &amp; Tumin </w:t>
            </w:r>
            <w:r w:rsidR="00BE0404">
              <w:rPr>
                <w:rFonts w:cs="Times New Roman"/>
              </w:rPr>
              <w:t>(</w:t>
            </w:r>
            <w:r w:rsidR="00BE0404" w:rsidRPr="00FE68C9">
              <w:rPr>
                <w:rFonts w:cs="Times New Roman"/>
              </w:rPr>
              <w:t>2011)</w:t>
            </w:r>
            <w:r w:rsidR="00BE0404">
              <w:fldChar w:fldCharType="end"/>
            </w:r>
          </w:p>
        </w:tc>
      </w:tr>
    </w:tbl>
    <w:p w:rsidR="00EA5FA0" w:rsidRDefault="00D04BA0" w:rsidP="00D04BA0">
      <w:pPr>
        <w:pStyle w:val="Heading2"/>
        <w:rPr>
          <w:rFonts w:eastAsia="Times New Roman"/>
          <w:lang w:eastAsia="en-GB"/>
        </w:rPr>
      </w:pPr>
      <w:bookmarkStart w:id="15" w:name="_Toc431332838"/>
      <w:r>
        <w:rPr>
          <w:rFonts w:eastAsia="Times New Roman"/>
          <w:lang w:eastAsia="en-GB"/>
        </w:rPr>
        <w:t>RELATIONSHIP BETWEEN PERFOMANCE AND FACTORS</w:t>
      </w:r>
      <w:bookmarkEnd w:id="15"/>
    </w:p>
    <w:p w:rsidR="00F77A4D" w:rsidRDefault="00D04BA0" w:rsidP="00D04BA0">
      <w:r>
        <w:rPr>
          <w:lang w:eastAsia="en-GB"/>
        </w:rPr>
        <w:t xml:space="preserve">In order determine the relationship between bank performance and its factors </w:t>
      </w:r>
      <w:r w:rsidR="007C2825">
        <w:rPr>
          <w:lang w:eastAsia="en-GB"/>
        </w:rPr>
        <w:t>a</w:t>
      </w:r>
      <w:r>
        <w:rPr>
          <w:lang w:eastAsia="en-GB"/>
        </w:rPr>
        <w:t xml:space="preserve"> </w:t>
      </w:r>
      <w:r>
        <w:t>pooled ordinary square regression model was do</w:t>
      </w:r>
      <w:r w:rsidR="00910586">
        <w:t>ne</w:t>
      </w:r>
      <w:r>
        <w:t xml:space="preserve"> using GRETL.</w:t>
      </w:r>
      <w:r w:rsidR="007C2825">
        <w:t xml:space="preserve"> The dependent variable used was the return on asset and the factors listed on </w:t>
      </w:r>
      <w:r w:rsidR="001C051F">
        <w:fldChar w:fldCharType="begin"/>
      </w:r>
      <w:r w:rsidR="001C051F">
        <w:instrText xml:space="preserve"> REF _Ref431125717 </w:instrText>
      </w:r>
      <w:r w:rsidR="001C051F">
        <w:fldChar w:fldCharType="separate"/>
      </w:r>
      <w:r w:rsidR="007C2825">
        <w:t xml:space="preserve">Table </w:t>
      </w:r>
      <w:r w:rsidR="007C2825">
        <w:rPr>
          <w:noProof/>
        </w:rPr>
        <w:t>1</w:t>
      </w:r>
      <w:r w:rsidR="001C051F">
        <w:rPr>
          <w:noProof/>
        </w:rPr>
        <w:fldChar w:fldCharType="end"/>
      </w:r>
      <w:r w:rsidR="002647E3">
        <w:t>. After the pooled ordinary square regression model was run</w:t>
      </w:r>
      <w:r w:rsidR="002736BA">
        <w:t>,</w:t>
      </w:r>
      <w:r w:rsidR="002647E3">
        <w:t xml:space="preserve"> it was found that management efficiency, credit risk, and deposit growth are negatively related to ROA</w:t>
      </w:r>
      <w:r w:rsidR="00881889">
        <w:t>. Looking at p-value, management efficiency, diversification, credit risk, capital and GDP growth rate are significantly related to ROA at 5% confidence interval and bank size, deposit growth and liquidity are not significantly related to ROA. Looking at the r squared, 63.73</w:t>
      </w:r>
      <w:r w:rsidR="00194007">
        <w:t>% of variation in the dependent variable is explained by the mod</w:t>
      </w:r>
      <w:r w:rsidR="00785C29">
        <w:t>el.</w:t>
      </w:r>
    </w:p>
    <w:p w:rsidR="00194007" w:rsidRDefault="00194007" w:rsidP="00194007">
      <w:pPr>
        <w:pStyle w:val="Caption"/>
        <w:keepNext/>
      </w:pPr>
      <w:bookmarkStart w:id="16" w:name="_Toc431332895"/>
      <w:r>
        <w:t xml:space="preserve">Table </w:t>
      </w:r>
      <w:r w:rsidR="001C051F">
        <w:fldChar w:fldCharType="begin"/>
      </w:r>
      <w:r w:rsidR="001C051F">
        <w:instrText xml:space="preserve"> SEQ Table \* ARABIC </w:instrText>
      </w:r>
      <w:r w:rsidR="001C051F">
        <w:fldChar w:fldCharType="separate"/>
      </w:r>
      <w:r w:rsidR="00772261">
        <w:rPr>
          <w:noProof/>
        </w:rPr>
        <w:t>3</w:t>
      </w:r>
      <w:r w:rsidR="001C051F">
        <w:rPr>
          <w:noProof/>
        </w:rPr>
        <w:fldChar w:fldCharType="end"/>
      </w:r>
      <w:r>
        <w:t xml:space="preserve"> Pooled OLS</w:t>
      </w:r>
      <w:bookmarkEnd w:id="16"/>
    </w:p>
    <w:tbl>
      <w:tblPr>
        <w:tblW w:w="9045" w:type="dxa"/>
        <w:tblBorders>
          <w:top w:val="single" w:sz="18" w:space="0" w:color="auto"/>
          <w:bottom w:val="single" w:sz="18" w:space="0" w:color="auto"/>
        </w:tblBorders>
        <w:tblLayout w:type="fixed"/>
        <w:tblCellMar>
          <w:left w:w="30" w:type="dxa"/>
          <w:right w:w="30" w:type="dxa"/>
        </w:tblCellMar>
        <w:tblLook w:val="0000" w:firstRow="0" w:lastRow="0" w:firstColumn="0" w:lastColumn="0" w:noHBand="0" w:noVBand="0"/>
      </w:tblPr>
      <w:tblGrid>
        <w:gridCol w:w="2387"/>
        <w:gridCol w:w="1559"/>
        <w:gridCol w:w="1560"/>
        <w:gridCol w:w="1400"/>
        <w:gridCol w:w="1577"/>
        <w:gridCol w:w="562"/>
      </w:tblGrid>
      <w:tr w:rsidR="002647E3" w:rsidTr="000532BE">
        <w:trPr>
          <w:trHeight w:val="259"/>
        </w:trPr>
        <w:tc>
          <w:tcPr>
            <w:tcW w:w="2387" w:type="dxa"/>
            <w:tcBorders>
              <w:top w:val="single" w:sz="18" w:space="0" w:color="auto"/>
              <w:bottom w:val="single" w:sz="18" w:space="0" w:color="auto"/>
            </w:tcBorders>
          </w:tcPr>
          <w:p w:rsidR="00F77A4D" w:rsidRDefault="00F77A4D" w:rsidP="000532BE">
            <w:pPr>
              <w:widowControl w:val="0"/>
              <w:autoSpaceDE w:val="0"/>
              <w:autoSpaceDN w:val="0"/>
              <w:adjustRightInd w:val="0"/>
              <w:spacing w:after="0" w:line="240" w:lineRule="auto"/>
              <w:jc w:val="center"/>
              <w:rPr>
                <w:rFonts w:cs="Times New Roman"/>
                <w:szCs w:val="24"/>
              </w:rPr>
            </w:pPr>
          </w:p>
        </w:tc>
        <w:tc>
          <w:tcPr>
            <w:tcW w:w="1559" w:type="dxa"/>
            <w:tcBorders>
              <w:top w:val="single" w:sz="18" w:space="0" w:color="auto"/>
              <w:bottom w:val="single" w:sz="18" w:space="0" w:color="auto"/>
            </w:tcBorders>
          </w:tcPr>
          <w:p w:rsidR="00F77A4D" w:rsidRDefault="00F77A4D" w:rsidP="000532BE">
            <w:pPr>
              <w:widowControl w:val="0"/>
              <w:autoSpaceDE w:val="0"/>
              <w:autoSpaceDN w:val="0"/>
              <w:adjustRightInd w:val="0"/>
              <w:spacing w:after="0" w:line="240" w:lineRule="auto"/>
              <w:jc w:val="center"/>
              <w:rPr>
                <w:rFonts w:cs="Times New Roman"/>
                <w:szCs w:val="24"/>
              </w:rPr>
            </w:pPr>
            <w:r>
              <w:rPr>
                <w:rFonts w:cs="Times New Roman"/>
                <w:i/>
                <w:iCs/>
                <w:szCs w:val="24"/>
              </w:rPr>
              <w:t>Coefficient</w:t>
            </w:r>
          </w:p>
        </w:tc>
        <w:tc>
          <w:tcPr>
            <w:tcW w:w="1560" w:type="dxa"/>
            <w:tcBorders>
              <w:top w:val="single" w:sz="18" w:space="0" w:color="auto"/>
              <w:bottom w:val="single" w:sz="18" w:space="0" w:color="auto"/>
            </w:tcBorders>
          </w:tcPr>
          <w:p w:rsidR="00F77A4D" w:rsidRDefault="00F77A4D" w:rsidP="000532BE">
            <w:pPr>
              <w:widowControl w:val="0"/>
              <w:autoSpaceDE w:val="0"/>
              <w:autoSpaceDN w:val="0"/>
              <w:adjustRightInd w:val="0"/>
              <w:spacing w:after="0" w:line="240" w:lineRule="auto"/>
              <w:jc w:val="center"/>
              <w:rPr>
                <w:rFonts w:cs="Times New Roman"/>
                <w:szCs w:val="24"/>
              </w:rPr>
            </w:pPr>
            <w:r>
              <w:rPr>
                <w:rFonts w:cs="Times New Roman"/>
                <w:i/>
                <w:iCs/>
                <w:szCs w:val="24"/>
              </w:rPr>
              <w:t>Std. Error</w:t>
            </w:r>
          </w:p>
        </w:tc>
        <w:tc>
          <w:tcPr>
            <w:tcW w:w="1400" w:type="dxa"/>
            <w:tcBorders>
              <w:top w:val="single" w:sz="18" w:space="0" w:color="auto"/>
              <w:bottom w:val="single" w:sz="18" w:space="0" w:color="auto"/>
            </w:tcBorders>
          </w:tcPr>
          <w:p w:rsidR="00F77A4D" w:rsidRDefault="00F77A4D" w:rsidP="000532BE">
            <w:pPr>
              <w:widowControl w:val="0"/>
              <w:autoSpaceDE w:val="0"/>
              <w:autoSpaceDN w:val="0"/>
              <w:adjustRightInd w:val="0"/>
              <w:spacing w:after="0" w:line="240" w:lineRule="auto"/>
              <w:jc w:val="center"/>
              <w:rPr>
                <w:rFonts w:cs="Times New Roman"/>
                <w:szCs w:val="24"/>
              </w:rPr>
            </w:pPr>
            <w:r>
              <w:rPr>
                <w:rFonts w:cs="Times New Roman"/>
                <w:i/>
                <w:iCs/>
                <w:szCs w:val="24"/>
              </w:rPr>
              <w:t>t-ratio</w:t>
            </w:r>
          </w:p>
        </w:tc>
        <w:tc>
          <w:tcPr>
            <w:tcW w:w="1577" w:type="dxa"/>
            <w:tcBorders>
              <w:top w:val="single" w:sz="18" w:space="0" w:color="auto"/>
              <w:bottom w:val="single" w:sz="18" w:space="0" w:color="auto"/>
            </w:tcBorders>
          </w:tcPr>
          <w:p w:rsidR="00F77A4D" w:rsidRDefault="00F77A4D" w:rsidP="000532BE">
            <w:pPr>
              <w:widowControl w:val="0"/>
              <w:autoSpaceDE w:val="0"/>
              <w:autoSpaceDN w:val="0"/>
              <w:adjustRightInd w:val="0"/>
              <w:spacing w:after="0" w:line="240" w:lineRule="auto"/>
              <w:jc w:val="center"/>
              <w:rPr>
                <w:rFonts w:cs="Times New Roman"/>
                <w:szCs w:val="24"/>
              </w:rPr>
            </w:pPr>
            <w:r>
              <w:rPr>
                <w:rFonts w:cs="Times New Roman"/>
                <w:i/>
                <w:iCs/>
                <w:szCs w:val="24"/>
              </w:rPr>
              <w:t>p-value</w:t>
            </w:r>
          </w:p>
        </w:tc>
        <w:tc>
          <w:tcPr>
            <w:tcW w:w="562" w:type="dxa"/>
            <w:tcBorders>
              <w:top w:val="single" w:sz="18" w:space="0" w:color="auto"/>
              <w:bottom w:val="single" w:sz="18" w:space="0" w:color="auto"/>
            </w:tcBorders>
          </w:tcPr>
          <w:p w:rsidR="00F77A4D" w:rsidRDefault="00F77A4D" w:rsidP="000532BE">
            <w:pPr>
              <w:widowControl w:val="0"/>
              <w:autoSpaceDE w:val="0"/>
              <w:autoSpaceDN w:val="0"/>
              <w:adjustRightInd w:val="0"/>
              <w:spacing w:after="0" w:line="240" w:lineRule="auto"/>
              <w:rPr>
                <w:rFonts w:cs="Times New Roman"/>
                <w:szCs w:val="24"/>
              </w:rPr>
            </w:pPr>
          </w:p>
        </w:tc>
      </w:tr>
      <w:tr w:rsidR="002647E3" w:rsidTr="000532BE">
        <w:trPr>
          <w:trHeight w:val="259"/>
        </w:trPr>
        <w:tc>
          <w:tcPr>
            <w:tcW w:w="2387" w:type="dxa"/>
            <w:tcBorders>
              <w:top w:val="single" w:sz="18" w:space="0" w:color="auto"/>
              <w:bottom w:val="nil"/>
            </w:tcBorders>
          </w:tcPr>
          <w:p w:rsidR="00F77A4D" w:rsidRDefault="00F77A4D" w:rsidP="000532BE">
            <w:pPr>
              <w:widowControl w:val="0"/>
              <w:autoSpaceDE w:val="0"/>
              <w:autoSpaceDN w:val="0"/>
              <w:adjustRightInd w:val="0"/>
              <w:spacing w:after="0" w:line="240" w:lineRule="auto"/>
              <w:rPr>
                <w:rFonts w:cs="Times New Roman"/>
                <w:szCs w:val="24"/>
              </w:rPr>
            </w:pPr>
            <w:r>
              <w:rPr>
                <w:rFonts w:cs="Times New Roman"/>
                <w:szCs w:val="24"/>
              </w:rPr>
              <w:t>const</w:t>
            </w:r>
            <w:r w:rsidR="002736BA">
              <w:rPr>
                <w:rFonts w:cs="Times New Roman"/>
                <w:szCs w:val="24"/>
              </w:rPr>
              <w:t>ant</w:t>
            </w:r>
          </w:p>
        </w:tc>
        <w:tc>
          <w:tcPr>
            <w:tcW w:w="1559" w:type="dxa"/>
            <w:tcBorders>
              <w:top w:val="single" w:sz="18" w:space="0" w:color="auto"/>
              <w:bottom w:val="nil"/>
            </w:tcBorders>
          </w:tcPr>
          <w:p w:rsidR="00F77A4D" w:rsidRDefault="00F77A4D" w:rsidP="000532BE">
            <w:pPr>
              <w:widowControl w:val="0"/>
              <w:autoSpaceDE w:val="0"/>
              <w:autoSpaceDN w:val="0"/>
              <w:adjustRightInd w:val="0"/>
              <w:spacing w:after="0" w:line="240" w:lineRule="auto"/>
              <w:jc w:val="center"/>
              <w:rPr>
                <w:rFonts w:cs="Times New Roman"/>
                <w:szCs w:val="24"/>
              </w:rPr>
            </w:pPr>
            <w:r>
              <w:rPr>
                <w:rFonts w:cs="Times New Roman"/>
                <w:szCs w:val="24"/>
              </w:rPr>
              <w:t>-9.77</w:t>
            </w:r>
          </w:p>
        </w:tc>
        <w:tc>
          <w:tcPr>
            <w:tcW w:w="1560" w:type="dxa"/>
            <w:tcBorders>
              <w:top w:val="single" w:sz="18" w:space="0" w:color="auto"/>
              <w:bottom w:val="nil"/>
            </w:tcBorders>
          </w:tcPr>
          <w:p w:rsidR="00F77A4D" w:rsidRDefault="00194007" w:rsidP="000532BE">
            <w:pPr>
              <w:widowControl w:val="0"/>
              <w:autoSpaceDE w:val="0"/>
              <w:autoSpaceDN w:val="0"/>
              <w:adjustRightInd w:val="0"/>
              <w:spacing w:after="0" w:line="240" w:lineRule="auto"/>
              <w:jc w:val="center"/>
              <w:rPr>
                <w:rFonts w:cs="Times New Roman"/>
                <w:szCs w:val="24"/>
              </w:rPr>
            </w:pPr>
            <w:r>
              <w:rPr>
                <w:rFonts w:cs="Times New Roman"/>
                <w:szCs w:val="24"/>
              </w:rPr>
              <w:t>8.63</w:t>
            </w:r>
          </w:p>
        </w:tc>
        <w:tc>
          <w:tcPr>
            <w:tcW w:w="1400" w:type="dxa"/>
            <w:tcBorders>
              <w:top w:val="single" w:sz="18" w:space="0" w:color="auto"/>
              <w:bottom w:val="nil"/>
            </w:tcBorders>
          </w:tcPr>
          <w:p w:rsidR="00F77A4D" w:rsidRDefault="00F77A4D" w:rsidP="000532BE">
            <w:pPr>
              <w:widowControl w:val="0"/>
              <w:autoSpaceDE w:val="0"/>
              <w:autoSpaceDN w:val="0"/>
              <w:adjustRightInd w:val="0"/>
              <w:spacing w:after="0" w:line="240" w:lineRule="auto"/>
              <w:jc w:val="center"/>
              <w:rPr>
                <w:rFonts w:cs="Times New Roman"/>
                <w:szCs w:val="24"/>
              </w:rPr>
            </w:pPr>
            <w:r>
              <w:rPr>
                <w:rFonts w:cs="Times New Roman"/>
                <w:szCs w:val="24"/>
              </w:rPr>
              <w:t>-1.13</w:t>
            </w:r>
          </w:p>
        </w:tc>
        <w:tc>
          <w:tcPr>
            <w:tcW w:w="1577" w:type="dxa"/>
            <w:tcBorders>
              <w:top w:val="single" w:sz="18" w:space="0" w:color="auto"/>
              <w:bottom w:val="nil"/>
            </w:tcBorders>
          </w:tcPr>
          <w:p w:rsidR="00F77A4D" w:rsidRDefault="00F77A4D" w:rsidP="000532BE">
            <w:pPr>
              <w:widowControl w:val="0"/>
              <w:autoSpaceDE w:val="0"/>
              <w:autoSpaceDN w:val="0"/>
              <w:adjustRightInd w:val="0"/>
              <w:spacing w:after="0" w:line="240" w:lineRule="auto"/>
              <w:jc w:val="center"/>
              <w:rPr>
                <w:rFonts w:cs="Times New Roman"/>
                <w:szCs w:val="24"/>
              </w:rPr>
            </w:pPr>
            <w:r>
              <w:rPr>
                <w:rFonts w:cs="Times New Roman"/>
                <w:szCs w:val="24"/>
              </w:rPr>
              <w:t>0.26</w:t>
            </w:r>
          </w:p>
        </w:tc>
        <w:tc>
          <w:tcPr>
            <w:tcW w:w="562" w:type="dxa"/>
            <w:tcBorders>
              <w:top w:val="single" w:sz="18" w:space="0" w:color="auto"/>
              <w:bottom w:val="nil"/>
            </w:tcBorders>
          </w:tcPr>
          <w:p w:rsidR="00F77A4D" w:rsidRDefault="00F77A4D" w:rsidP="000532BE">
            <w:pPr>
              <w:widowControl w:val="0"/>
              <w:autoSpaceDE w:val="0"/>
              <w:autoSpaceDN w:val="0"/>
              <w:adjustRightInd w:val="0"/>
              <w:spacing w:after="0" w:line="240" w:lineRule="auto"/>
              <w:rPr>
                <w:rFonts w:cs="Times New Roman"/>
                <w:szCs w:val="24"/>
              </w:rPr>
            </w:pPr>
          </w:p>
        </w:tc>
      </w:tr>
      <w:tr w:rsidR="002647E3" w:rsidTr="000532BE">
        <w:trPr>
          <w:trHeight w:val="259"/>
        </w:trPr>
        <w:tc>
          <w:tcPr>
            <w:tcW w:w="2387" w:type="dxa"/>
            <w:tcBorders>
              <w:top w:val="nil"/>
              <w:bottom w:val="nil"/>
            </w:tcBorders>
          </w:tcPr>
          <w:p w:rsidR="00F77A4D" w:rsidRDefault="002647E3" w:rsidP="000532BE">
            <w:pPr>
              <w:widowControl w:val="0"/>
              <w:autoSpaceDE w:val="0"/>
              <w:autoSpaceDN w:val="0"/>
              <w:adjustRightInd w:val="0"/>
              <w:spacing w:after="0" w:line="240" w:lineRule="auto"/>
              <w:rPr>
                <w:rFonts w:cs="Times New Roman"/>
                <w:szCs w:val="24"/>
              </w:rPr>
            </w:pPr>
            <w:r>
              <w:t xml:space="preserve">Management efficiency  </w:t>
            </w:r>
          </w:p>
        </w:tc>
        <w:tc>
          <w:tcPr>
            <w:tcW w:w="1559" w:type="dxa"/>
            <w:tcBorders>
              <w:top w:val="nil"/>
              <w:bottom w:val="nil"/>
            </w:tcBorders>
          </w:tcPr>
          <w:p w:rsidR="00F77A4D" w:rsidRDefault="00194007" w:rsidP="000532BE">
            <w:pPr>
              <w:widowControl w:val="0"/>
              <w:autoSpaceDE w:val="0"/>
              <w:autoSpaceDN w:val="0"/>
              <w:adjustRightInd w:val="0"/>
              <w:spacing w:after="0" w:line="240" w:lineRule="auto"/>
              <w:jc w:val="center"/>
              <w:rPr>
                <w:rFonts w:cs="Times New Roman"/>
                <w:szCs w:val="24"/>
              </w:rPr>
            </w:pPr>
            <w:r>
              <w:rPr>
                <w:rFonts w:cs="Times New Roman"/>
                <w:szCs w:val="24"/>
              </w:rPr>
              <w:t>-0.04</w:t>
            </w:r>
          </w:p>
        </w:tc>
        <w:tc>
          <w:tcPr>
            <w:tcW w:w="1560" w:type="dxa"/>
            <w:tcBorders>
              <w:top w:val="nil"/>
              <w:bottom w:val="nil"/>
            </w:tcBorders>
          </w:tcPr>
          <w:p w:rsidR="00F77A4D" w:rsidRDefault="00F77A4D" w:rsidP="000532BE">
            <w:pPr>
              <w:widowControl w:val="0"/>
              <w:autoSpaceDE w:val="0"/>
              <w:autoSpaceDN w:val="0"/>
              <w:adjustRightInd w:val="0"/>
              <w:spacing w:after="0" w:line="240" w:lineRule="auto"/>
              <w:jc w:val="center"/>
              <w:rPr>
                <w:rFonts w:cs="Times New Roman"/>
                <w:szCs w:val="24"/>
              </w:rPr>
            </w:pPr>
            <w:r>
              <w:rPr>
                <w:rFonts w:cs="Times New Roman"/>
                <w:szCs w:val="24"/>
              </w:rPr>
              <w:t>0.01</w:t>
            </w:r>
          </w:p>
        </w:tc>
        <w:tc>
          <w:tcPr>
            <w:tcW w:w="1400" w:type="dxa"/>
            <w:tcBorders>
              <w:top w:val="nil"/>
              <w:bottom w:val="nil"/>
            </w:tcBorders>
          </w:tcPr>
          <w:p w:rsidR="00F77A4D" w:rsidRDefault="00194007" w:rsidP="000532BE">
            <w:pPr>
              <w:widowControl w:val="0"/>
              <w:autoSpaceDE w:val="0"/>
              <w:autoSpaceDN w:val="0"/>
              <w:adjustRightInd w:val="0"/>
              <w:spacing w:after="0" w:line="240" w:lineRule="auto"/>
              <w:jc w:val="center"/>
              <w:rPr>
                <w:rFonts w:cs="Times New Roman"/>
                <w:szCs w:val="24"/>
              </w:rPr>
            </w:pPr>
            <w:r>
              <w:rPr>
                <w:rFonts w:cs="Times New Roman"/>
                <w:szCs w:val="24"/>
              </w:rPr>
              <w:t>-3.25</w:t>
            </w:r>
          </w:p>
        </w:tc>
        <w:tc>
          <w:tcPr>
            <w:tcW w:w="1577" w:type="dxa"/>
            <w:tcBorders>
              <w:top w:val="nil"/>
              <w:bottom w:val="nil"/>
            </w:tcBorders>
          </w:tcPr>
          <w:p w:rsidR="00F77A4D" w:rsidRDefault="00F77A4D" w:rsidP="000532BE">
            <w:pPr>
              <w:widowControl w:val="0"/>
              <w:autoSpaceDE w:val="0"/>
              <w:autoSpaceDN w:val="0"/>
              <w:adjustRightInd w:val="0"/>
              <w:spacing w:after="0" w:line="240" w:lineRule="auto"/>
              <w:jc w:val="center"/>
              <w:rPr>
                <w:rFonts w:cs="Times New Roman"/>
                <w:szCs w:val="24"/>
              </w:rPr>
            </w:pPr>
            <w:r>
              <w:rPr>
                <w:rFonts w:cs="Times New Roman"/>
                <w:szCs w:val="24"/>
              </w:rPr>
              <w:t>0.00</w:t>
            </w:r>
          </w:p>
        </w:tc>
        <w:tc>
          <w:tcPr>
            <w:tcW w:w="562" w:type="dxa"/>
            <w:tcBorders>
              <w:top w:val="nil"/>
              <w:bottom w:val="nil"/>
            </w:tcBorders>
          </w:tcPr>
          <w:p w:rsidR="00F77A4D" w:rsidRDefault="00F77A4D" w:rsidP="000532BE">
            <w:pPr>
              <w:widowControl w:val="0"/>
              <w:autoSpaceDE w:val="0"/>
              <w:autoSpaceDN w:val="0"/>
              <w:adjustRightInd w:val="0"/>
              <w:spacing w:after="0" w:line="240" w:lineRule="auto"/>
              <w:rPr>
                <w:rFonts w:cs="Times New Roman"/>
                <w:szCs w:val="24"/>
              </w:rPr>
            </w:pPr>
            <w:r>
              <w:rPr>
                <w:rFonts w:cs="Times New Roman"/>
                <w:szCs w:val="24"/>
              </w:rPr>
              <w:t>***</w:t>
            </w:r>
          </w:p>
        </w:tc>
      </w:tr>
      <w:tr w:rsidR="002647E3" w:rsidTr="000532BE">
        <w:trPr>
          <w:trHeight w:val="259"/>
        </w:trPr>
        <w:tc>
          <w:tcPr>
            <w:tcW w:w="2387" w:type="dxa"/>
            <w:tcBorders>
              <w:top w:val="nil"/>
              <w:bottom w:val="nil"/>
            </w:tcBorders>
          </w:tcPr>
          <w:p w:rsidR="00F77A4D" w:rsidRDefault="002647E3" w:rsidP="000532BE">
            <w:pPr>
              <w:widowControl w:val="0"/>
              <w:autoSpaceDE w:val="0"/>
              <w:autoSpaceDN w:val="0"/>
              <w:adjustRightInd w:val="0"/>
              <w:spacing w:after="0" w:line="240" w:lineRule="auto"/>
              <w:rPr>
                <w:rFonts w:cs="Times New Roman"/>
                <w:szCs w:val="24"/>
              </w:rPr>
            </w:pPr>
            <w:r>
              <w:t>Diversification</w:t>
            </w:r>
          </w:p>
        </w:tc>
        <w:tc>
          <w:tcPr>
            <w:tcW w:w="1559" w:type="dxa"/>
            <w:tcBorders>
              <w:top w:val="nil"/>
              <w:bottom w:val="nil"/>
            </w:tcBorders>
          </w:tcPr>
          <w:p w:rsidR="00F77A4D" w:rsidRDefault="00194007" w:rsidP="000532BE">
            <w:pPr>
              <w:widowControl w:val="0"/>
              <w:autoSpaceDE w:val="0"/>
              <w:autoSpaceDN w:val="0"/>
              <w:adjustRightInd w:val="0"/>
              <w:spacing w:after="0" w:line="240" w:lineRule="auto"/>
              <w:jc w:val="center"/>
              <w:rPr>
                <w:rFonts w:cs="Times New Roman"/>
                <w:szCs w:val="24"/>
              </w:rPr>
            </w:pPr>
            <w:r>
              <w:rPr>
                <w:rFonts w:cs="Times New Roman"/>
                <w:szCs w:val="24"/>
              </w:rPr>
              <w:t>0.25</w:t>
            </w:r>
          </w:p>
        </w:tc>
        <w:tc>
          <w:tcPr>
            <w:tcW w:w="1560" w:type="dxa"/>
            <w:tcBorders>
              <w:top w:val="nil"/>
              <w:bottom w:val="nil"/>
            </w:tcBorders>
          </w:tcPr>
          <w:p w:rsidR="00F77A4D" w:rsidRDefault="00F77A4D" w:rsidP="000532BE">
            <w:pPr>
              <w:widowControl w:val="0"/>
              <w:autoSpaceDE w:val="0"/>
              <w:autoSpaceDN w:val="0"/>
              <w:adjustRightInd w:val="0"/>
              <w:spacing w:after="0" w:line="240" w:lineRule="auto"/>
              <w:jc w:val="center"/>
              <w:rPr>
                <w:rFonts w:cs="Times New Roman"/>
                <w:szCs w:val="24"/>
              </w:rPr>
            </w:pPr>
            <w:r>
              <w:rPr>
                <w:rFonts w:cs="Times New Roman"/>
                <w:szCs w:val="24"/>
              </w:rPr>
              <w:t>0.06</w:t>
            </w:r>
          </w:p>
        </w:tc>
        <w:tc>
          <w:tcPr>
            <w:tcW w:w="1400" w:type="dxa"/>
            <w:tcBorders>
              <w:top w:val="nil"/>
              <w:bottom w:val="nil"/>
            </w:tcBorders>
          </w:tcPr>
          <w:p w:rsidR="00F77A4D" w:rsidRDefault="00F77A4D" w:rsidP="000532BE">
            <w:pPr>
              <w:widowControl w:val="0"/>
              <w:autoSpaceDE w:val="0"/>
              <w:autoSpaceDN w:val="0"/>
              <w:adjustRightInd w:val="0"/>
              <w:spacing w:after="0" w:line="240" w:lineRule="auto"/>
              <w:jc w:val="center"/>
              <w:rPr>
                <w:rFonts w:cs="Times New Roman"/>
                <w:szCs w:val="24"/>
              </w:rPr>
            </w:pPr>
            <w:r>
              <w:rPr>
                <w:rFonts w:cs="Times New Roman"/>
                <w:szCs w:val="24"/>
              </w:rPr>
              <w:t>3.87</w:t>
            </w:r>
          </w:p>
        </w:tc>
        <w:tc>
          <w:tcPr>
            <w:tcW w:w="1577" w:type="dxa"/>
            <w:tcBorders>
              <w:top w:val="nil"/>
              <w:bottom w:val="nil"/>
            </w:tcBorders>
          </w:tcPr>
          <w:p w:rsidR="00F77A4D" w:rsidRDefault="00F77A4D" w:rsidP="000532BE">
            <w:pPr>
              <w:widowControl w:val="0"/>
              <w:autoSpaceDE w:val="0"/>
              <w:autoSpaceDN w:val="0"/>
              <w:adjustRightInd w:val="0"/>
              <w:spacing w:after="0" w:line="240" w:lineRule="auto"/>
              <w:jc w:val="center"/>
              <w:rPr>
                <w:rFonts w:cs="Times New Roman"/>
                <w:szCs w:val="24"/>
              </w:rPr>
            </w:pPr>
            <w:r>
              <w:rPr>
                <w:rFonts w:cs="Times New Roman"/>
                <w:szCs w:val="24"/>
              </w:rPr>
              <w:t>0.00</w:t>
            </w:r>
          </w:p>
        </w:tc>
        <w:tc>
          <w:tcPr>
            <w:tcW w:w="562" w:type="dxa"/>
            <w:tcBorders>
              <w:top w:val="nil"/>
              <w:bottom w:val="nil"/>
            </w:tcBorders>
          </w:tcPr>
          <w:p w:rsidR="00F77A4D" w:rsidRDefault="00F77A4D" w:rsidP="000532BE">
            <w:pPr>
              <w:widowControl w:val="0"/>
              <w:autoSpaceDE w:val="0"/>
              <w:autoSpaceDN w:val="0"/>
              <w:adjustRightInd w:val="0"/>
              <w:spacing w:after="0" w:line="240" w:lineRule="auto"/>
              <w:rPr>
                <w:rFonts w:cs="Times New Roman"/>
                <w:szCs w:val="24"/>
              </w:rPr>
            </w:pPr>
            <w:r>
              <w:rPr>
                <w:rFonts w:cs="Times New Roman"/>
                <w:szCs w:val="24"/>
              </w:rPr>
              <w:t>***</w:t>
            </w:r>
          </w:p>
        </w:tc>
      </w:tr>
      <w:tr w:rsidR="002647E3" w:rsidTr="000532BE">
        <w:trPr>
          <w:trHeight w:val="259"/>
        </w:trPr>
        <w:tc>
          <w:tcPr>
            <w:tcW w:w="2387" w:type="dxa"/>
            <w:tcBorders>
              <w:top w:val="nil"/>
              <w:bottom w:val="nil"/>
            </w:tcBorders>
          </w:tcPr>
          <w:p w:rsidR="00F77A4D" w:rsidRDefault="00F77A4D" w:rsidP="000532BE">
            <w:pPr>
              <w:widowControl w:val="0"/>
              <w:autoSpaceDE w:val="0"/>
              <w:autoSpaceDN w:val="0"/>
              <w:adjustRightInd w:val="0"/>
              <w:spacing w:after="0" w:line="240" w:lineRule="auto"/>
              <w:rPr>
                <w:rFonts w:cs="Times New Roman"/>
                <w:szCs w:val="24"/>
              </w:rPr>
            </w:pPr>
            <w:r>
              <w:rPr>
                <w:rFonts w:cs="Times New Roman"/>
                <w:szCs w:val="24"/>
              </w:rPr>
              <w:t>D</w:t>
            </w:r>
            <w:r w:rsidR="002647E3">
              <w:rPr>
                <w:rFonts w:cs="Times New Roman"/>
                <w:szCs w:val="24"/>
              </w:rPr>
              <w:t>eposit growth</w:t>
            </w:r>
          </w:p>
        </w:tc>
        <w:tc>
          <w:tcPr>
            <w:tcW w:w="1559" w:type="dxa"/>
            <w:tcBorders>
              <w:top w:val="nil"/>
              <w:bottom w:val="nil"/>
            </w:tcBorders>
          </w:tcPr>
          <w:p w:rsidR="00F77A4D" w:rsidRDefault="00194007" w:rsidP="000532BE">
            <w:pPr>
              <w:widowControl w:val="0"/>
              <w:autoSpaceDE w:val="0"/>
              <w:autoSpaceDN w:val="0"/>
              <w:adjustRightInd w:val="0"/>
              <w:spacing w:after="0" w:line="240" w:lineRule="auto"/>
              <w:jc w:val="center"/>
              <w:rPr>
                <w:rFonts w:cs="Times New Roman"/>
                <w:szCs w:val="24"/>
              </w:rPr>
            </w:pPr>
            <w:r>
              <w:rPr>
                <w:rFonts w:cs="Times New Roman"/>
                <w:szCs w:val="24"/>
              </w:rPr>
              <w:t>-0.01</w:t>
            </w:r>
          </w:p>
        </w:tc>
        <w:tc>
          <w:tcPr>
            <w:tcW w:w="1560" w:type="dxa"/>
            <w:tcBorders>
              <w:top w:val="nil"/>
              <w:bottom w:val="nil"/>
            </w:tcBorders>
          </w:tcPr>
          <w:p w:rsidR="00F77A4D" w:rsidRDefault="00F77A4D" w:rsidP="000532BE">
            <w:pPr>
              <w:widowControl w:val="0"/>
              <w:autoSpaceDE w:val="0"/>
              <w:autoSpaceDN w:val="0"/>
              <w:adjustRightInd w:val="0"/>
              <w:spacing w:after="0" w:line="240" w:lineRule="auto"/>
              <w:jc w:val="center"/>
              <w:rPr>
                <w:rFonts w:cs="Times New Roman"/>
                <w:szCs w:val="24"/>
              </w:rPr>
            </w:pPr>
            <w:r>
              <w:rPr>
                <w:rFonts w:cs="Times New Roman"/>
                <w:szCs w:val="24"/>
              </w:rPr>
              <w:t>0.00</w:t>
            </w:r>
          </w:p>
        </w:tc>
        <w:tc>
          <w:tcPr>
            <w:tcW w:w="1400" w:type="dxa"/>
            <w:tcBorders>
              <w:top w:val="nil"/>
              <w:bottom w:val="nil"/>
            </w:tcBorders>
          </w:tcPr>
          <w:p w:rsidR="00F77A4D" w:rsidRDefault="00194007" w:rsidP="000532BE">
            <w:pPr>
              <w:widowControl w:val="0"/>
              <w:autoSpaceDE w:val="0"/>
              <w:autoSpaceDN w:val="0"/>
              <w:adjustRightInd w:val="0"/>
              <w:spacing w:after="0" w:line="240" w:lineRule="auto"/>
              <w:jc w:val="center"/>
              <w:rPr>
                <w:rFonts w:cs="Times New Roman"/>
                <w:szCs w:val="24"/>
              </w:rPr>
            </w:pPr>
            <w:r>
              <w:rPr>
                <w:rFonts w:cs="Times New Roman"/>
                <w:szCs w:val="24"/>
              </w:rPr>
              <w:t>-1.65</w:t>
            </w:r>
          </w:p>
        </w:tc>
        <w:tc>
          <w:tcPr>
            <w:tcW w:w="1577" w:type="dxa"/>
            <w:tcBorders>
              <w:top w:val="nil"/>
              <w:bottom w:val="nil"/>
            </w:tcBorders>
          </w:tcPr>
          <w:p w:rsidR="00F77A4D" w:rsidRDefault="00F77A4D" w:rsidP="000532BE">
            <w:pPr>
              <w:widowControl w:val="0"/>
              <w:autoSpaceDE w:val="0"/>
              <w:autoSpaceDN w:val="0"/>
              <w:adjustRightInd w:val="0"/>
              <w:spacing w:after="0" w:line="240" w:lineRule="auto"/>
              <w:jc w:val="center"/>
              <w:rPr>
                <w:rFonts w:cs="Times New Roman"/>
                <w:szCs w:val="24"/>
              </w:rPr>
            </w:pPr>
            <w:r>
              <w:rPr>
                <w:rFonts w:cs="Times New Roman"/>
                <w:szCs w:val="24"/>
              </w:rPr>
              <w:t>0.10</w:t>
            </w:r>
          </w:p>
        </w:tc>
        <w:tc>
          <w:tcPr>
            <w:tcW w:w="562" w:type="dxa"/>
            <w:tcBorders>
              <w:top w:val="nil"/>
              <w:bottom w:val="nil"/>
            </w:tcBorders>
          </w:tcPr>
          <w:p w:rsidR="00F77A4D" w:rsidRDefault="00F77A4D" w:rsidP="000532BE">
            <w:pPr>
              <w:widowControl w:val="0"/>
              <w:autoSpaceDE w:val="0"/>
              <w:autoSpaceDN w:val="0"/>
              <w:adjustRightInd w:val="0"/>
              <w:spacing w:after="0" w:line="240" w:lineRule="auto"/>
              <w:rPr>
                <w:rFonts w:cs="Times New Roman"/>
                <w:szCs w:val="24"/>
              </w:rPr>
            </w:pPr>
          </w:p>
        </w:tc>
      </w:tr>
      <w:tr w:rsidR="002647E3" w:rsidTr="000532BE">
        <w:trPr>
          <w:trHeight w:val="259"/>
        </w:trPr>
        <w:tc>
          <w:tcPr>
            <w:tcW w:w="2387" w:type="dxa"/>
            <w:tcBorders>
              <w:top w:val="nil"/>
              <w:bottom w:val="nil"/>
            </w:tcBorders>
          </w:tcPr>
          <w:p w:rsidR="00F77A4D" w:rsidRDefault="00194007" w:rsidP="000532BE">
            <w:pPr>
              <w:widowControl w:val="0"/>
              <w:autoSpaceDE w:val="0"/>
              <w:autoSpaceDN w:val="0"/>
              <w:adjustRightInd w:val="0"/>
              <w:spacing w:after="0" w:line="240" w:lineRule="auto"/>
              <w:rPr>
                <w:rFonts w:cs="Times New Roman"/>
                <w:szCs w:val="24"/>
              </w:rPr>
            </w:pPr>
            <w:r>
              <w:t>Credit risk</w:t>
            </w:r>
          </w:p>
        </w:tc>
        <w:tc>
          <w:tcPr>
            <w:tcW w:w="1559" w:type="dxa"/>
            <w:tcBorders>
              <w:top w:val="nil"/>
              <w:bottom w:val="nil"/>
            </w:tcBorders>
          </w:tcPr>
          <w:p w:rsidR="00F77A4D" w:rsidRDefault="00194007" w:rsidP="000532BE">
            <w:pPr>
              <w:widowControl w:val="0"/>
              <w:autoSpaceDE w:val="0"/>
              <w:autoSpaceDN w:val="0"/>
              <w:adjustRightInd w:val="0"/>
              <w:spacing w:after="0" w:line="240" w:lineRule="auto"/>
              <w:jc w:val="center"/>
              <w:rPr>
                <w:rFonts w:cs="Times New Roman"/>
                <w:szCs w:val="24"/>
              </w:rPr>
            </w:pPr>
            <w:r>
              <w:rPr>
                <w:rFonts w:cs="Times New Roman"/>
                <w:szCs w:val="24"/>
              </w:rPr>
              <w:t>-0.32</w:t>
            </w:r>
          </w:p>
        </w:tc>
        <w:tc>
          <w:tcPr>
            <w:tcW w:w="1560" w:type="dxa"/>
            <w:tcBorders>
              <w:top w:val="nil"/>
              <w:bottom w:val="nil"/>
            </w:tcBorders>
          </w:tcPr>
          <w:p w:rsidR="00F77A4D" w:rsidRDefault="00F77A4D" w:rsidP="000532BE">
            <w:pPr>
              <w:widowControl w:val="0"/>
              <w:autoSpaceDE w:val="0"/>
              <w:autoSpaceDN w:val="0"/>
              <w:adjustRightInd w:val="0"/>
              <w:spacing w:after="0" w:line="240" w:lineRule="auto"/>
              <w:jc w:val="center"/>
              <w:rPr>
                <w:rFonts w:cs="Times New Roman"/>
                <w:szCs w:val="24"/>
              </w:rPr>
            </w:pPr>
            <w:r>
              <w:rPr>
                <w:rFonts w:cs="Times New Roman"/>
                <w:szCs w:val="24"/>
              </w:rPr>
              <w:t>0.12</w:t>
            </w:r>
          </w:p>
        </w:tc>
        <w:tc>
          <w:tcPr>
            <w:tcW w:w="1400" w:type="dxa"/>
            <w:tcBorders>
              <w:top w:val="nil"/>
              <w:bottom w:val="nil"/>
            </w:tcBorders>
          </w:tcPr>
          <w:p w:rsidR="00F77A4D" w:rsidRDefault="00194007" w:rsidP="000532BE">
            <w:pPr>
              <w:widowControl w:val="0"/>
              <w:autoSpaceDE w:val="0"/>
              <w:autoSpaceDN w:val="0"/>
              <w:adjustRightInd w:val="0"/>
              <w:spacing w:after="0" w:line="240" w:lineRule="auto"/>
              <w:jc w:val="center"/>
              <w:rPr>
                <w:rFonts w:cs="Times New Roman"/>
                <w:szCs w:val="24"/>
              </w:rPr>
            </w:pPr>
            <w:r>
              <w:rPr>
                <w:rFonts w:cs="Times New Roman"/>
                <w:szCs w:val="24"/>
              </w:rPr>
              <w:t>-2.61</w:t>
            </w:r>
          </w:p>
        </w:tc>
        <w:tc>
          <w:tcPr>
            <w:tcW w:w="1577" w:type="dxa"/>
            <w:tcBorders>
              <w:top w:val="nil"/>
              <w:bottom w:val="nil"/>
            </w:tcBorders>
          </w:tcPr>
          <w:p w:rsidR="00F77A4D" w:rsidRDefault="00F77A4D" w:rsidP="000532BE">
            <w:pPr>
              <w:widowControl w:val="0"/>
              <w:autoSpaceDE w:val="0"/>
              <w:autoSpaceDN w:val="0"/>
              <w:adjustRightInd w:val="0"/>
              <w:spacing w:after="0" w:line="240" w:lineRule="auto"/>
              <w:jc w:val="center"/>
              <w:rPr>
                <w:rFonts w:cs="Times New Roman"/>
                <w:szCs w:val="24"/>
              </w:rPr>
            </w:pPr>
            <w:r>
              <w:rPr>
                <w:rFonts w:cs="Times New Roman"/>
                <w:szCs w:val="24"/>
              </w:rPr>
              <w:t>0.01</w:t>
            </w:r>
          </w:p>
        </w:tc>
        <w:tc>
          <w:tcPr>
            <w:tcW w:w="562" w:type="dxa"/>
            <w:tcBorders>
              <w:top w:val="nil"/>
              <w:bottom w:val="nil"/>
            </w:tcBorders>
          </w:tcPr>
          <w:p w:rsidR="00F77A4D" w:rsidRDefault="00F77A4D" w:rsidP="000532BE">
            <w:pPr>
              <w:widowControl w:val="0"/>
              <w:autoSpaceDE w:val="0"/>
              <w:autoSpaceDN w:val="0"/>
              <w:adjustRightInd w:val="0"/>
              <w:spacing w:after="0" w:line="240" w:lineRule="auto"/>
              <w:rPr>
                <w:rFonts w:cs="Times New Roman"/>
                <w:szCs w:val="24"/>
              </w:rPr>
            </w:pPr>
            <w:r>
              <w:rPr>
                <w:rFonts w:cs="Times New Roman"/>
                <w:szCs w:val="24"/>
              </w:rPr>
              <w:t>**</w:t>
            </w:r>
          </w:p>
        </w:tc>
      </w:tr>
      <w:tr w:rsidR="002647E3" w:rsidTr="000532BE">
        <w:trPr>
          <w:trHeight w:val="259"/>
        </w:trPr>
        <w:tc>
          <w:tcPr>
            <w:tcW w:w="2387" w:type="dxa"/>
            <w:tcBorders>
              <w:top w:val="nil"/>
              <w:bottom w:val="nil"/>
            </w:tcBorders>
          </w:tcPr>
          <w:p w:rsidR="00F77A4D" w:rsidRDefault="00194007" w:rsidP="000532BE">
            <w:pPr>
              <w:widowControl w:val="0"/>
              <w:autoSpaceDE w:val="0"/>
              <w:autoSpaceDN w:val="0"/>
              <w:adjustRightInd w:val="0"/>
              <w:spacing w:after="0" w:line="240" w:lineRule="auto"/>
              <w:rPr>
                <w:rFonts w:cs="Times New Roman"/>
                <w:szCs w:val="24"/>
              </w:rPr>
            </w:pPr>
            <w:r>
              <w:t>Capital adequacy</w:t>
            </w:r>
          </w:p>
        </w:tc>
        <w:tc>
          <w:tcPr>
            <w:tcW w:w="1559" w:type="dxa"/>
            <w:tcBorders>
              <w:top w:val="nil"/>
              <w:bottom w:val="nil"/>
            </w:tcBorders>
          </w:tcPr>
          <w:p w:rsidR="00F77A4D" w:rsidRDefault="00F77A4D" w:rsidP="000532BE">
            <w:pPr>
              <w:widowControl w:val="0"/>
              <w:autoSpaceDE w:val="0"/>
              <w:autoSpaceDN w:val="0"/>
              <w:adjustRightInd w:val="0"/>
              <w:spacing w:after="0" w:line="240" w:lineRule="auto"/>
              <w:jc w:val="center"/>
              <w:rPr>
                <w:rFonts w:cs="Times New Roman"/>
                <w:szCs w:val="24"/>
              </w:rPr>
            </w:pPr>
            <w:r>
              <w:rPr>
                <w:rFonts w:cs="Times New Roman"/>
                <w:szCs w:val="24"/>
              </w:rPr>
              <w:t>0.09</w:t>
            </w:r>
          </w:p>
        </w:tc>
        <w:tc>
          <w:tcPr>
            <w:tcW w:w="1560" w:type="dxa"/>
            <w:tcBorders>
              <w:top w:val="nil"/>
              <w:bottom w:val="nil"/>
            </w:tcBorders>
          </w:tcPr>
          <w:p w:rsidR="00F77A4D" w:rsidRDefault="00194007" w:rsidP="000532BE">
            <w:pPr>
              <w:widowControl w:val="0"/>
              <w:autoSpaceDE w:val="0"/>
              <w:autoSpaceDN w:val="0"/>
              <w:adjustRightInd w:val="0"/>
              <w:spacing w:after="0" w:line="240" w:lineRule="auto"/>
              <w:jc w:val="center"/>
              <w:rPr>
                <w:rFonts w:cs="Times New Roman"/>
                <w:szCs w:val="24"/>
              </w:rPr>
            </w:pPr>
            <w:r>
              <w:rPr>
                <w:rFonts w:cs="Times New Roman"/>
                <w:szCs w:val="24"/>
              </w:rPr>
              <w:t>0.03</w:t>
            </w:r>
          </w:p>
        </w:tc>
        <w:tc>
          <w:tcPr>
            <w:tcW w:w="1400" w:type="dxa"/>
            <w:tcBorders>
              <w:top w:val="nil"/>
              <w:bottom w:val="nil"/>
            </w:tcBorders>
          </w:tcPr>
          <w:p w:rsidR="00F77A4D" w:rsidRDefault="00F77A4D" w:rsidP="000532BE">
            <w:pPr>
              <w:widowControl w:val="0"/>
              <w:autoSpaceDE w:val="0"/>
              <w:autoSpaceDN w:val="0"/>
              <w:adjustRightInd w:val="0"/>
              <w:spacing w:after="0" w:line="240" w:lineRule="auto"/>
              <w:jc w:val="center"/>
              <w:rPr>
                <w:rFonts w:cs="Times New Roman"/>
                <w:szCs w:val="24"/>
              </w:rPr>
            </w:pPr>
            <w:r>
              <w:rPr>
                <w:rFonts w:cs="Times New Roman"/>
                <w:szCs w:val="24"/>
              </w:rPr>
              <w:t>3.21</w:t>
            </w:r>
          </w:p>
        </w:tc>
        <w:tc>
          <w:tcPr>
            <w:tcW w:w="1577" w:type="dxa"/>
            <w:tcBorders>
              <w:top w:val="nil"/>
              <w:bottom w:val="nil"/>
            </w:tcBorders>
          </w:tcPr>
          <w:p w:rsidR="00F77A4D" w:rsidRDefault="00F77A4D" w:rsidP="000532BE">
            <w:pPr>
              <w:widowControl w:val="0"/>
              <w:autoSpaceDE w:val="0"/>
              <w:autoSpaceDN w:val="0"/>
              <w:adjustRightInd w:val="0"/>
              <w:spacing w:after="0" w:line="240" w:lineRule="auto"/>
              <w:jc w:val="center"/>
              <w:rPr>
                <w:rFonts w:cs="Times New Roman"/>
                <w:szCs w:val="24"/>
              </w:rPr>
            </w:pPr>
            <w:r>
              <w:rPr>
                <w:rFonts w:cs="Times New Roman"/>
                <w:szCs w:val="24"/>
              </w:rPr>
              <w:t>0.00</w:t>
            </w:r>
          </w:p>
        </w:tc>
        <w:tc>
          <w:tcPr>
            <w:tcW w:w="562" w:type="dxa"/>
            <w:tcBorders>
              <w:top w:val="nil"/>
              <w:bottom w:val="nil"/>
            </w:tcBorders>
          </w:tcPr>
          <w:p w:rsidR="00F77A4D" w:rsidRDefault="00F77A4D" w:rsidP="000532BE">
            <w:pPr>
              <w:widowControl w:val="0"/>
              <w:autoSpaceDE w:val="0"/>
              <w:autoSpaceDN w:val="0"/>
              <w:adjustRightInd w:val="0"/>
              <w:spacing w:after="0" w:line="240" w:lineRule="auto"/>
              <w:rPr>
                <w:rFonts w:cs="Times New Roman"/>
                <w:szCs w:val="24"/>
              </w:rPr>
            </w:pPr>
            <w:r>
              <w:rPr>
                <w:rFonts w:cs="Times New Roman"/>
                <w:szCs w:val="24"/>
              </w:rPr>
              <w:t>***</w:t>
            </w:r>
          </w:p>
        </w:tc>
      </w:tr>
      <w:tr w:rsidR="002647E3" w:rsidTr="000532BE">
        <w:trPr>
          <w:trHeight w:val="259"/>
        </w:trPr>
        <w:tc>
          <w:tcPr>
            <w:tcW w:w="2387" w:type="dxa"/>
            <w:tcBorders>
              <w:top w:val="nil"/>
              <w:bottom w:val="nil"/>
            </w:tcBorders>
          </w:tcPr>
          <w:p w:rsidR="00F77A4D" w:rsidRDefault="00194007" w:rsidP="000532BE">
            <w:pPr>
              <w:widowControl w:val="0"/>
              <w:autoSpaceDE w:val="0"/>
              <w:autoSpaceDN w:val="0"/>
              <w:adjustRightInd w:val="0"/>
              <w:spacing w:after="0" w:line="240" w:lineRule="auto"/>
              <w:rPr>
                <w:rFonts w:cs="Times New Roman"/>
                <w:szCs w:val="24"/>
              </w:rPr>
            </w:pPr>
            <w:r>
              <w:rPr>
                <w:rFonts w:cs="Times New Roman"/>
                <w:szCs w:val="24"/>
              </w:rPr>
              <w:t>Liquidity</w:t>
            </w:r>
          </w:p>
        </w:tc>
        <w:tc>
          <w:tcPr>
            <w:tcW w:w="1559" w:type="dxa"/>
            <w:tcBorders>
              <w:top w:val="nil"/>
              <w:bottom w:val="nil"/>
            </w:tcBorders>
          </w:tcPr>
          <w:p w:rsidR="00F77A4D" w:rsidRDefault="00F77A4D" w:rsidP="000532BE">
            <w:pPr>
              <w:widowControl w:val="0"/>
              <w:autoSpaceDE w:val="0"/>
              <w:autoSpaceDN w:val="0"/>
              <w:adjustRightInd w:val="0"/>
              <w:spacing w:after="0" w:line="240" w:lineRule="auto"/>
              <w:jc w:val="center"/>
              <w:rPr>
                <w:rFonts w:cs="Times New Roman"/>
                <w:szCs w:val="24"/>
              </w:rPr>
            </w:pPr>
            <w:r>
              <w:rPr>
                <w:rFonts w:cs="Times New Roman"/>
                <w:szCs w:val="24"/>
              </w:rPr>
              <w:t>0.02</w:t>
            </w:r>
          </w:p>
        </w:tc>
        <w:tc>
          <w:tcPr>
            <w:tcW w:w="1560" w:type="dxa"/>
            <w:tcBorders>
              <w:top w:val="nil"/>
              <w:bottom w:val="nil"/>
            </w:tcBorders>
          </w:tcPr>
          <w:p w:rsidR="00F77A4D" w:rsidRDefault="00F77A4D" w:rsidP="000532BE">
            <w:pPr>
              <w:widowControl w:val="0"/>
              <w:autoSpaceDE w:val="0"/>
              <w:autoSpaceDN w:val="0"/>
              <w:adjustRightInd w:val="0"/>
              <w:spacing w:after="0" w:line="240" w:lineRule="auto"/>
              <w:jc w:val="center"/>
              <w:rPr>
                <w:rFonts w:cs="Times New Roman"/>
                <w:szCs w:val="24"/>
              </w:rPr>
            </w:pPr>
            <w:r>
              <w:rPr>
                <w:rFonts w:cs="Times New Roman"/>
                <w:szCs w:val="24"/>
              </w:rPr>
              <w:t>0.01</w:t>
            </w:r>
          </w:p>
        </w:tc>
        <w:tc>
          <w:tcPr>
            <w:tcW w:w="1400" w:type="dxa"/>
            <w:tcBorders>
              <w:top w:val="nil"/>
              <w:bottom w:val="nil"/>
            </w:tcBorders>
          </w:tcPr>
          <w:p w:rsidR="00F77A4D" w:rsidRDefault="00F77A4D" w:rsidP="000532BE">
            <w:pPr>
              <w:widowControl w:val="0"/>
              <w:autoSpaceDE w:val="0"/>
              <w:autoSpaceDN w:val="0"/>
              <w:adjustRightInd w:val="0"/>
              <w:spacing w:after="0" w:line="240" w:lineRule="auto"/>
              <w:jc w:val="center"/>
              <w:rPr>
                <w:rFonts w:cs="Times New Roman"/>
                <w:szCs w:val="24"/>
              </w:rPr>
            </w:pPr>
            <w:r>
              <w:rPr>
                <w:rFonts w:cs="Times New Roman"/>
                <w:szCs w:val="24"/>
              </w:rPr>
              <w:t>1.70</w:t>
            </w:r>
          </w:p>
        </w:tc>
        <w:tc>
          <w:tcPr>
            <w:tcW w:w="1577" w:type="dxa"/>
            <w:tcBorders>
              <w:top w:val="nil"/>
              <w:bottom w:val="nil"/>
            </w:tcBorders>
          </w:tcPr>
          <w:p w:rsidR="00F77A4D" w:rsidRDefault="00194007" w:rsidP="000532BE">
            <w:pPr>
              <w:widowControl w:val="0"/>
              <w:autoSpaceDE w:val="0"/>
              <w:autoSpaceDN w:val="0"/>
              <w:adjustRightInd w:val="0"/>
              <w:spacing w:after="0" w:line="240" w:lineRule="auto"/>
              <w:jc w:val="center"/>
              <w:rPr>
                <w:rFonts w:cs="Times New Roman"/>
                <w:szCs w:val="24"/>
              </w:rPr>
            </w:pPr>
            <w:r>
              <w:rPr>
                <w:rFonts w:cs="Times New Roman"/>
                <w:szCs w:val="24"/>
              </w:rPr>
              <w:t>0.10</w:t>
            </w:r>
          </w:p>
        </w:tc>
        <w:tc>
          <w:tcPr>
            <w:tcW w:w="562" w:type="dxa"/>
            <w:tcBorders>
              <w:top w:val="nil"/>
              <w:bottom w:val="nil"/>
            </w:tcBorders>
          </w:tcPr>
          <w:p w:rsidR="00F77A4D" w:rsidRDefault="00F77A4D" w:rsidP="000532BE">
            <w:pPr>
              <w:widowControl w:val="0"/>
              <w:autoSpaceDE w:val="0"/>
              <w:autoSpaceDN w:val="0"/>
              <w:adjustRightInd w:val="0"/>
              <w:spacing w:after="0" w:line="240" w:lineRule="auto"/>
              <w:rPr>
                <w:rFonts w:cs="Times New Roman"/>
                <w:szCs w:val="24"/>
              </w:rPr>
            </w:pPr>
          </w:p>
        </w:tc>
      </w:tr>
      <w:tr w:rsidR="002647E3" w:rsidTr="000532BE">
        <w:trPr>
          <w:trHeight w:val="259"/>
        </w:trPr>
        <w:tc>
          <w:tcPr>
            <w:tcW w:w="2387" w:type="dxa"/>
            <w:tcBorders>
              <w:top w:val="nil"/>
              <w:bottom w:val="nil"/>
            </w:tcBorders>
          </w:tcPr>
          <w:p w:rsidR="00F77A4D" w:rsidRDefault="00194007" w:rsidP="000532BE">
            <w:pPr>
              <w:widowControl w:val="0"/>
              <w:autoSpaceDE w:val="0"/>
              <w:autoSpaceDN w:val="0"/>
              <w:adjustRightInd w:val="0"/>
              <w:spacing w:after="0" w:line="240" w:lineRule="auto"/>
              <w:rPr>
                <w:rFonts w:cs="Times New Roman"/>
                <w:szCs w:val="24"/>
              </w:rPr>
            </w:pPr>
            <w:r>
              <w:t>GDP growth rate</w:t>
            </w:r>
          </w:p>
        </w:tc>
        <w:tc>
          <w:tcPr>
            <w:tcW w:w="1559" w:type="dxa"/>
            <w:tcBorders>
              <w:top w:val="nil"/>
              <w:bottom w:val="nil"/>
            </w:tcBorders>
          </w:tcPr>
          <w:p w:rsidR="00F77A4D" w:rsidRDefault="00194007" w:rsidP="000532BE">
            <w:pPr>
              <w:widowControl w:val="0"/>
              <w:autoSpaceDE w:val="0"/>
              <w:autoSpaceDN w:val="0"/>
              <w:adjustRightInd w:val="0"/>
              <w:spacing w:after="0" w:line="240" w:lineRule="auto"/>
              <w:jc w:val="center"/>
              <w:rPr>
                <w:rFonts w:cs="Times New Roman"/>
                <w:szCs w:val="24"/>
              </w:rPr>
            </w:pPr>
            <w:r>
              <w:rPr>
                <w:rFonts w:cs="Times New Roman"/>
                <w:szCs w:val="24"/>
              </w:rPr>
              <w:t>0.18</w:t>
            </w:r>
          </w:p>
        </w:tc>
        <w:tc>
          <w:tcPr>
            <w:tcW w:w="1560" w:type="dxa"/>
            <w:tcBorders>
              <w:top w:val="nil"/>
              <w:bottom w:val="nil"/>
            </w:tcBorders>
          </w:tcPr>
          <w:p w:rsidR="00F77A4D" w:rsidRDefault="00194007" w:rsidP="000532BE">
            <w:pPr>
              <w:widowControl w:val="0"/>
              <w:autoSpaceDE w:val="0"/>
              <w:autoSpaceDN w:val="0"/>
              <w:adjustRightInd w:val="0"/>
              <w:spacing w:after="0" w:line="240" w:lineRule="auto"/>
              <w:jc w:val="center"/>
              <w:rPr>
                <w:rFonts w:cs="Times New Roman"/>
                <w:szCs w:val="24"/>
              </w:rPr>
            </w:pPr>
            <w:r>
              <w:rPr>
                <w:rFonts w:cs="Times New Roman"/>
                <w:szCs w:val="24"/>
              </w:rPr>
              <w:t>0.06</w:t>
            </w:r>
          </w:p>
        </w:tc>
        <w:tc>
          <w:tcPr>
            <w:tcW w:w="1400" w:type="dxa"/>
            <w:tcBorders>
              <w:top w:val="nil"/>
              <w:bottom w:val="nil"/>
            </w:tcBorders>
          </w:tcPr>
          <w:p w:rsidR="00F77A4D" w:rsidRDefault="00194007" w:rsidP="000532BE">
            <w:pPr>
              <w:widowControl w:val="0"/>
              <w:autoSpaceDE w:val="0"/>
              <w:autoSpaceDN w:val="0"/>
              <w:adjustRightInd w:val="0"/>
              <w:spacing w:after="0" w:line="240" w:lineRule="auto"/>
              <w:jc w:val="center"/>
              <w:rPr>
                <w:rFonts w:cs="Times New Roman"/>
                <w:szCs w:val="24"/>
              </w:rPr>
            </w:pPr>
            <w:r>
              <w:rPr>
                <w:rFonts w:cs="Times New Roman"/>
                <w:szCs w:val="24"/>
              </w:rPr>
              <w:t>2.98</w:t>
            </w:r>
          </w:p>
        </w:tc>
        <w:tc>
          <w:tcPr>
            <w:tcW w:w="1577" w:type="dxa"/>
            <w:tcBorders>
              <w:top w:val="nil"/>
              <w:bottom w:val="nil"/>
            </w:tcBorders>
          </w:tcPr>
          <w:p w:rsidR="00F77A4D" w:rsidRDefault="00F77A4D" w:rsidP="000532BE">
            <w:pPr>
              <w:widowControl w:val="0"/>
              <w:autoSpaceDE w:val="0"/>
              <w:autoSpaceDN w:val="0"/>
              <w:adjustRightInd w:val="0"/>
              <w:spacing w:after="0" w:line="240" w:lineRule="auto"/>
              <w:jc w:val="center"/>
              <w:rPr>
                <w:rFonts w:cs="Times New Roman"/>
                <w:szCs w:val="24"/>
              </w:rPr>
            </w:pPr>
            <w:r>
              <w:rPr>
                <w:rFonts w:cs="Times New Roman"/>
                <w:szCs w:val="24"/>
              </w:rPr>
              <w:t>0.00</w:t>
            </w:r>
          </w:p>
        </w:tc>
        <w:tc>
          <w:tcPr>
            <w:tcW w:w="562" w:type="dxa"/>
            <w:tcBorders>
              <w:top w:val="nil"/>
              <w:bottom w:val="nil"/>
            </w:tcBorders>
          </w:tcPr>
          <w:p w:rsidR="00F77A4D" w:rsidRDefault="00F77A4D" w:rsidP="000532BE">
            <w:pPr>
              <w:widowControl w:val="0"/>
              <w:autoSpaceDE w:val="0"/>
              <w:autoSpaceDN w:val="0"/>
              <w:adjustRightInd w:val="0"/>
              <w:spacing w:after="0" w:line="240" w:lineRule="auto"/>
              <w:rPr>
                <w:rFonts w:cs="Times New Roman"/>
                <w:szCs w:val="24"/>
              </w:rPr>
            </w:pPr>
            <w:r>
              <w:rPr>
                <w:rFonts w:cs="Times New Roman"/>
                <w:szCs w:val="24"/>
              </w:rPr>
              <w:t>***</w:t>
            </w:r>
          </w:p>
        </w:tc>
      </w:tr>
      <w:tr w:rsidR="002647E3" w:rsidTr="000532BE">
        <w:trPr>
          <w:trHeight w:val="259"/>
        </w:trPr>
        <w:tc>
          <w:tcPr>
            <w:tcW w:w="2387" w:type="dxa"/>
            <w:tcBorders>
              <w:top w:val="nil"/>
              <w:bottom w:val="single" w:sz="18" w:space="0" w:color="auto"/>
            </w:tcBorders>
          </w:tcPr>
          <w:p w:rsidR="00F77A4D" w:rsidRDefault="00194007" w:rsidP="000532BE">
            <w:pPr>
              <w:widowControl w:val="0"/>
              <w:autoSpaceDE w:val="0"/>
              <w:autoSpaceDN w:val="0"/>
              <w:adjustRightInd w:val="0"/>
              <w:spacing w:after="0" w:line="240" w:lineRule="auto"/>
              <w:rPr>
                <w:rFonts w:cs="Times New Roman"/>
                <w:szCs w:val="24"/>
              </w:rPr>
            </w:pPr>
            <w:r>
              <w:t>Bank size</w:t>
            </w:r>
          </w:p>
        </w:tc>
        <w:tc>
          <w:tcPr>
            <w:tcW w:w="1559" w:type="dxa"/>
            <w:tcBorders>
              <w:top w:val="nil"/>
              <w:bottom w:val="single" w:sz="18" w:space="0" w:color="auto"/>
            </w:tcBorders>
          </w:tcPr>
          <w:p w:rsidR="00F77A4D" w:rsidRDefault="00F77A4D" w:rsidP="000532BE">
            <w:pPr>
              <w:widowControl w:val="0"/>
              <w:autoSpaceDE w:val="0"/>
              <w:autoSpaceDN w:val="0"/>
              <w:adjustRightInd w:val="0"/>
              <w:spacing w:after="0" w:line="240" w:lineRule="auto"/>
              <w:jc w:val="center"/>
              <w:rPr>
                <w:rFonts w:cs="Times New Roman"/>
                <w:szCs w:val="24"/>
              </w:rPr>
            </w:pPr>
            <w:r>
              <w:rPr>
                <w:rFonts w:cs="Times New Roman"/>
                <w:szCs w:val="24"/>
              </w:rPr>
              <w:t>0.45</w:t>
            </w:r>
          </w:p>
        </w:tc>
        <w:tc>
          <w:tcPr>
            <w:tcW w:w="1560" w:type="dxa"/>
            <w:tcBorders>
              <w:top w:val="nil"/>
              <w:bottom w:val="single" w:sz="18" w:space="0" w:color="auto"/>
            </w:tcBorders>
          </w:tcPr>
          <w:p w:rsidR="00F77A4D" w:rsidRDefault="00F77A4D" w:rsidP="000532BE">
            <w:pPr>
              <w:widowControl w:val="0"/>
              <w:autoSpaceDE w:val="0"/>
              <w:autoSpaceDN w:val="0"/>
              <w:adjustRightInd w:val="0"/>
              <w:spacing w:after="0" w:line="240" w:lineRule="auto"/>
              <w:jc w:val="center"/>
              <w:rPr>
                <w:rFonts w:cs="Times New Roman"/>
                <w:szCs w:val="24"/>
              </w:rPr>
            </w:pPr>
            <w:r>
              <w:rPr>
                <w:rFonts w:cs="Times New Roman"/>
                <w:szCs w:val="24"/>
              </w:rPr>
              <w:t>0.36</w:t>
            </w:r>
          </w:p>
        </w:tc>
        <w:tc>
          <w:tcPr>
            <w:tcW w:w="1400" w:type="dxa"/>
            <w:tcBorders>
              <w:top w:val="nil"/>
              <w:bottom w:val="single" w:sz="18" w:space="0" w:color="auto"/>
            </w:tcBorders>
          </w:tcPr>
          <w:p w:rsidR="00F77A4D" w:rsidRDefault="00194007" w:rsidP="000532BE">
            <w:pPr>
              <w:widowControl w:val="0"/>
              <w:autoSpaceDE w:val="0"/>
              <w:autoSpaceDN w:val="0"/>
              <w:adjustRightInd w:val="0"/>
              <w:spacing w:after="0" w:line="240" w:lineRule="auto"/>
              <w:jc w:val="center"/>
              <w:rPr>
                <w:rFonts w:cs="Times New Roman"/>
                <w:szCs w:val="24"/>
              </w:rPr>
            </w:pPr>
            <w:r>
              <w:rPr>
                <w:rFonts w:cs="Times New Roman"/>
                <w:szCs w:val="24"/>
              </w:rPr>
              <w:t>1.25</w:t>
            </w:r>
          </w:p>
        </w:tc>
        <w:tc>
          <w:tcPr>
            <w:tcW w:w="1577" w:type="dxa"/>
            <w:tcBorders>
              <w:top w:val="nil"/>
              <w:bottom w:val="single" w:sz="18" w:space="0" w:color="auto"/>
            </w:tcBorders>
          </w:tcPr>
          <w:p w:rsidR="00F77A4D" w:rsidRDefault="00194007" w:rsidP="000532BE">
            <w:pPr>
              <w:widowControl w:val="0"/>
              <w:autoSpaceDE w:val="0"/>
              <w:autoSpaceDN w:val="0"/>
              <w:adjustRightInd w:val="0"/>
              <w:spacing w:after="0" w:line="240" w:lineRule="auto"/>
              <w:jc w:val="center"/>
              <w:rPr>
                <w:rFonts w:cs="Times New Roman"/>
                <w:szCs w:val="24"/>
              </w:rPr>
            </w:pPr>
            <w:r>
              <w:rPr>
                <w:rFonts w:cs="Times New Roman"/>
                <w:szCs w:val="24"/>
              </w:rPr>
              <w:t>0.22</w:t>
            </w:r>
          </w:p>
        </w:tc>
        <w:tc>
          <w:tcPr>
            <w:tcW w:w="562" w:type="dxa"/>
            <w:tcBorders>
              <w:top w:val="nil"/>
              <w:bottom w:val="single" w:sz="18" w:space="0" w:color="auto"/>
            </w:tcBorders>
          </w:tcPr>
          <w:p w:rsidR="00F77A4D" w:rsidRDefault="00F77A4D" w:rsidP="000532BE">
            <w:pPr>
              <w:widowControl w:val="0"/>
              <w:autoSpaceDE w:val="0"/>
              <w:autoSpaceDN w:val="0"/>
              <w:adjustRightInd w:val="0"/>
              <w:spacing w:after="0" w:line="240" w:lineRule="auto"/>
              <w:rPr>
                <w:rFonts w:cs="Times New Roman"/>
                <w:szCs w:val="24"/>
              </w:rPr>
            </w:pPr>
          </w:p>
        </w:tc>
      </w:tr>
      <w:tr w:rsidR="00F77A4D" w:rsidTr="000532BE">
        <w:trPr>
          <w:trHeight w:val="118"/>
        </w:trPr>
        <w:tc>
          <w:tcPr>
            <w:tcW w:w="2387" w:type="dxa"/>
            <w:tcBorders>
              <w:top w:val="single" w:sz="18" w:space="0" w:color="auto"/>
              <w:bottom w:val="nil"/>
            </w:tcBorders>
          </w:tcPr>
          <w:p w:rsidR="00F77A4D" w:rsidRDefault="00F77A4D" w:rsidP="000532BE">
            <w:pPr>
              <w:spacing w:after="0" w:line="240" w:lineRule="auto"/>
            </w:pPr>
            <w:r>
              <w:t xml:space="preserve">R-squared       </w:t>
            </w:r>
          </w:p>
        </w:tc>
        <w:tc>
          <w:tcPr>
            <w:tcW w:w="1559" w:type="dxa"/>
            <w:tcBorders>
              <w:top w:val="single" w:sz="18" w:space="0" w:color="auto"/>
              <w:bottom w:val="nil"/>
            </w:tcBorders>
          </w:tcPr>
          <w:p w:rsidR="00F77A4D" w:rsidRDefault="00F77A4D" w:rsidP="000532BE">
            <w:pPr>
              <w:widowControl w:val="0"/>
              <w:autoSpaceDE w:val="0"/>
              <w:autoSpaceDN w:val="0"/>
              <w:adjustRightInd w:val="0"/>
              <w:spacing w:after="0" w:line="240" w:lineRule="auto"/>
              <w:jc w:val="center"/>
              <w:rPr>
                <w:rFonts w:cs="Times New Roman"/>
                <w:szCs w:val="24"/>
              </w:rPr>
            </w:pPr>
            <w:r w:rsidRPr="00F77A4D">
              <w:rPr>
                <w:rFonts w:cs="Times New Roman"/>
                <w:szCs w:val="24"/>
              </w:rPr>
              <w:t>0.637</w:t>
            </w:r>
            <w:r>
              <w:rPr>
                <w:rFonts w:cs="Times New Roman"/>
                <w:szCs w:val="24"/>
              </w:rPr>
              <w:t>3</w:t>
            </w:r>
          </w:p>
        </w:tc>
        <w:tc>
          <w:tcPr>
            <w:tcW w:w="1560" w:type="dxa"/>
            <w:tcBorders>
              <w:top w:val="single" w:sz="18" w:space="0" w:color="auto"/>
              <w:bottom w:val="nil"/>
            </w:tcBorders>
          </w:tcPr>
          <w:p w:rsidR="00F77A4D" w:rsidRDefault="00F77A4D" w:rsidP="000532BE">
            <w:pPr>
              <w:widowControl w:val="0"/>
              <w:autoSpaceDE w:val="0"/>
              <w:autoSpaceDN w:val="0"/>
              <w:adjustRightInd w:val="0"/>
              <w:spacing w:after="0" w:line="240" w:lineRule="auto"/>
              <w:jc w:val="center"/>
              <w:rPr>
                <w:rFonts w:cs="Times New Roman"/>
                <w:szCs w:val="24"/>
              </w:rPr>
            </w:pPr>
          </w:p>
        </w:tc>
        <w:tc>
          <w:tcPr>
            <w:tcW w:w="1400" w:type="dxa"/>
            <w:tcBorders>
              <w:top w:val="single" w:sz="18" w:space="0" w:color="auto"/>
              <w:bottom w:val="nil"/>
            </w:tcBorders>
          </w:tcPr>
          <w:p w:rsidR="00F77A4D" w:rsidRDefault="00F77A4D" w:rsidP="000532BE">
            <w:pPr>
              <w:widowControl w:val="0"/>
              <w:autoSpaceDE w:val="0"/>
              <w:autoSpaceDN w:val="0"/>
              <w:adjustRightInd w:val="0"/>
              <w:spacing w:after="0" w:line="240" w:lineRule="auto"/>
              <w:jc w:val="center"/>
              <w:rPr>
                <w:rFonts w:cs="Times New Roman"/>
                <w:szCs w:val="24"/>
              </w:rPr>
            </w:pPr>
          </w:p>
        </w:tc>
        <w:tc>
          <w:tcPr>
            <w:tcW w:w="1577" w:type="dxa"/>
            <w:tcBorders>
              <w:top w:val="single" w:sz="18" w:space="0" w:color="auto"/>
              <w:bottom w:val="nil"/>
            </w:tcBorders>
          </w:tcPr>
          <w:p w:rsidR="00F77A4D" w:rsidRDefault="00F77A4D" w:rsidP="000532BE">
            <w:pPr>
              <w:widowControl w:val="0"/>
              <w:autoSpaceDE w:val="0"/>
              <w:autoSpaceDN w:val="0"/>
              <w:adjustRightInd w:val="0"/>
              <w:spacing w:after="0" w:line="240" w:lineRule="auto"/>
              <w:jc w:val="center"/>
              <w:rPr>
                <w:rFonts w:cs="Times New Roman"/>
                <w:szCs w:val="24"/>
              </w:rPr>
            </w:pPr>
          </w:p>
        </w:tc>
        <w:tc>
          <w:tcPr>
            <w:tcW w:w="562" w:type="dxa"/>
            <w:tcBorders>
              <w:top w:val="single" w:sz="18" w:space="0" w:color="auto"/>
              <w:bottom w:val="nil"/>
            </w:tcBorders>
          </w:tcPr>
          <w:p w:rsidR="00F77A4D" w:rsidRDefault="00F77A4D" w:rsidP="000532BE">
            <w:pPr>
              <w:widowControl w:val="0"/>
              <w:autoSpaceDE w:val="0"/>
              <w:autoSpaceDN w:val="0"/>
              <w:adjustRightInd w:val="0"/>
              <w:spacing w:after="0" w:line="240" w:lineRule="auto"/>
              <w:rPr>
                <w:rFonts w:cs="Times New Roman"/>
                <w:szCs w:val="24"/>
              </w:rPr>
            </w:pPr>
          </w:p>
        </w:tc>
      </w:tr>
      <w:tr w:rsidR="00F77A4D" w:rsidTr="000532BE">
        <w:trPr>
          <w:trHeight w:val="259"/>
        </w:trPr>
        <w:tc>
          <w:tcPr>
            <w:tcW w:w="2387" w:type="dxa"/>
            <w:tcBorders>
              <w:top w:val="nil"/>
              <w:bottom w:val="single" w:sz="18" w:space="0" w:color="auto"/>
            </w:tcBorders>
          </w:tcPr>
          <w:p w:rsidR="00F77A4D" w:rsidRDefault="00F77A4D" w:rsidP="000532BE">
            <w:pPr>
              <w:spacing w:after="0" w:line="240" w:lineRule="auto"/>
              <w:jc w:val="left"/>
            </w:pPr>
            <w:r>
              <w:t xml:space="preserve">Adjusted </w:t>
            </w:r>
            <w:r w:rsidRPr="00F77A4D">
              <w:t>R-squared</w:t>
            </w:r>
          </w:p>
        </w:tc>
        <w:tc>
          <w:tcPr>
            <w:tcW w:w="1559" w:type="dxa"/>
            <w:tcBorders>
              <w:top w:val="nil"/>
              <w:bottom w:val="single" w:sz="18" w:space="0" w:color="auto"/>
            </w:tcBorders>
          </w:tcPr>
          <w:p w:rsidR="00F77A4D" w:rsidRDefault="00F77A4D" w:rsidP="000532BE">
            <w:pPr>
              <w:widowControl w:val="0"/>
              <w:autoSpaceDE w:val="0"/>
              <w:autoSpaceDN w:val="0"/>
              <w:adjustRightInd w:val="0"/>
              <w:spacing w:after="0" w:line="240" w:lineRule="auto"/>
              <w:jc w:val="center"/>
              <w:rPr>
                <w:rFonts w:cs="Times New Roman"/>
                <w:szCs w:val="24"/>
              </w:rPr>
            </w:pPr>
            <w:r w:rsidRPr="00F77A4D">
              <w:rPr>
                <w:rFonts w:cs="Times New Roman"/>
                <w:szCs w:val="24"/>
              </w:rPr>
              <w:t>0.5728</w:t>
            </w:r>
          </w:p>
        </w:tc>
        <w:tc>
          <w:tcPr>
            <w:tcW w:w="1560" w:type="dxa"/>
            <w:tcBorders>
              <w:top w:val="nil"/>
              <w:bottom w:val="single" w:sz="18" w:space="0" w:color="auto"/>
            </w:tcBorders>
          </w:tcPr>
          <w:p w:rsidR="00F77A4D" w:rsidRDefault="00F77A4D" w:rsidP="000532BE">
            <w:pPr>
              <w:widowControl w:val="0"/>
              <w:autoSpaceDE w:val="0"/>
              <w:autoSpaceDN w:val="0"/>
              <w:adjustRightInd w:val="0"/>
              <w:spacing w:after="0" w:line="240" w:lineRule="auto"/>
              <w:jc w:val="center"/>
              <w:rPr>
                <w:rFonts w:cs="Times New Roman"/>
                <w:szCs w:val="24"/>
              </w:rPr>
            </w:pPr>
          </w:p>
        </w:tc>
        <w:tc>
          <w:tcPr>
            <w:tcW w:w="1400" w:type="dxa"/>
            <w:tcBorders>
              <w:top w:val="nil"/>
              <w:bottom w:val="single" w:sz="18" w:space="0" w:color="auto"/>
            </w:tcBorders>
          </w:tcPr>
          <w:p w:rsidR="00F77A4D" w:rsidRDefault="00F77A4D" w:rsidP="000532BE">
            <w:pPr>
              <w:widowControl w:val="0"/>
              <w:autoSpaceDE w:val="0"/>
              <w:autoSpaceDN w:val="0"/>
              <w:adjustRightInd w:val="0"/>
              <w:spacing w:after="0" w:line="240" w:lineRule="auto"/>
              <w:jc w:val="center"/>
              <w:rPr>
                <w:rFonts w:cs="Times New Roman"/>
                <w:szCs w:val="24"/>
              </w:rPr>
            </w:pPr>
          </w:p>
        </w:tc>
        <w:tc>
          <w:tcPr>
            <w:tcW w:w="1577" w:type="dxa"/>
            <w:tcBorders>
              <w:top w:val="nil"/>
              <w:bottom w:val="single" w:sz="18" w:space="0" w:color="auto"/>
            </w:tcBorders>
          </w:tcPr>
          <w:p w:rsidR="00F77A4D" w:rsidRDefault="00F77A4D" w:rsidP="000532BE">
            <w:pPr>
              <w:widowControl w:val="0"/>
              <w:autoSpaceDE w:val="0"/>
              <w:autoSpaceDN w:val="0"/>
              <w:adjustRightInd w:val="0"/>
              <w:spacing w:after="0" w:line="240" w:lineRule="auto"/>
              <w:jc w:val="center"/>
              <w:rPr>
                <w:rFonts w:cs="Times New Roman"/>
                <w:szCs w:val="24"/>
              </w:rPr>
            </w:pPr>
          </w:p>
        </w:tc>
        <w:tc>
          <w:tcPr>
            <w:tcW w:w="562" w:type="dxa"/>
            <w:tcBorders>
              <w:top w:val="nil"/>
              <w:bottom w:val="single" w:sz="18" w:space="0" w:color="auto"/>
            </w:tcBorders>
          </w:tcPr>
          <w:p w:rsidR="00F77A4D" w:rsidRDefault="00F77A4D" w:rsidP="000532BE">
            <w:pPr>
              <w:widowControl w:val="0"/>
              <w:autoSpaceDE w:val="0"/>
              <w:autoSpaceDN w:val="0"/>
              <w:adjustRightInd w:val="0"/>
              <w:spacing w:after="0" w:line="240" w:lineRule="auto"/>
              <w:rPr>
                <w:rFonts w:cs="Times New Roman"/>
                <w:szCs w:val="24"/>
              </w:rPr>
            </w:pPr>
          </w:p>
        </w:tc>
      </w:tr>
      <w:tr w:rsidR="000532BE" w:rsidTr="000532BE">
        <w:trPr>
          <w:trHeight w:val="259"/>
        </w:trPr>
        <w:tc>
          <w:tcPr>
            <w:tcW w:w="2387" w:type="dxa"/>
            <w:tcBorders>
              <w:top w:val="single" w:sz="18" w:space="0" w:color="auto"/>
              <w:bottom w:val="nil"/>
            </w:tcBorders>
          </w:tcPr>
          <w:p w:rsidR="000532BE" w:rsidRDefault="000532BE" w:rsidP="000532BE">
            <w:pPr>
              <w:spacing w:after="0" w:line="240" w:lineRule="auto"/>
              <w:jc w:val="left"/>
            </w:pPr>
            <w:r>
              <w:t>Source:</w:t>
            </w:r>
            <w:r w:rsidR="00F4770F">
              <w:t xml:space="preserve"> Own source </w:t>
            </w:r>
          </w:p>
        </w:tc>
        <w:tc>
          <w:tcPr>
            <w:tcW w:w="1559" w:type="dxa"/>
            <w:tcBorders>
              <w:top w:val="single" w:sz="18" w:space="0" w:color="auto"/>
              <w:bottom w:val="nil"/>
            </w:tcBorders>
          </w:tcPr>
          <w:p w:rsidR="000532BE" w:rsidRPr="00F77A4D" w:rsidRDefault="000532BE" w:rsidP="000532BE">
            <w:pPr>
              <w:widowControl w:val="0"/>
              <w:autoSpaceDE w:val="0"/>
              <w:autoSpaceDN w:val="0"/>
              <w:adjustRightInd w:val="0"/>
              <w:spacing w:after="0" w:line="240" w:lineRule="auto"/>
              <w:jc w:val="center"/>
              <w:rPr>
                <w:rFonts w:cs="Times New Roman"/>
                <w:szCs w:val="24"/>
              </w:rPr>
            </w:pPr>
          </w:p>
        </w:tc>
        <w:tc>
          <w:tcPr>
            <w:tcW w:w="1560" w:type="dxa"/>
            <w:tcBorders>
              <w:top w:val="single" w:sz="18" w:space="0" w:color="auto"/>
              <w:bottom w:val="nil"/>
            </w:tcBorders>
          </w:tcPr>
          <w:p w:rsidR="000532BE" w:rsidRDefault="000532BE" w:rsidP="000532BE">
            <w:pPr>
              <w:widowControl w:val="0"/>
              <w:autoSpaceDE w:val="0"/>
              <w:autoSpaceDN w:val="0"/>
              <w:adjustRightInd w:val="0"/>
              <w:spacing w:after="0" w:line="240" w:lineRule="auto"/>
              <w:jc w:val="center"/>
              <w:rPr>
                <w:rFonts w:cs="Times New Roman"/>
                <w:szCs w:val="24"/>
              </w:rPr>
            </w:pPr>
          </w:p>
        </w:tc>
        <w:tc>
          <w:tcPr>
            <w:tcW w:w="1400" w:type="dxa"/>
            <w:tcBorders>
              <w:top w:val="single" w:sz="18" w:space="0" w:color="auto"/>
              <w:bottom w:val="nil"/>
            </w:tcBorders>
          </w:tcPr>
          <w:p w:rsidR="000532BE" w:rsidRDefault="000532BE" w:rsidP="000532BE">
            <w:pPr>
              <w:widowControl w:val="0"/>
              <w:autoSpaceDE w:val="0"/>
              <w:autoSpaceDN w:val="0"/>
              <w:adjustRightInd w:val="0"/>
              <w:spacing w:after="0" w:line="240" w:lineRule="auto"/>
              <w:jc w:val="center"/>
              <w:rPr>
                <w:rFonts w:cs="Times New Roman"/>
                <w:szCs w:val="24"/>
              </w:rPr>
            </w:pPr>
          </w:p>
        </w:tc>
        <w:tc>
          <w:tcPr>
            <w:tcW w:w="1577" w:type="dxa"/>
            <w:tcBorders>
              <w:top w:val="single" w:sz="18" w:space="0" w:color="auto"/>
              <w:bottom w:val="nil"/>
            </w:tcBorders>
          </w:tcPr>
          <w:p w:rsidR="000532BE" w:rsidRDefault="000532BE" w:rsidP="000532BE">
            <w:pPr>
              <w:widowControl w:val="0"/>
              <w:autoSpaceDE w:val="0"/>
              <w:autoSpaceDN w:val="0"/>
              <w:adjustRightInd w:val="0"/>
              <w:spacing w:after="0" w:line="240" w:lineRule="auto"/>
              <w:jc w:val="center"/>
              <w:rPr>
                <w:rFonts w:cs="Times New Roman"/>
                <w:szCs w:val="24"/>
              </w:rPr>
            </w:pPr>
          </w:p>
        </w:tc>
        <w:tc>
          <w:tcPr>
            <w:tcW w:w="562" w:type="dxa"/>
            <w:tcBorders>
              <w:top w:val="single" w:sz="18" w:space="0" w:color="auto"/>
              <w:bottom w:val="nil"/>
            </w:tcBorders>
          </w:tcPr>
          <w:p w:rsidR="000532BE" w:rsidRDefault="000532BE" w:rsidP="000532BE">
            <w:pPr>
              <w:widowControl w:val="0"/>
              <w:autoSpaceDE w:val="0"/>
              <w:autoSpaceDN w:val="0"/>
              <w:adjustRightInd w:val="0"/>
              <w:spacing w:after="0" w:line="240" w:lineRule="auto"/>
              <w:rPr>
                <w:rFonts w:cs="Times New Roman"/>
                <w:szCs w:val="24"/>
              </w:rPr>
            </w:pPr>
          </w:p>
        </w:tc>
      </w:tr>
    </w:tbl>
    <w:p w:rsidR="00D04BA0" w:rsidRDefault="00D04BA0" w:rsidP="00D04BA0">
      <w:pPr>
        <w:rPr>
          <w:lang w:eastAsia="en-GB"/>
        </w:rPr>
      </w:pPr>
      <w:r>
        <w:rPr>
          <w:lang w:eastAsia="en-GB"/>
        </w:rPr>
        <w:t xml:space="preserve"> </w:t>
      </w:r>
    </w:p>
    <w:p w:rsidR="00620A86" w:rsidRDefault="00620A86" w:rsidP="00620A86">
      <w:pPr>
        <w:pStyle w:val="Heading2"/>
        <w:rPr>
          <w:lang w:eastAsia="en-GB"/>
        </w:rPr>
      </w:pPr>
      <w:bookmarkStart w:id="17" w:name="_Toc431332839"/>
      <w:r>
        <w:rPr>
          <w:lang w:eastAsia="en-GB"/>
        </w:rPr>
        <w:lastRenderedPageBreak/>
        <w:t>SUMMARY</w:t>
      </w:r>
      <w:bookmarkStart w:id="18" w:name="_GoBack"/>
      <w:bookmarkEnd w:id="17"/>
      <w:bookmarkEnd w:id="18"/>
    </w:p>
    <w:p w:rsidR="00620A86" w:rsidRPr="00620A86" w:rsidRDefault="00620A86" w:rsidP="00620A86">
      <w:pPr>
        <w:rPr>
          <w:lang w:eastAsia="en-GB"/>
        </w:rPr>
      </w:pPr>
      <w:r>
        <w:rPr>
          <w:lang w:eastAsia="en-GB"/>
        </w:rPr>
        <w:t>They are several factors that influence commercial bank performance</w:t>
      </w:r>
      <w:r w:rsidR="00785C29">
        <w:rPr>
          <w:lang w:eastAsia="en-GB"/>
        </w:rPr>
        <w:t xml:space="preserve"> like</w:t>
      </w:r>
      <w:r>
        <w:rPr>
          <w:lang w:eastAsia="en-GB"/>
        </w:rPr>
        <w:t xml:space="preserve"> </w:t>
      </w:r>
      <w:r w:rsidR="00785C29">
        <w:t>management efficiency, diversification</w:t>
      </w:r>
      <w:r w:rsidR="00785C29">
        <w:rPr>
          <w:lang w:eastAsia="en-GB"/>
        </w:rPr>
        <w:t>, d</w:t>
      </w:r>
      <w:r w:rsidR="00785C29">
        <w:rPr>
          <w:rFonts w:cs="Times New Roman"/>
          <w:szCs w:val="24"/>
        </w:rPr>
        <w:t>eposit growth, c</w:t>
      </w:r>
      <w:r w:rsidR="00785C29">
        <w:t>redit risk, capital adequacy, l</w:t>
      </w:r>
      <w:r w:rsidR="00785C29">
        <w:rPr>
          <w:rFonts w:cs="Times New Roman"/>
          <w:szCs w:val="24"/>
        </w:rPr>
        <w:t xml:space="preserve">iquidity, competition, inflation, </w:t>
      </w:r>
      <w:r w:rsidR="00785C29">
        <w:t>GDP growth rate</w:t>
      </w:r>
      <w:r w:rsidR="00785C29">
        <w:rPr>
          <w:lang w:eastAsia="en-GB"/>
        </w:rPr>
        <w:t xml:space="preserve"> and b</w:t>
      </w:r>
      <w:r w:rsidR="00785C29">
        <w:t xml:space="preserve">ank size, but after the  Pooled OLS it was found out that </w:t>
      </w:r>
      <w:r w:rsidR="00785C29">
        <w:rPr>
          <w:lang w:eastAsia="en-GB"/>
        </w:rPr>
        <w:t xml:space="preserve"> </w:t>
      </w:r>
      <w:r>
        <w:rPr>
          <w:lang w:eastAsia="en-GB"/>
        </w:rPr>
        <w:t>in Zimbabwe,</w:t>
      </w:r>
      <w:r w:rsidR="00785C29">
        <w:rPr>
          <w:lang w:eastAsia="en-GB"/>
        </w:rPr>
        <w:t xml:space="preserve"> commercial bank performance is significantly related to </w:t>
      </w:r>
      <w:r w:rsidR="00785C29">
        <w:t>management efficiency, diversification, credit risk, capital and GDP growth rate.</w:t>
      </w:r>
    </w:p>
    <w:p w:rsidR="00EA5FA0" w:rsidRDefault="00EA5FA0" w:rsidP="00E3214E">
      <w:pPr>
        <w:pStyle w:val="NoNumbersStyle1"/>
        <w:rPr>
          <w:rFonts w:eastAsia="Times New Roman"/>
          <w:lang w:eastAsia="en-GB"/>
        </w:rPr>
      </w:pPr>
      <w:r>
        <w:rPr>
          <w:rFonts w:eastAsia="Times New Roman"/>
          <w:lang w:eastAsia="en-GB"/>
        </w:rPr>
        <w:br w:type="page"/>
      </w:r>
    </w:p>
    <w:p w:rsidR="00E3214E" w:rsidRDefault="00E3214E" w:rsidP="00E3214E">
      <w:pPr>
        <w:pStyle w:val="NoNumbersStyle1"/>
        <w:rPr>
          <w:rFonts w:eastAsia="Times New Roman"/>
          <w:lang w:eastAsia="en-GB"/>
        </w:rPr>
      </w:pPr>
      <w:bookmarkStart w:id="19" w:name="_Toc431332840"/>
      <w:r>
        <w:rPr>
          <w:rFonts w:eastAsia="Times New Roman"/>
          <w:lang w:eastAsia="en-GB"/>
        </w:rPr>
        <w:lastRenderedPageBreak/>
        <w:t>LIST OF REFERENCE</w:t>
      </w:r>
      <w:bookmarkEnd w:id="19"/>
    </w:p>
    <w:p w:rsidR="00E3214E" w:rsidRPr="00AA1571" w:rsidRDefault="00E3214E" w:rsidP="00B9269F">
      <w:pPr>
        <w:pStyle w:val="Bibliography"/>
        <w:jc w:val="left"/>
        <w:rPr>
          <w:rFonts w:eastAsia="Times New Roman" w:cs="Times New Roman"/>
          <w:sz w:val="23"/>
          <w:szCs w:val="23"/>
          <w:lang w:eastAsia="en-GB"/>
        </w:rPr>
      </w:pPr>
      <w:r w:rsidRPr="00AA1571">
        <w:rPr>
          <w:rFonts w:eastAsia="Times New Roman" w:cs="Times New Roman"/>
          <w:sz w:val="23"/>
          <w:szCs w:val="23"/>
          <w:lang w:eastAsia="en-GB"/>
        </w:rPr>
        <w:t>ABDULLAH, M.N., PARVEZ, K., and AYREEN, S., 2014. Bank Specific, Industry Specific and Macroeconomic Determinants of Commercial Bank Profitability: A Case of Bangladesh. World [online]. 4 (3). Available from: http://wjsspapers.com/static/documents/October/2014/7.%20Nayeem%20and%</w:t>
      </w:r>
      <w:r w:rsidR="00B9269F">
        <w:rPr>
          <w:rFonts w:eastAsia="Times New Roman" w:cs="Times New Roman"/>
          <w:sz w:val="23"/>
          <w:szCs w:val="23"/>
          <w:lang w:eastAsia="en-GB"/>
        </w:rPr>
        <w:t>20Kamruddin.pdf [Accessed 29 Sep. 2015</w:t>
      </w:r>
      <w:r w:rsidRPr="00AA1571">
        <w:rPr>
          <w:rFonts w:eastAsia="Times New Roman" w:cs="Times New Roman"/>
          <w:sz w:val="23"/>
          <w:szCs w:val="23"/>
          <w:lang w:eastAsia="en-GB"/>
        </w:rPr>
        <w:t>].</w:t>
      </w:r>
    </w:p>
    <w:p w:rsidR="00E3214E" w:rsidRDefault="00E3214E" w:rsidP="00E3214E">
      <w:pPr>
        <w:pStyle w:val="Bibliography"/>
        <w:rPr>
          <w:rFonts w:eastAsia="Times New Roman" w:cs="Times New Roman"/>
          <w:sz w:val="23"/>
          <w:szCs w:val="23"/>
          <w:lang w:eastAsia="en-GB"/>
        </w:rPr>
      </w:pPr>
    </w:p>
    <w:p w:rsidR="00E3214E" w:rsidRDefault="00E3214E" w:rsidP="00E3214E">
      <w:pPr>
        <w:pStyle w:val="Bibliography"/>
        <w:rPr>
          <w:rFonts w:eastAsia="Times New Roman" w:cs="Times New Roman"/>
          <w:sz w:val="23"/>
          <w:szCs w:val="23"/>
          <w:lang w:eastAsia="en-GB"/>
        </w:rPr>
      </w:pPr>
      <w:r w:rsidRPr="00FF3477">
        <w:rPr>
          <w:rFonts w:eastAsia="Times New Roman" w:cs="Times New Roman"/>
          <w:sz w:val="23"/>
          <w:szCs w:val="23"/>
          <w:lang w:eastAsia="en-GB"/>
        </w:rPr>
        <w:t>ALI, K., AKHTAR, M.F., and AHMED, H.Z., 2011. Bank-Specific and Macroeconomic Indicators of Profitability-Empirical Evidence from the Commercial Banks of Pakistan. International Journal of Business and Social Science [online]. 2 (6), pp. 235–242. Available from: http://joc.hcc.edu.pk/faculty_publications/bankspe</w:t>
      </w:r>
      <w:r>
        <w:rPr>
          <w:rFonts w:eastAsia="Times New Roman" w:cs="Times New Roman"/>
          <w:sz w:val="23"/>
          <w:szCs w:val="23"/>
          <w:lang w:eastAsia="en-GB"/>
        </w:rPr>
        <w:t xml:space="preserve">cific.pdf [Accessed </w:t>
      </w:r>
      <w:r w:rsidR="00B9269F">
        <w:rPr>
          <w:rFonts w:eastAsia="Times New Roman" w:cs="Times New Roman"/>
          <w:sz w:val="23"/>
          <w:szCs w:val="23"/>
          <w:lang w:eastAsia="en-GB"/>
        </w:rPr>
        <w:t>30 Sep. 2015</w:t>
      </w:r>
      <w:r>
        <w:rPr>
          <w:rFonts w:eastAsia="Times New Roman" w:cs="Times New Roman"/>
          <w:sz w:val="23"/>
          <w:szCs w:val="23"/>
          <w:lang w:eastAsia="en-GB"/>
        </w:rPr>
        <w:t>].</w:t>
      </w:r>
    </w:p>
    <w:p w:rsidR="00E3214E" w:rsidRPr="00AA1571" w:rsidRDefault="00E3214E" w:rsidP="00E3214E">
      <w:pPr>
        <w:rPr>
          <w:lang w:eastAsia="en-GB"/>
        </w:rPr>
      </w:pPr>
    </w:p>
    <w:p w:rsidR="00E3214E" w:rsidRPr="00AA1571" w:rsidRDefault="00E3214E" w:rsidP="00E3214E">
      <w:pPr>
        <w:pStyle w:val="Bibliography"/>
        <w:rPr>
          <w:lang w:eastAsia="en-GB"/>
        </w:rPr>
      </w:pPr>
      <w:r w:rsidRPr="00AA1571">
        <w:rPr>
          <w:lang w:eastAsia="en-GB"/>
        </w:rPr>
        <w:t xml:space="preserve">ATHANASOGLOU, P.P., BRISSIMIS, S.N., and DELIS, M.D., 2005. Bank-specific, industry-specific and macroeconomic determinants of bank profitability. Journal of international financial Markets, Institutions and Money [online]. 18 (2), pp. 121–136. Available from: http://www.sciencedirect.com/science/article/pii/S1042443106000473 [Accessed </w:t>
      </w:r>
      <w:r w:rsidR="00B9269F">
        <w:rPr>
          <w:rFonts w:eastAsia="Times New Roman" w:cs="Times New Roman"/>
          <w:sz w:val="23"/>
          <w:szCs w:val="23"/>
          <w:lang w:eastAsia="en-GB"/>
        </w:rPr>
        <w:t>28 Sep. 2015</w:t>
      </w:r>
      <w:r w:rsidRPr="00AA1571">
        <w:rPr>
          <w:lang w:eastAsia="en-GB"/>
        </w:rPr>
        <w:t>].</w:t>
      </w:r>
    </w:p>
    <w:p w:rsidR="00E3214E" w:rsidRPr="00FF3477" w:rsidRDefault="00E3214E" w:rsidP="00E3214E">
      <w:pPr>
        <w:pStyle w:val="Bibliography"/>
        <w:rPr>
          <w:rFonts w:eastAsia="Times New Roman" w:cs="Times New Roman"/>
          <w:sz w:val="23"/>
          <w:szCs w:val="23"/>
          <w:lang w:eastAsia="en-GB"/>
        </w:rPr>
      </w:pPr>
    </w:p>
    <w:p w:rsidR="00E3214E" w:rsidRPr="00FF3477" w:rsidRDefault="00E3214E" w:rsidP="00E3214E">
      <w:pPr>
        <w:pStyle w:val="Bibliography"/>
        <w:rPr>
          <w:rFonts w:eastAsia="Times New Roman" w:cs="Times New Roman"/>
          <w:sz w:val="23"/>
          <w:szCs w:val="23"/>
          <w:lang w:eastAsia="en-GB"/>
        </w:rPr>
      </w:pPr>
      <w:r w:rsidRPr="00FF3477">
        <w:rPr>
          <w:rFonts w:eastAsia="Times New Roman" w:cs="Times New Roman"/>
          <w:sz w:val="23"/>
          <w:szCs w:val="23"/>
          <w:lang w:eastAsia="en-GB"/>
        </w:rPr>
        <w:t>KOSMIDOU, K. and ZOPOUNIDIS, C., 2008. Measurement of bank performance in Greece. South Eastern Europe Journal of Economics [online]. 6 (1), pp. 79–95. Available from: http://www.asecu.gr/Seeje/issue10/kosmidou.pdf [</w:t>
      </w:r>
      <w:r w:rsidR="00B9269F">
        <w:rPr>
          <w:rFonts w:eastAsia="Times New Roman" w:cs="Times New Roman"/>
          <w:sz w:val="23"/>
          <w:szCs w:val="23"/>
          <w:lang w:eastAsia="en-GB"/>
        </w:rPr>
        <w:t>30 Sep. 2015</w:t>
      </w:r>
      <w:r w:rsidRPr="00FF3477">
        <w:rPr>
          <w:rFonts w:eastAsia="Times New Roman" w:cs="Times New Roman"/>
          <w:sz w:val="23"/>
          <w:szCs w:val="23"/>
          <w:lang w:eastAsia="en-GB"/>
        </w:rPr>
        <w:t>].</w:t>
      </w:r>
    </w:p>
    <w:p w:rsidR="00E3214E" w:rsidRDefault="00E3214E" w:rsidP="00E3214E">
      <w:pPr>
        <w:pStyle w:val="Bibliography"/>
        <w:rPr>
          <w:rFonts w:eastAsia="Times New Roman" w:cs="Times New Roman"/>
          <w:sz w:val="23"/>
          <w:szCs w:val="23"/>
          <w:lang w:eastAsia="en-GB"/>
        </w:rPr>
      </w:pPr>
    </w:p>
    <w:p w:rsidR="00E3214E" w:rsidRDefault="00E3214E" w:rsidP="00E3214E">
      <w:pPr>
        <w:pStyle w:val="Bibliography"/>
        <w:rPr>
          <w:rFonts w:eastAsia="Times New Roman" w:cs="Times New Roman"/>
          <w:sz w:val="23"/>
          <w:szCs w:val="23"/>
          <w:lang w:eastAsia="en-GB"/>
        </w:rPr>
      </w:pPr>
      <w:r w:rsidRPr="00FF3477">
        <w:rPr>
          <w:rFonts w:eastAsia="Times New Roman" w:cs="Times New Roman"/>
          <w:sz w:val="23"/>
          <w:szCs w:val="23"/>
          <w:lang w:eastAsia="en-GB"/>
        </w:rPr>
        <w:t>MISHKIN, F.S. and EAKINS, S., 2014. Financial Markets and Institutions. 8 edition. Prentice Hall.</w:t>
      </w:r>
    </w:p>
    <w:p w:rsidR="00BE0404" w:rsidRPr="00BE0404" w:rsidRDefault="00BE0404" w:rsidP="00BE0404">
      <w:pPr>
        <w:rPr>
          <w:lang w:eastAsia="en-GB"/>
        </w:rPr>
      </w:pPr>
    </w:p>
    <w:p w:rsidR="00BE0404" w:rsidRPr="00BE0404" w:rsidRDefault="00BE0404" w:rsidP="00D114C2">
      <w:pPr>
        <w:pStyle w:val="Bibliography"/>
        <w:jc w:val="left"/>
        <w:rPr>
          <w:rFonts w:eastAsia="Times New Roman" w:cs="Times New Roman"/>
          <w:sz w:val="23"/>
          <w:szCs w:val="23"/>
          <w:lang w:eastAsia="en-GB"/>
        </w:rPr>
      </w:pPr>
      <w:r w:rsidRPr="00BE0404">
        <w:rPr>
          <w:rFonts w:eastAsia="Times New Roman" w:cs="Times New Roman"/>
          <w:sz w:val="23"/>
          <w:szCs w:val="23"/>
          <w:lang w:eastAsia="en-GB"/>
        </w:rPr>
        <w:t xml:space="preserve">SAID, R.M. and TUMIN, M.H., 2011. Performance and financial ratios of commercial banks in Malaysia and China. International Review of Business Research Papers [online]. 7 (2), pp. 157–169. Available from: http://www.irbrp.com/static/documents/March/2011/11.%20Rasidah-FINAL.pdf [Accessed </w:t>
      </w:r>
      <w:r w:rsidR="00B9269F">
        <w:rPr>
          <w:rFonts w:eastAsia="Times New Roman" w:cs="Times New Roman"/>
          <w:sz w:val="23"/>
          <w:szCs w:val="23"/>
          <w:lang w:eastAsia="en-GB"/>
        </w:rPr>
        <w:t>30 Sep. 2015</w:t>
      </w:r>
      <w:r w:rsidRPr="00BE0404">
        <w:rPr>
          <w:rFonts w:eastAsia="Times New Roman" w:cs="Times New Roman"/>
          <w:sz w:val="23"/>
          <w:szCs w:val="23"/>
          <w:lang w:eastAsia="en-GB"/>
        </w:rPr>
        <w:t>].</w:t>
      </w:r>
    </w:p>
    <w:p w:rsidR="00E3214E" w:rsidRDefault="00E3214E" w:rsidP="00D114C2">
      <w:pPr>
        <w:pStyle w:val="Bibliography"/>
        <w:jc w:val="left"/>
        <w:rPr>
          <w:rFonts w:eastAsia="Times New Roman" w:cs="Times New Roman"/>
          <w:sz w:val="23"/>
          <w:szCs w:val="23"/>
          <w:lang w:eastAsia="en-GB"/>
        </w:rPr>
      </w:pPr>
    </w:p>
    <w:p w:rsidR="00E3214E" w:rsidRDefault="00E3214E" w:rsidP="00D114C2">
      <w:pPr>
        <w:pStyle w:val="Bibliography"/>
        <w:jc w:val="left"/>
        <w:rPr>
          <w:rFonts w:eastAsia="Times New Roman" w:cs="Times New Roman"/>
          <w:sz w:val="23"/>
          <w:szCs w:val="23"/>
          <w:lang w:eastAsia="en-GB"/>
        </w:rPr>
      </w:pPr>
      <w:r w:rsidRPr="00FF3477">
        <w:rPr>
          <w:rFonts w:eastAsia="Times New Roman" w:cs="Times New Roman"/>
          <w:sz w:val="23"/>
          <w:szCs w:val="23"/>
          <w:lang w:eastAsia="en-GB"/>
        </w:rPr>
        <w:t xml:space="preserve">ROMAN, A. and TOMULEASA, I., 2012. Analysis of profitability determinants: Empirical evidence of commercial banks in new EU member states. Retrieved from </w:t>
      </w:r>
      <w:proofErr w:type="spellStart"/>
      <w:r w:rsidRPr="00FF3477">
        <w:rPr>
          <w:rFonts w:eastAsia="Times New Roman" w:cs="Times New Roman"/>
          <w:sz w:val="23"/>
          <w:szCs w:val="23"/>
          <w:lang w:eastAsia="en-GB"/>
        </w:rPr>
        <w:t>icfb</w:t>
      </w:r>
      <w:proofErr w:type="spellEnd"/>
      <w:r w:rsidRPr="00FF3477">
        <w:rPr>
          <w:rFonts w:eastAsia="Times New Roman" w:cs="Times New Roman"/>
          <w:sz w:val="23"/>
          <w:szCs w:val="23"/>
          <w:lang w:eastAsia="en-GB"/>
        </w:rPr>
        <w:t xml:space="preserve">. </w:t>
      </w:r>
      <w:proofErr w:type="spellStart"/>
      <w:proofErr w:type="gramStart"/>
      <w:r w:rsidRPr="00FF3477">
        <w:rPr>
          <w:rFonts w:eastAsia="Times New Roman" w:cs="Times New Roman"/>
          <w:sz w:val="23"/>
          <w:szCs w:val="23"/>
          <w:lang w:eastAsia="en-GB"/>
        </w:rPr>
        <w:t>rs</w:t>
      </w:r>
      <w:proofErr w:type="spellEnd"/>
      <w:proofErr w:type="gramEnd"/>
      <w:r w:rsidRPr="00FF3477">
        <w:rPr>
          <w:rFonts w:eastAsia="Times New Roman" w:cs="Times New Roman"/>
          <w:sz w:val="23"/>
          <w:szCs w:val="23"/>
          <w:lang w:eastAsia="en-GB"/>
        </w:rPr>
        <w:t xml:space="preserve">. </w:t>
      </w:r>
      <w:proofErr w:type="spellStart"/>
      <w:proofErr w:type="gramStart"/>
      <w:r w:rsidRPr="00FF3477">
        <w:rPr>
          <w:rFonts w:eastAsia="Times New Roman" w:cs="Times New Roman"/>
          <w:sz w:val="23"/>
          <w:szCs w:val="23"/>
          <w:lang w:eastAsia="en-GB"/>
        </w:rPr>
        <w:t>opf</w:t>
      </w:r>
      <w:proofErr w:type="spellEnd"/>
      <w:proofErr w:type="gramEnd"/>
      <w:r w:rsidRPr="00FF3477">
        <w:rPr>
          <w:rFonts w:eastAsia="Times New Roman" w:cs="Times New Roman"/>
          <w:sz w:val="23"/>
          <w:szCs w:val="23"/>
          <w:lang w:eastAsia="en-GB"/>
        </w:rPr>
        <w:t xml:space="preserve">. </w:t>
      </w:r>
      <w:proofErr w:type="spellStart"/>
      <w:proofErr w:type="gramStart"/>
      <w:r w:rsidRPr="00FF3477">
        <w:rPr>
          <w:rFonts w:eastAsia="Times New Roman" w:cs="Times New Roman"/>
          <w:sz w:val="23"/>
          <w:szCs w:val="23"/>
          <w:lang w:eastAsia="en-GB"/>
        </w:rPr>
        <w:t>slu</w:t>
      </w:r>
      <w:proofErr w:type="spellEnd"/>
      <w:proofErr w:type="gramEnd"/>
      <w:r w:rsidRPr="00FF3477">
        <w:rPr>
          <w:rFonts w:eastAsia="Times New Roman" w:cs="Times New Roman"/>
          <w:sz w:val="23"/>
          <w:szCs w:val="23"/>
          <w:lang w:eastAsia="en-GB"/>
        </w:rPr>
        <w:t xml:space="preserve">. </w:t>
      </w:r>
      <w:proofErr w:type="spellStart"/>
      <w:proofErr w:type="gramStart"/>
      <w:r w:rsidRPr="00FF3477">
        <w:rPr>
          <w:rFonts w:eastAsia="Times New Roman" w:cs="Times New Roman"/>
          <w:sz w:val="23"/>
          <w:szCs w:val="23"/>
          <w:lang w:eastAsia="en-GB"/>
        </w:rPr>
        <w:t>cz</w:t>
      </w:r>
      <w:proofErr w:type="spellEnd"/>
      <w:r w:rsidRPr="00FF3477">
        <w:rPr>
          <w:rFonts w:eastAsia="Times New Roman" w:cs="Times New Roman"/>
          <w:sz w:val="23"/>
          <w:szCs w:val="23"/>
          <w:lang w:eastAsia="en-GB"/>
        </w:rPr>
        <w:t>/sites/</w:t>
      </w:r>
      <w:proofErr w:type="spellStart"/>
      <w:r w:rsidRPr="00FF3477">
        <w:rPr>
          <w:rFonts w:eastAsia="Times New Roman" w:cs="Times New Roman"/>
          <w:sz w:val="23"/>
          <w:szCs w:val="23"/>
          <w:lang w:eastAsia="en-GB"/>
        </w:rPr>
        <w:t>icfb</w:t>
      </w:r>
      <w:proofErr w:type="spellEnd"/>
      <w:proofErr w:type="gramEnd"/>
      <w:r w:rsidRPr="00FF3477">
        <w:rPr>
          <w:rFonts w:eastAsia="Times New Roman" w:cs="Times New Roman"/>
          <w:sz w:val="23"/>
          <w:szCs w:val="23"/>
          <w:lang w:eastAsia="en-GB"/>
        </w:rPr>
        <w:t xml:space="preserve">. </w:t>
      </w:r>
      <w:proofErr w:type="spellStart"/>
      <w:proofErr w:type="gramStart"/>
      <w:r w:rsidRPr="00FF3477">
        <w:rPr>
          <w:rFonts w:eastAsia="Times New Roman" w:cs="Times New Roman"/>
          <w:sz w:val="23"/>
          <w:szCs w:val="23"/>
          <w:lang w:eastAsia="en-GB"/>
        </w:rPr>
        <w:t>rs</w:t>
      </w:r>
      <w:proofErr w:type="spellEnd"/>
      <w:proofErr w:type="gramEnd"/>
      <w:r w:rsidRPr="00FF3477">
        <w:rPr>
          <w:rFonts w:eastAsia="Times New Roman" w:cs="Times New Roman"/>
          <w:sz w:val="23"/>
          <w:szCs w:val="23"/>
          <w:lang w:eastAsia="en-GB"/>
        </w:rPr>
        <w:t xml:space="preserve">. </w:t>
      </w:r>
      <w:proofErr w:type="spellStart"/>
      <w:proofErr w:type="gramStart"/>
      <w:r w:rsidRPr="00FF3477">
        <w:rPr>
          <w:rFonts w:eastAsia="Times New Roman" w:cs="Times New Roman"/>
          <w:sz w:val="23"/>
          <w:szCs w:val="23"/>
          <w:lang w:eastAsia="en-GB"/>
        </w:rPr>
        <w:t>opf</w:t>
      </w:r>
      <w:proofErr w:type="spellEnd"/>
      <w:proofErr w:type="gramEnd"/>
      <w:r w:rsidRPr="00FF3477">
        <w:rPr>
          <w:rFonts w:eastAsia="Times New Roman" w:cs="Times New Roman"/>
          <w:sz w:val="23"/>
          <w:szCs w:val="23"/>
          <w:lang w:eastAsia="en-GB"/>
        </w:rPr>
        <w:t xml:space="preserve">. </w:t>
      </w:r>
      <w:proofErr w:type="spellStart"/>
      <w:proofErr w:type="gramStart"/>
      <w:r w:rsidRPr="00FF3477">
        <w:rPr>
          <w:rFonts w:eastAsia="Times New Roman" w:cs="Times New Roman"/>
          <w:sz w:val="23"/>
          <w:szCs w:val="23"/>
          <w:lang w:eastAsia="en-GB"/>
        </w:rPr>
        <w:t>slu</w:t>
      </w:r>
      <w:proofErr w:type="spellEnd"/>
      <w:proofErr w:type="gramEnd"/>
      <w:r w:rsidRPr="00FF3477">
        <w:rPr>
          <w:rFonts w:eastAsia="Times New Roman" w:cs="Times New Roman"/>
          <w:sz w:val="23"/>
          <w:szCs w:val="23"/>
          <w:lang w:eastAsia="en-GB"/>
        </w:rPr>
        <w:t xml:space="preserve">. </w:t>
      </w:r>
      <w:proofErr w:type="spellStart"/>
      <w:proofErr w:type="gramStart"/>
      <w:r w:rsidRPr="00FF3477">
        <w:rPr>
          <w:rFonts w:eastAsia="Times New Roman" w:cs="Times New Roman"/>
          <w:sz w:val="23"/>
          <w:szCs w:val="23"/>
          <w:lang w:eastAsia="en-GB"/>
        </w:rPr>
        <w:t>cz</w:t>
      </w:r>
      <w:proofErr w:type="spellEnd"/>
      <w:r w:rsidRPr="00FF3477">
        <w:rPr>
          <w:rFonts w:eastAsia="Times New Roman" w:cs="Times New Roman"/>
          <w:sz w:val="23"/>
          <w:szCs w:val="23"/>
          <w:lang w:eastAsia="en-GB"/>
        </w:rPr>
        <w:t>/files/39_roman</w:t>
      </w:r>
      <w:proofErr w:type="gramEnd"/>
      <w:r w:rsidRPr="00FF3477">
        <w:rPr>
          <w:rFonts w:eastAsia="Times New Roman" w:cs="Times New Roman"/>
          <w:sz w:val="23"/>
          <w:szCs w:val="23"/>
          <w:lang w:eastAsia="en-GB"/>
        </w:rPr>
        <w:t xml:space="preserve">. </w:t>
      </w:r>
      <w:proofErr w:type="gramStart"/>
      <w:r w:rsidRPr="00FF3477">
        <w:rPr>
          <w:rFonts w:eastAsia="Times New Roman" w:cs="Times New Roman"/>
          <w:sz w:val="23"/>
          <w:szCs w:val="23"/>
          <w:lang w:eastAsia="en-GB"/>
        </w:rPr>
        <w:t>pdf</w:t>
      </w:r>
      <w:proofErr w:type="gramEnd"/>
      <w:r w:rsidRPr="00FF3477">
        <w:rPr>
          <w:rFonts w:eastAsia="Times New Roman" w:cs="Times New Roman"/>
          <w:sz w:val="23"/>
          <w:szCs w:val="23"/>
          <w:lang w:eastAsia="en-GB"/>
        </w:rPr>
        <w:t xml:space="preserve"> [online]. Available from: http://icfb.rs.opf.slu.cz/sites/icfb.rs.opf.slu.cz/files/39_roman.pdf [Accessed </w:t>
      </w:r>
      <w:r w:rsidR="00B9269F">
        <w:rPr>
          <w:rFonts w:eastAsia="Times New Roman" w:cs="Times New Roman"/>
          <w:sz w:val="23"/>
          <w:szCs w:val="23"/>
          <w:lang w:eastAsia="en-GB"/>
        </w:rPr>
        <w:t>30 Sep. 2015</w:t>
      </w:r>
      <w:r w:rsidRPr="00FF3477">
        <w:rPr>
          <w:rFonts w:eastAsia="Times New Roman" w:cs="Times New Roman"/>
          <w:sz w:val="23"/>
          <w:szCs w:val="23"/>
          <w:lang w:eastAsia="en-GB"/>
        </w:rPr>
        <w:t>].</w:t>
      </w:r>
    </w:p>
    <w:p w:rsidR="00785C29" w:rsidRPr="00785C29" w:rsidRDefault="00785C29" w:rsidP="00785C29">
      <w:pPr>
        <w:rPr>
          <w:lang w:eastAsia="en-GB"/>
        </w:rPr>
      </w:pPr>
    </w:p>
    <w:p w:rsidR="00785C29" w:rsidRPr="00785C29" w:rsidRDefault="00785C29" w:rsidP="00785C29">
      <w:pPr>
        <w:pStyle w:val="Bibliography"/>
        <w:rPr>
          <w:rFonts w:eastAsia="Times New Roman" w:cs="Times New Roman"/>
          <w:sz w:val="23"/>
          <w:szCs w:val="23"/>
          <w:lang w:eastAsia="en-GB"/>
        </w:rPr>
      </w:pPr>
      <w:r w:rsidRPr="00785C29">
        <w:rPr>
          <w:rFonts w:eastAsia="Times New Roman" w:cs="Times New Roman"/>
          <w:sz w:val="23"/>
          <w:szCs w:val="23"/>
          <w:lang w:eastAsia="en-GB"/>
        </w:rPr>
        <w:t>RESERVE BANK OF ZIMBABWE, 2013. Bank Licensing, Supervision and Surveillance 2013 annual report. Reserve Bank of Zimbabwe.</w:t>
      </w:r>
    </w:p>
    <w:p w:rsidR="00E3214E" w:rsidRDefault="00E3214E" w:rsidP="00E3214E">
      <w:pPr>
        <w:pStyle w:val="Bibliography"/>
        <w:rPr>
          <w:rFonts w:eastAsia="Times New Roman" w:cs="Times New Roman"/>
          <w:sz w:val="23"/>
          <w:szCs w:val="23"/>
          <w:lang w:eastAsia="en-GB"/>
        </w:rPr>
      </w:pPr>
    </w:p>
    <w:p w:rsidR="00E3214E" w:rsidRDefault="00E3214E" w:rsidP="00E3214E">
      <w:pPr>
        <w:pStyle w:val="Bibliography"/>
        <w:rPr>
          <w:rFonts w:eastAsia="Times New Roman" w:cs="Times New Roman"/>
          <w:sz w:val="23"/>
          <w:szCs w:val="23"/>
          <w:lang w:eastAsia="en-GB"/>
        </w:rPr>
      </w:pPr>
      <w:r w:rsidRPr="00AA1571">
        <w:rPr>
          <w:rFonts w:eastAsia="Times New Roman" w:cs="Times New Roman"/>
          <w:sz w:val="23"/>
          <w:szCs w:val="23"/>
          <w:lang w:eastAsia="en-GB"/>
        </w:rPr>
        <w:t>TAMIMI, H.A.H. Al-, 2010. Factors influencing performance of the UAE Islamic and Conventional national banks. Global Journal of Business Research. 4 (2), pp. 1–9.</w:t>
      </w:r>
      <w:r>
        <w:rPr>
          <w:rFonts w:eastAsia="Times New Roman" w:cs="Times New Roman"/>
          <w:sz w:val="23"/>
          <w:szCs w:val="23"/>
          <w:lang w:eastAsia="en-GB"/>
        </w:rPr>
        <w:br w:type="page"/>
      </w:r>
    </w:p>
    <w:p w:rsidR="00E3214E" w:rsidRDefault="00E3214E" w:rsidP="00E3214E">
      <w:pPr>
        <w:pStyle w:val="PrecontentStyle1"/>
      </w:pPr>
      <w:bookmarkStart w:id="20" w:name="_Toc430705738"/>
      <w:bookmarkStart w:id="21" w:name="_Toc431332841"/>
      <w:r>
        <w:lastRenderedPageBreak/>
        <w:t>APPENDICES</w:t>
      </w:r>
      <w:bookmarkEnd w:id="20"/>
      <w:bookmarkEnd w:id="21"/>
    </w:p>
    <w:p w:rsidR="00E3214E" w:rsidRDefault="00E3214E" w:rsidP="00E3214E">
      <w:pPr>
        <w:pStyle w:val="Caption"/>
        <w:keepNext/>
      </w:pPr>
    </w:p>
    <w:p w:rsidR="00772261" w:rsidRDefault="00772261" w:rsidP="00772261">
      <w:pPr>
        <w:pStyle w:val="Caption"/>
        <w:keepNext/>
      </w:pPr>
      <w:bookmarkStart w:id="22" w:name="_Ref431357630"/>
      <w:bookmarkStart w:id="23" w:name="_Toc431332896"/>
      <w:r>
        <w:t xml:space="preserve">Table </w:t>
      </w:r>
      <w:r w:rsidR="001C051F">
        <w:fldChar w:fldCharType="begin"/>
      </w:r>
      <w:r w:rsidR="001C051F">
        <w:instrText xml:space="preserve"> SEQ Table \* ARABIC </w:instrText>
      </w:r>
      <w:r w:rsidR="001C051F">
        <w:fldChar w:fldCharType="separate"/>
      </w:r>
      <w:r>
        <w:rPr>
          <w:noProof/>
        </w:rPr>
        <w:t>4</w:t>
      </w:r>
      <w:r w:rsidR="001C051F">
        <w:rPr>
          <w:noProof/>
        </w:rPr>
        <w:fldChar w:fldCharType="end"/>
      </w:r>
      <w:bookmarkEnd w:id="22"/>
      <w:r>
        <w:t xml:space="preserve"> </w:t>
      </w:r>
      <w:r w:rsidRPr="00D12D2D">
        <w:t>Formula sheet</w:t>
      </w:r>
      <w:bookmarkEnd w:id="23"/>
    </w:p>
    <w:tbl>
      <w:tblPr>
        <w:tblStyle w:val="TableGrid1"/>
        <w:tblW w:w="9214"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8685"/>
      </w:tblGrid>
      <w:tr w:rsidR="00E3214E" w:rsidRPr="0075090C" w:rsidTr="00772261">
        <w:tc>
          <w:tcPr>
            <w:tcW w:w="9214" w:type="dxa"/>
            <w:gridSpan w:val="2"/>
            <w:tcBorders>
              <w:top w:val="single" w:sz="18" w:space="0" w:color="auto"/>
              <w:bottom w:val="single" w:sz="18" w:space="0" w:color="auto"/>
            </w:tcBorders>
          </w:tcPr>
          <w:p w:rsidR="00E3214E" w:rsidRPr="0075090C" w:rsidRDefault="00E3214E" w:rsidP="00772261">
            <w:pPr>
              <w:spacing w:after="0" w:line="240" w:lineRule="auto"/>
              <w:jc w:val="left"/>
              <w:rPr>
                <w:rFonts w:eastAsia="Times New Roman" w:cs="Times New Roman"/>
                <w:sz w:val="20"/>
                <w:szCs w:val="20"/>
                <w:lang w:eastAsia="en-GB"/>
              </w:rPr>
            </w:pPr>
            <w:r w:rsidRPr="0075090C">
              <w:rPr>
                <w:rFonts w:eastAsia="Times New Roman" w:cs="Times New Roman"/>
                <w:sz w:val="20"/>
                <w:szCs w:val="20"/>
                <w:lang w:eastAsia="en-GB"/>
              </w:rPr>
              <w:t xml:space="preserve"> A    P</w:t>
            </w:r>
            <w:r w:rsidRPr="0075090C">
              <w:rPr>
                <w:rFonts w:eastAsia="Times New Roman" w:cs="Times New Roman"/>
                <w:b/>
                <w:sz w:val="20"/>
                <w:szCs w:val="20"/>
                <w:lang w:eastAsia="en-GB"/>
              </w:rPr>
              <w:t xml:space="preserve">erformance measurement </w:t>
            </w:r>
          </w:p>
          <w:p w:rsidR="00E3214E" w:rsidRPr="0075090C" w:rsidRDefault="00E3214E" w:rsidP="00772261">
            <w:pPr>
              <w:spacing w:after="0" w:line="240" w:lineRule="auto"/>
              <w:jc w:val="left"/>
              <w:rPr>
                <w:rFonts w:eastAsia="Times New Roman" w:cs="Times New Roman"/>
                <w:sz w:val="20"/>
                <w:szCs w:val="20"/>
                <w:lang w:eastAsia="en-GB"/>
              </w:rPr>
            </w:pPr>
          </w:p>
        </w:tc>
      </w:tr>
      <w:tr w:rsidR="00E3214E" w:rsidRPr="0075090C" w:rsidTr="00772261">
        <w:tc>
          <w:tcPr>
            <w:tcW w:w="529" w:type="dxa"/>
            <w:tcBorders>
              <w:top w:val="single" w:sz="18" w:space="0" w:color="auto"/>
            </w:tcBorders>
          </w:tcPr>
          <w:p w:rsidR="00E3214E" w:rsidRPr="0075090C" w:rsidRDefault="00E3214E" w:rsidP="00772261">
            <w:pPr>
              <w:spacing w:after="0" w:line="240" w:lineRule="auto"/>
              <w:jc w:val="left"/>
              <w:rPr>
                <w:rFonts w:eastAsia="Times New Roman" w:cs="Times New Roman"/>
                <w:sz w:val="20"/>
                <w:szCs w:val="20"/>
                <w:lang w:eastAsia="en-GB"/>
              </w:rPr>
            </w:pPr>
            <w:r w:rsidRPr="0075090C">
              <w:rPr>
                <w:rFonts w:eastAsia="Times New Roman" w:cs="Times New Roman"/>
                <w:sz w:val="20"/>
                <w:szCs w:val="20"/>
                <w:lang w:eastAsia="en-GB"/>
              </w:rPr>
              <w:t>1</w:t>
            </w:r>
          </w:p>
        </w:tc>
        <w:tc>
          <w:tcPr>
            <w:tcW w:w="8685" w:type="dxa"/>
            <w:tcBorders>
              <w:top w:val="single" w:sz="18" w:space="0" w:color="auto"/>
            </w:tcBorders>
          </w:tcPr>
          <w:p w:rsidR="00E3214E" w:rsidRPr="0075090C" w:rsidRDefault="00E3214E" w:rsidP="00772261">
            <w:pPr>
              <w:spacing w:after="0" w:line="240" w:lineRule="auto"/>
              <w:jc w:val="left"/>
              <w:rPr>
                <w:rFonts w:eastAsia="Times New Roman" w:cs="Times New Roman"/>
                <w:sz w:val="20"/>
                <w:szCs w:val="20"/>
                <w:lang w:eastAsia="en-GB"/>
              </w:rPr>
            </w:pPr>
            <w:r w:rsidRPr="0075090C">
              <w:rPr>
                <w:rFonts w:eastAsia="Times New Roman" w:cs="Times New Roman"/>
                <w:sz w:val="20"/>
                <w:szCs w:val="20"/>
                <w:lang w:eastAsia="en-GB"/>
              </w:rPr>
              <w:t>Return on asset(ROA)</w:t>
            </w:r>
          </w:p>
        </w:tc>
      </w:tr>
      <w:tr w:rsidR="00E3214E" w:rsidRPr="0075090C" w:rsidTr="00772261">
        <w:tc>
          <w:tcPr>
            <w:tcW w:w="529" w:type="dxa"/>
            <w:tcBorders>
              <w:bottom w:val="single" w:sz="18" w:space="0" w:color="auto"/>
            </w:tcBorders>
          </w:tcPr>
          <w:p w:rsidR="00E3214E" w:rsidRPr="0075090C" w:rsidRDefault="00E3214E" w:rsidP="00772261">
            <w:pPr>
              <w:spacing w:after="0" w:line="240" w:lineRule="auto"/>
              <w:jc w:val="left"/>
              <w:rPr>
                <w:rFonts w:eastAsia="Times New Roman" w:cs="Times New Roman"/>
                <w:sz w:val="20"/>
                <w:szCs w:val="20"/>
                <w:lang w:eastAsia="en-GB"/>
              </w:rPr>
            </w:pPr>
          </w:p>
        </w:tc>
        <w:tc>
          <w:tcPr>
            <w:tcW w:w="8685" w:type="dxa"/>
            <w:tcBorders>
              <w:bottom w:val="single" w:sz="18" w:space="0" w:color="auto"/>
            </w:tcBorders>
          </w:tcPr>
          <w:p w:rsidR="00E3214E" w:rsidRPr="0075090C" w:rsidRDefault="00E3214E" w:rsidP="00772261">
            <w:pPr>
              <w:spacing w:after="0" w:line="240" w:lineRule="auto"/>
              <w:jc w:val="left"/>
              <w:rPr>
                <w:rFonts w:eastAsia="Times New Roman" w:cs="Times New Roman"/>
                <w:sz w:val="20"/>
                <w:szCs w:val="20"/>
                <w:lang w:eastAsia="en-GB"/>
              </w:rPr>
            </w:pPr>
            <m:oMathPara>
              <m:oMath>
                <m:r>
                  <w:rPr>
                    <w:rFonts w:ascii="Cambria Math" w:eastAsia="Times New Roman" w:hAnsi="Cambria Math" w:cs="Times New Roman"/>
                    <w:sz w:val="20"/>
                    <w:szCs w:val="20"/>
                    <w:lang w:eastAsia="en-GB"/>
                  </w:rPr>
                  <m:t>ROA=</m:t>
                </m:r>
                <m:f>
                  <m:fPr>
                    <m:ctrlPr>
                      <w:rPr>
                        <w:rFonts w:ascii="Cambria Math" w:eastAsia="Times New Roman" w:hAnsi="Cambria Math" w:cs="Times New Roman"/>
                        <w:i/>
                        <w:sz w:val="20"/>
                        <w:szCs w:val="20"/>
                        <w:lang w:eastAsia="en-GB"/>
                      </w:rPr>
                    </m:ctrlPr>
                  </m:fPr>
                  <m:num>
                    <m:r>
                      <m:rPr>
                        <m:sty m:val="p"/>
                      </m:rPr>
                      <w:rPr>
                        <w:rFonts w:ascii="Cambria Math" w:eastAsia="Times New Roman" w:hAnsi="Cambria Math" w:cs="Times New Roman"/>
                        <w:sz w:val="20"/>
                        <w:szCs w:val="20"/>
                        <w:lang w:eastAsia="en-GB"/>
                      </w:rPr>
                      <m:t>net income</m:t>
                    </m:r>
                  </m:num>
                  <m:den>
                    <m:r>
                      <m:rPr>
                        <m:sty m:val="p"/>
                      </m:rPr>
                      <w:rPr>
                        <w:rFonts w:ascii="Cambria Math" w:eastAsia="Times New Roman" w:hAnsi="Cambria Math" w:cs="Times New Roman"/>
                        <w:sz w:val="20"/>
                        <w:szCs w:val="20"/>
                        <w:lang w:eastAsia="en-GB"/>
                      </w:rPr>
                      <m:t>average total assets</m:t>
                    </m:r>
                  </m:den>
                </m:f>
              </m:oMath>
            </m:oMathPara>
          </w:p>
        </w:tc>
      </w:tr>
      <w:tr w:rsidR="00E3214E" w:rsidRPr="0075090C" w:rsidTr="00772261">
        <w:tc>
          <w:tcPr>
            <w:tcW w:w="9214" w:type="dxa"/>
            <w:gridSpan w:val="2"/>
            <w:tcBorders>
              <w:top w:val="single" w:sz="18" w:space="0" w:color="auto"/>
              <w:bottom w:val="single" w:sz="18" w:space="0" w:color="auto"/>
            </w:tcBorders>
          </w:tcPr>
          <w:p w:rsidR="00E3214E" w:rsidRPr="0075090C" w:rsidRDefault="00E3214E" w:rsidP="00772261">
            <w:pPr>
              <w:spacing w:after="0" w:line="240" w:lineRule="auto"/>
              <w:jc w:val="left"/>
              <w:rPr>
                <w:rFonts w:eastAsia="Times New Roman" w:cs="Times New Roman"/>
                <w:sz w:val="20"/>
                <w:szCs w:val="20"/>
                <w:lang w:eastAsia="en-GB"/>
              </w:rPr>
            </w:pPr>
            <w:r w:rsidRPr="0075090C">
              <w:rPr>
                <w:rFonts w:eastAsia="Times New Roman" w:cs="Times New Roman"/>
                <w:sz w:val="20"/>
                <w:szCs w:val="20"/>
                <w:lang w:eastAsia="en-GB"/>
              </w:rPr>
              <w:t xml:space="preserve">B    </w:t>
            </w:r>
            <w:r w:rsidRPr="0075090C">
              <w:rPr>
                <w:rFonts w:eastAsia="Times New Roman" w:cs="Times New Roman"/>
                <w:b/>
                <w:sz w:val="20"/>
                <w:szCs w:val="20"/>
                <w:lang w:eastAsia="en-GB"/>
              </w:rPr>
              <w:t xml:space="preserve"> Bank specific determinants</w:t>
            </w:r>
          </w:p>
        </w:tc>
      </w:tr>
      <w:tr w:rsidR="00E3214E" w:rsidRPr="0075090C" w:rsidTr="00772261">
        <w:tc>
          <w:tcPr>
            <w:tcW w:w="529" w:type="dxa"/>
            <w:tcBorders>
              <w:top w:val="single" w:sz="18" w:space="0" w:color="auto"/>
            </w:tcBorders>
          </w:tcPr>
          <w:p w:rsidR="00E3214E" w:rsidRPr="0075090C" w:rsidRDefault="00E3214E" w:rsidP="00772261">
            <w:pPr>
              <w:spacing w:after="0" w:line="240" w:lineRule="auto"/>
              <w:jc w:val="left"/>
              <w:rPr>
                <w:rFonts w:eastAsia="Times New Roman" w:cs="Times New Roman"/>
                <w:sz w:val="20"/>
                <w:szCs w:val="20"/>
                <w:lang w:eastAsia="en-GB"/>
              </w:rPr>
            </w:pPr>
            <w:r w:rsidRPr="0075090C">
              <w:rPr>
                <w:rFonts w:eastAsia="Times New Roman" w:cs="Times New Roman"/>
                <w:sz w:val="20"/>
                <w:szCs w:val="20"/>
                <w:lang w:eastAsia="en-GB"/>
              </w:rPr>
              <w:t>1</w:t>
            </w:r>
          </w:p>
        </w:tc>
        <w:tc>
          <w:tcPr>
            <w:tcW w:w="8685" w:type="dxa"/>
            <w:tcBorders>
              <w:top w:val="single" w:sz="18" w:space="0" w:color="auto"/>
            </w:tcBorders>
          </w:tcPr>
          <w:p w:rsidR="00E3214E" w:rsidRPr="0075090C" w:rsidRDefault="00E3214E" w:rsidP="00772261">
            <w:pPr>
              <w:spacing w:after="0" w:line="240" w:lineRule="auto"/>
              <w:jc w:val="left"/>
              <w:rPr>
                <w:rFonts w:eastAsia="Times New Roman" w:cs="Times New Roman"/>
                <w:sz w:val="20"/>
                <w:szCs w:val="20"/>
                <w:lang w:eastAsia="en-GB"/>
              </w:rPr>
            </w:pPr>
            <w:r w:rsidRPr="0075090C">
              <w:rPr>
                <w:rFonts w:eastAsia="Times New Roman" w:cs="Times New Roman"/>
                <w:sz w:val="20"/>
                <w:szCs w:val="20"/>
                <w:lang w:eastAsia="en-GB"/>
              </w:rPr>
              <w:t>Net interest margin(NIM)</w:t>
            </w:r>
          </w:p>
        </w:tc>
      </w:tr>
      <w:tr w:rsidR="00E3214E" w:rsidRPr="0075090C" w:rsidTr="00772261">
        <w:tc>
          <w:tcPr>
            <w:tcW w:w="529" w:type="dxa"/>
          </w:tcPr>
          <w:p w:rsidR="00E3214E" w:rsidRPr="0075090C" w:rsidRDefault="00E3214E" w:rsidP="00772261">
            <w:pPr>
              <w:spacing w:after="0" w:line="240" w:lineRule="auto"/>
              <w:jc w:val="left"/>
              <w:rPr>
                <w:rFonts w:eastAsia="Times New Roman" w:cs="Times New Roman"/>
                <w:sz w:val="20"/>
                <w:szCs w:val="20"/>
                <w:lang w:eastAsia="en-GB"/>
              </w:rPr>
            </w:pPr>
          </w:p>
        </w:tc>
        <w:tc>
          <w:tcPr>
            <w:tcW w:w="8685" w:type="dxa"/>
          </w:tcPr>
          <w:p w:rsidR="00E3214E" w:rsidRPr="0075090C" w:rsidRDefault="00E3214E" w:rsidP="00772261">
            <w:pPr>
              <w:spacing w:after="0" w:line="240" w:lineRule="auto"/>
              <w:jc w:val="left"/>
              <w:rPr>
                <w:rFonts w:eastAsia="Times New Roman" w:cs="Times New Roman"/>
                <w:sz w:val="20"/>
                <w:szCs w:val="20"/>
                <w:lang w:eastAsia="en-GB"/>
              </w:rPr>
            </w:pPr>
            <m:oMathPara>
              <m:oMath>
                <m:r>
                  <m:rPr>
                    <m:sty m:val="p"/>
                  </m:rPr>
                  <w:rPr>
                    <w:rFonts w:ascii="Cambria Math" w:eastAsia="Times New Roman" w:hAnsi="Cambria Math" w:cs="Times New Roman"/>
                    <w:sz w:val="20"/>
                    <w:szCs w:val="20"/>
                    <w:lang w:eastAsia="en-GB"/>
                  </w:rPr>
                  <m:t>NIM=</m:t>
                </m:r>
                <m:f>
                  <m:fPr>
                    <m:ctrlPr>
                      <w:rPr>
                        <w:rFonts w:ascii="Cambria Math" w:eastAsia="Times New Roman" w:hAnsi="Cambria Math" w:cs="Times New Roman"/>
                        <w:sz w:val="20"/>
                        <w:szCs w:val="20"/>
                        <w:lang w:eastAsia="en-GB"/>
                      </w:rPr>
                    </m:ctrlPr>
                  </m:fPr>
                  <m:num>
                    <m:r>
                      <m:rPr>
                        <m:sty m:val="p"/>
                      </m:rPr>
                      <w:rPr>
                        <w:rFonts w:ascii="Cambria Math" w:eastAsia="Times New Roman" w:hAnsi="Cambria Math" w:cs="Times New Roman"/>
                        <w:sz w:val="20"/>
                        <w:szCs w:val="20"/>
                        <w:lang w:eastAsia="en-GB"/>
                      </w:rPr>
                      <m:t>net interest income</m:t>
                    </m:r>
                  </m:num>
                  <m:den>
                    <m:r>
                      <m:rPr>
                        <m:sty m:val="p"/>
                      </m:rPr>
                      <w:rPr>
                        <w:rFonts w:ascii="Cambria Math" w:eastAsia="Times New Roman" w:hAnsi="Cambria Math" w:cs="Times New Roman"/>
                        <w:sz w:val="20"/>
                        <w:szCs w:val="20"/>
                        <w:lang w:eastAsia="en-GB"/>
                      </w:rPr>
                      <m:t>Total earning assets</m:t>
                    </m:r>
                  </m:den>
                </m:f>
              </m:oMath>
            </m:oMathPara>
          </w:p>
        </w:tc>
      </w:tr>
      <w:tr w:rsidR="00E3214E" w:rsidRPr="0075090C" w:rsidTr="00772261">
        <w:tc>
          <w:tcPr>
            <w:tcW w:w="529" w:type="dxa"/>
          </w:tcPr>
          <w:p w:rsidR="00E3214E" w:rsidRPr="0075090C" w:rsidRDefault="00E3214E" w:rsidP="00772261">
            <w:pPr>
              <w:spacing w:after="0" w:line="240" w:lineRule="auto"/>
              <w:jc w:val="left"/>
              <w:rPr>
                <w:rFonts w:eastAsia="Times New Roman" w:cs="Times New Roman"/>
                <w:sz w:val="20"/>
                <w:szCs w:val="20"/>
                <w:lang w:eastAsia="en-GB"/>
              </w:rPr>
            </w:pPr>
            <w:r w:rsidRPr="0075090C">
              <w:rPr>
                <w:rFonts w:eastAsia="Times New Roman" w:cs="Times New Roman"/>
                <w:sz w:val="20"/>
                <w:szCs w:val="20"/>
                <w:lang w:eastAsia="en-GB"/>
              </w:rPr>
              <w:t>2.</w:t>
            </w:r>
          </w:p>
        </w:tc>
        <w:tc>
          <w:tcPr>
            <w:tcW w:w="8685" w:type="dxa"/>
          </w:tcPr>
          <w:p w:rsidR="00E3214E" w:rsidRPr="0075090C" w:rsidRDefault="00E3214E" w:rsidP="00772261">
            <w:pPr>
              <w:spacing w:after="0" w:line="240" w:lineRule="auto"/>
              <w:jc w:val="left"/>
              <w:rPr>
                <w:rFonts w:eastAsia="Times New Roman" w:cs="Times New Roman"/>
                <w:sz w:val="20"/>
                <w:szCs w:val="20"/>
                <w:lang w:eastAsia="en-GB"/>
              </w:rPr>
            </w:pPr>
            <w:r w:rsidRPr="0075090C">
              <w:rPr>
                <w:rFonts w:eastAsia="Times New Roman" w:cs="Times New Roman"/>
                <w:sz w:val="20"/>
                <w:szCs w:val="20"/>
                <w:lang w:eastAsia="en-GB"/>
              </w:rPr>
              <w:t>Capital adequacy</w:t>
            </w:r>
          </w:p>
        </w:tc>
      </w:tr>
      <w:tr w:rsidR="00E3214E" w:rsidRPr="0075090C" w:rsidTr="00772261">
        <w:tc>
          <w:tcPr>
            <w:tcW w:w="529" w:type="dxa"/>
          </w:tcPr>
          <w:p w:rsidR="00E3214E" w:rsidRPr="0075090C" w:rsidRDefault="00E3214E" w:rsidP="00772261">
            <w:pPr>
              <w:spacing w:after="0" w:line="240" w:lineRule="auto"/>
              <w:jc w:val="left"/>
              <w:rPr>
                <w:rFonts w:eastAsia="Times New Roman" w:cs="Times New Roman"/>
                <w:sz w:val="20"/>
                <w:szCs w:val="20"/>
                <w:lang w:eastAsia="en-GB"/>
              </w:rPr>
            </w:pPr>
          </w:p>
        </w:tc>
        <w:tc>
          <w:tcPr>
            <w:tcW w:w="8685" w:type="dxa"/>
          </w:tcPr>
          <w:p w:rsidR="00E3214E" w:rsidRPr="0075090C" w:rsidRDefault="00E3214E" w:rsidP="00772261">
            <w:pPr>
              <w:spacing w:after="0" w:line="240" w:lineRule="auto"/>
              <w:jc w:val="left"/>
              <w:rPr>
                <w:rFonts w:eastAsia="Times New Roman" w:cs="Times New Roman"/>
                <w:sz w:val="20"/>
                <w:szCs w:val="20"/>
                <w:lang w:eastAsia="en-GB"/>
              </w:rPr>
            </w:pPr>
            <m:oMathPara>
              <m:oMath>
                <m:r>
                  <m:rPr>
                    <m:sty m:val="p"/>
                  </m:rPr>
                  <w:rPr>
                    <w:rFonts w:ascii="Cambria Math" w:eastAsia="Times New Roman" w:hAnsi="Cambria Math" w:cs="Times New Roman"/>
                    <w:sz w:val="20"/>
                    <w:szCs w:val="20"/>
                    <w:lang w:eastAsia="en-GB"/>
                  </w:rPr>
                  <m:t>CA=</m:t>
                </m:r>
                <m:f>
                  <m:fPr>
                    <m:ctrlPr>
                      <w:rPr>
                        <w:rFonts w:ascii="Cambria Math" w:eastAsia="Times New Roman" w:hAnsi="Cambria Math" w:cs="Times New Roman"/>
                        <w:sz w:val="20"/>
                        <w:szCs w:val="20"/>
                        <w:lang w:eastAsia="en-GB"/>
                      </w:rPr>
                    </m:ctrlPr>
                  </m:fPr>
                  <m:num>
                    <m:r>
                      <w:rPr>
                        <w:rFonts w:ascii="Cambria Math" w:eastAsia="Times New Roman" w:hAnsi="Cambria Math" w:cs="Times New Roman"/>
                        <w:sz w:val="20"/>
                        <w:szCs w:val="20"/>
                        <w:lang w:eastAsia="en-GB"/>
                      </w:rPr>
                      <m:t>total equity</m:t>
                    </m:r>
                  </m:num>
                  <m:den>
                    <m:r>
                      <w:rPr>
                        <w:rFonts w:ascii="Cambria Math" w:eastAsia="Times New Roman" w:hAnsi="Cambria Math" w:cs="Times New Roman"/>
                        <w:sz w:val="20"/>
                        <w:szCs w:val="20"/>
                        <w:lang w:eastAsia="en-GB"/>
                      </w:rPr>
                      <m:t>risk based asset</m:t>
                    </m:r>
                  </m:den>
                </m:f>
              </m:oMath>
            </m:oMathPara>
          </w:p>
        </w:tc>
      </w:tr>
      <w:tr w:rsidR="00E3214E" w:rsidRPr="0075090C" w:rsidTr="00772261">
        <w:tc>
          <w:tcPr>
            <w:tcW w:w="529" w:type="dxa"/>
          </w:tcPr>
          <w:p w:rsidR="00E3214E" w:rsidRPr="0075090C" w:rsidRDefault="00E3214E" w:rsidP="00772261">
            <w:pPr>
              <w:spacing w:after="0" w:line="240" w:lineRule="auto"/>
              <w:jc w:val="left"/>
              <w:rPr>
                <w:rFonts w:eastAsia="Times New Roman" w:cs="Times New Roman"/>
                <w:sz w:val="20"/>
                <w:szCs w:val="20"/>
                <w:lang w:eastAsia="en-GB"/>
              </w:rPr>
            </w:pPr>
            <w:r w:rsidRPr="0075090C">
              <w:rPr>
                <w:rFonts w:eastAsia="Times New Roman" w:cs="Times New Roman"/>
                <w:sz w:val="20"/>
                <w:szCs w:val="20"/>
                <w:lang w:eastAsia="en-GB"/>
              </w:rPr>
              <w:t>3</w:t>
            </w:r>
          </w:p>
        </w:tc>
        <w:tc>
          <w:tcPr>
            <w:tcW w:w="8685" w:type="dxa"/>
          </w:tcPr>
          <w:p w:rsidR="00E3214E" w:rsidRPr="0075090C" w:rsidRDefault="00E3214E" w:rsidP="00772261">
            <w:pPr>
              <w:spacing w:after="0" w:line="240" w:lineRule="auto"/>
              <w:jc w:val="left"/>
              <w:rPr>
                <w:rFonts w:eastAsia="Times New Roman" w:cs="Times New Roman"/>
                <w:sz w:val="20"/>
                <w:szCs w:val="20"/>
                <w:lang w:eastAsia="en-GB"/>
              </w:rPr>
            </w:pPr>
            <w:r w:rsidRPr="0075090C">
              <w:rPr>
                <w:rFonts w:eastAsia="Times New Roman" w:cs="Times New Roman"/>
                <w:sz w:val="20"/>
                <w:szCs w:val="20"/>
                <w:lang w:eastAsia="en-GB"/>
              </w:rPr>
              <w:t>Management efficiency</w:t>
            </w:r>
          </w:p>
        </w:tc>
      </w:tr>
      <w:tr w:rsidR="00E3214E" w:rsidRPr="0075090C" w:rsidTr="00772261">
        <w:tc>
          <w:tcPr>
            <w:tcW w:w="529" w:type="dxa"/>
          </w:tcPr>
          <w:p w:rsidR="00E3214E" w:rsidRPr="0075090C" w:rsidRDefault="00E3214E" w:rsidP="00772261">
            <w:pPr>
              <w:spacing w:after="0" w:line="240" w:lineRule="auto"/>
              <w:jc w:val="left"/>
              <w:rPr>
                <w:rFonts w:eastAsia="Times New Roman" w:cs="Times New Roman"/>
                <w:sz w:val="20"/>
                <w:szCs w:val="20"/>
                <w:lang w:eastAsia="en-GB"/>
              </w:rPr>
            </w:pPr>
          </w:p>
        </w:tc>
        <w:tc>
          <w:tcPr>
            <w:tcW w:w="8685" w:type="dxa"/>
          </w:tcPr>
          <w:p w:rsidR="00E3214E" w:rsidRPr="0075090C" w:rsidRDefault="00E3214E" w:rsidP="00772261">
            <w:pPr>
              <w:spacing w:after="0" w:line="240" w:lineRule="auto"/>
              <w:jc w:val="left"/>
              <w:rPr>
                <w:rFonts w:eastAsia="Times New Roman" w:cs="Times New Roman"/>
                <w:sz w:val="20"/>
                <w:szCs w:val="20"/>
                <w:lang w:eastAsia="en-GB"/>
              </w:rPr>
            </w:pPr>
            <m:oMathPara>
              <m:oMath>
                <m:r>
                  <w:rPr>
                    <w:rFonts w:ascii="Cambria Math" w:eastAsia="Times New Roman" w:hAnsi="Cambria Math" w:cs="Times New Roman"/>
                    <w:sz w:val="20"/>
                    <w:szCs w:val="20"/>
                    <w:lang w:eastAsia="en-GB"/>
                  </w:rPr>
                  <m:t>Expense ratio=</m:t>
                </m:r>
                <m:f>
                  <m:fPr>
                    <m:ctrlPr>
                      <w:rPr>
                        <w:rFonts w:ascii="Cambria Math" w:eastAsia="Times New Roman" w:hAnsi="Cambria Math" w:cs="Times New Roman"/>
                        <w:i/>
                        <w:sz w:val="20"/>
                        <w:szCs w:val="20"/>
                        <w:lang w:eastAsia="en-GB"/>
                      </w:rPr>
                    </m:ctrlPr>
                  </m:fPr>
                  <m:num>
                    <m:r>
                      <w:rPr>
                        <w:rFonts w:ascii="Cambria Math" w:eastAsia="Times New Roman" w:hAnsi="Cambria Math" w:cs="Times New Roman"/>
                        <w:sz w:val="20"/>
                        <w:szCs w:val="20"/>
                        <w:lang w:eastAsia="en-GB"/>
                      </w:rPr>
                      <m:t>Operating expense</m:t>
                    </m:r>
                  </m:num>
                  <m:den>
                    <m:r>
                      <w:rPr>
                        <w:rFonts w:ascii="Cambria Math" w:eastAsia="Times New Roman" w:hAnsi="Cambria Math" w:cs="Times New Roman"/>
                        <w:sz w:val="20"/>
                        <w:szCs w:val="20"/>
                        <w:lang w:eastAsia="en-GB"/>
                      </w:rPr>
                      <m:t>Average asset</m:t>
                    </m:r>
                  </m:den>
                </m:f>
              </m:oMath>
            </m:oMathPara>
          </w:p>
        </w:tc>
      </w:tr>
      <w:tr w:rsidR="00E3214E" w:rsidRPr="0075090C" w:rsidTr="00772261">
        <w:tc>
          <w:tcPr>
            <w:tcW w:w="529" w:type="dxa"/>
          </w:tcPr>
          <w:p w:rsidR="00E3214E" w:rsidRPr="0075090C" w:rsidRDefault="00E3214E" w:rsidP="00772261">
            <w:pPr>
              <w:spacing w:after="0" w:line="240" w:lineRule="auto"/>
              <w:jc w:val="left"/>
              <w:rPr>
                <w:rFonts w:eastAsia="Times New Roman" w:cs="Times New Roman"/>
                <w:sz w:val="20"/>
                <w:szCs w:val="20"/>
                <w:lang w:eastAsia="en-GB"/>
              </w:rPr>
            </w:pPr>
            <w:r w:rsidRPr="0075090C">
              <w:rPr>
                <w:rFonts w:eastAsia="Times New Roman" w:cs="Times New Roman"/>
                <w:sz w:val="20"/>
                <w:szCs w:val="20"/>
                <w:lang w:eastAsia="en-GB"/>
              </w:rPr>
              <w:t>4</w:t>
            </w:r>
          </w:p>
        </w:tc>
        <w:tc>
          <w:tcPr>
            <w:tcW w:w="8685" w:type="dxa"/>
          </w:tcPr>
          <w:p w:rsidR="00E3214E" w:rsidRPr="0075090C" w:rsidRDefault="00E3214E" w:rsidP="00772261">
            <w:pPr>
              <w:spacing w:after="0" w:line="240" w:lineRule="auto"/>
              <w:jc w:val="left"/>
              <w:rPr>
                <w:rFonts w:eastAsia="Times New Roman" w:cs="Times New Roman"/>
                <w:sz w:val="20"/>
                <w:szCs w:val="20"/>
                <w:lang w:eastAsia="en-GB"/>
              </w:rPr>
            </w:pPr>
            <w:r w:rsidRPr="0075090C">
              <w:rPr>
                <w:rFonts w:eastAsia="Times New Roman" w:cs="Times New Roman"/>
                <w:sz w:val="20"/>
                <w:szCs w:val="20"/>
                <w:lang w:eastAsia="en-GB"/>
              </w:rPr>
              <w:t>Cost funds</w:t>
            </w:r>
          </w:p>
        </w:tc>
      </w:tr>
      <w:tr w:rsidR="00E3214E" w:rsidRPr="0075090C" w:rsidTr="00772261">
        <w:tc>
          <w:tcPr>
            <w:tcW w:w="529" w:type="dxa"/>
          </w:tcPr>
          <w:p w:rsidR="00E3214E" w:rsidRPr="0075090C" w:rsidRDefault="00E3214E" w:rsidP="00772261">
            <w:pPr>
              <w:spacing w:after="0" w:line="240" w:lineRule="auto"/>
              <w:jc w:val="left"/>
              <w:rPr>
                <w:rFonts w:eastAsia="Times New Roman" w:cs="Times New Roman"/>
                <w:sz w:val="20"/>
                <w:szCs w:val="20"/>
                <w:lang w:eastAsia="en-GB"/>
              </w:rPr>
            </w:pPr>
          </w:p>
        </w:tc>
        <w:tc>
          <w:tcPr>
            <w:tcW w:w="8685" w:type="dxa"/>
          </w:tcPr>
          <w:p w:rsidR="00E3214E" w:rsidRPr="0075090C" w:rsidRDefault="00E3214E" w:rsidP="00772261">
            <w:pPr>
              <w:spacing w:after="0" w:line="240" w:lineRule="auto"/>
              <w:jc w:val="left"/>
              <w:rPr>
                <w:rFonts w:eastAsia="Times New Roman" w:cs="Times New Roman"/>
                <w:sz w:val="20"/>
                <w:szCs w:val="20"/>
                <w:lang w:eastAsia="en-GB"/>
              </w:rPr>
            </w:pPr>
            <m:oMathPara>
              <m:oMath>
                <m:r>
                  <m:rPr>
                    <m:sty m:val="p"/>
                  </m:rPr>
                  <w:rPr>
                    <w:rFonts w:ascii="Cambria Math" w:eastAsia="Times New Roman" w:hAnsi="Cambria Math" w:cs="Times New Roman"/>
                    <w:sz w:val="20"/>
                    <w:szCs w:val="20"/>
                    <w:lang w:eastAsia="en-GB"/>
                  </w:rPr>
                  <m:t>CF=</m:t>
                </m:r>
                <m:f>
                  <m:fPr>
                    <m:ctrlPr>
                      <w:rPr>
                        <w:rFonts w:ascii="Cambria Math" w:eastAsia="Times New Roman" w:hAnsi="Cambria Math" w:cs="Times New Roman"/>
                        <w:i/>
                        <w:sz w:val="20"/>
                        <w:szCs w:val="20"/>
                        <w:lang w:eastAsia="en-GB"/>
                      </w:rPr>
                    </m:ctrlPr>
                  </m:fPr>
                  <m:num>
                    <m:r>
                      <w:rPr>
                        <w:rFonts w:ascii="Cambria Math" w:eastAsia="Times New Roman" w:hAnsi="Cambria Math" w:cs="Times New Roman"/>
                        <w:sz w:val="20"/>
                        <w:szCs w:val="20"/>
                        <w:lang w:eastAsia="en-GB"/>
                      </w:rPr>
                      <m:t>Interest expense</m:t>
                    </m:r>
                  </m:num>
                  <m:den>
                    <m:r>
                      <w:rPr>
                        <w:rFonts w:ascii="Cambria Math" w:eastAsia="Times New Roman" w:hAnsi="Cambria Math" w:cs="Times New Roman"/>
                        <w:sz w:val="20"/>
                        <w:szCs w:val="20"/>
                        <w:lang w:eastAsia="en-GB"/>
                      </w:rPr>
                      <m:t>Average interest bearing liabilities and non interest bearing deposits</m:t>
                    </m:r>
                  </m:den>
                </m:f>
              </m:oMath>
            </m:oMathPara>
          </w:p>
        </w:tc>
      </w:tr>
      <w:tr w:rsidR="00E3214E" w:rsidRPr="0075090C" w:rsidTr="00772261">
        <w:tc>
          <w:tcPr>
            <w:tcW w:w="529" w:type="dxa"/>
          </w:tcPr>
          <w:p w:rsidR="00E3214E" w:rsidRPr="0075090C" w:rsidRDefault="00E3214E" w:rsidP="00772261">
            <w:pPr>
              <w:spacing w:after="0" w:line="240" w:lineRule="auto"/>
              <w:jc w:val="left"/>
              <w:rPr>
                <w:rFonts w:eastAsia="Times New Roman" w:cs="Times New Roman"/>
                <w:sz w:val="20"/>
                <w:szCs w:val="20"/>
                <w:lang w:eastAsia="en-GB"/>
              </w:rPr>
            </w:pPr>
            <w:r w:rsidRPr="0075090C">
              <w:rPr>
                <w:rFonts w:eastAsia="Times New Roman" w:cs="Times New Roman"/>
                <w:sz w:val="20"/>
                <w:szCs w:val="20"/>
                <w:lang w:eastAsia="en-GB"/>
              </w:rPr>
              <w:t>5</w:t>
            </w:r>
          </w:p>
        </w:tc>
        <w:tc>
          <w:tcPr>
            <w:tcW w:w="8685" w:type="dxa"/>
          </w:tcPr>
          <w:p w:rsidR="00E3214E" w:rsidRPr="0075090C" w:rsidRDefault="00E3214E" w:rsidP="00772261">
            <w:pPr>
              <w:spacing w:after="0" w:line="240" w:lineRule="auto"/>
              <w:jc w:val="left"/>
              <w:rPr>
                <w:rFonts w:eastAsia="Times New Roman" w:cs="Times New Roman"/>
                <w:sz w:val="20"/>
                <w:szCs w:val="20"/>
                <w:lang w:eastAsia="en-GB"/>
              </w:rPr>
            </w:pPr>
            <w:r w:rsidRPr="0075090C">
              <w:rPr>
                <w:rFonts w:eastAsia="Times New Roman" w:cs="Times New Roman"/>
                <w:sz w:val="20"/>
                <w:szCs w:val="20"/>
                <w:lang w:eastAsia="en-GB"/>
              </w:rPr>
              <w:t>Yield on earning asset (YOEA)</w:t>
            </w:r>
          </w:p>
        </w:tc>
      </w:tr>
      <w:tr w:rsidR="00E3214E" w:rsidRPr="0075090C" w:rsidTr="00772261">
        <w:tc>
          <w:tcPr>
            <w:tcW w:w="529" w:type="dxa"/>
          </w:tcPr>
          <w:p w:rsidR="00E3214E" w:rsidRPr="0075090C" w:rsidRDefault="00E3214E" w:rsidP="00772261">
            <w:pPr>
              <w:spacing w:after="0" w:line="240" w:lineRule="auto"/>
              <w:jc w:val="left"/>
              <w:rPr>
                <w:rFonts w:eastAsia="Times New Roman" w:cs="Times New Roman"/>
                <w:sz w:val="20"/>
                <w:szCs w:val="20"/>
                <w:lang w:eastAsia="en-GB"/>
              </w:rPr>
            </w:pPr>
          </w:p>
        </w:tc>
        <w:tc>
          <w:tcPr>
            <w:tcW w:w="8685" w:type="dxa"/>
          </w:tcPr>
          <w:p w:rsidR="00E3214E" w:rsidRPr="0075090C" w:rsidRDefault="00E3214E" w:rsidP="00772261">
            <w:pPr>
              <w:spacing w:after="0" w:line="240" w:lineRule="auto"/>
              <w:jc w:val="left"/>
              <w:rPr>
                <w:rFonts w:eastAsia="Times New Roman" w:cs="Times New Roman"/>
                <w:sz w:val="20"/>
                <w:szCs w:val="20"/>
                <w:lang w:eastAsia="en-GB"/>
              </w:rPr>
            </w:pPr>
            <m:oMathPara>
              <m:oMath>
                <m:r>
                  <m:rPr>
                    <m:sty m:val="p"/>
                  </m:rPr>
                  <w:rPr>
                    <w:rFonts w:ascii="Cambria Math" w:eastAsia="Times New Roman" w:hAnsi="Cambria Math" w:cs="Times New Roman"/>
                    <w:sz w:val="20"/>
                    <w:szCs w:val="20"/>
                    <w:lang w:eastAsia="en-GB"/>
                  </w:rPr>
                  <m:t>YOEA=</m:t>
                </m:r>
                <m:f>
                  <m:fPr>
                    <m:ctrlPr>
                      <w:rPr>
                        <w:rFonts w:ascii="Cambria Math" w:eastAsia="Times New Roman" w:hAnsi="Cambria Math" w:cs="Times New Roman"/>
                        <w:i/>
                        <w:sz w:val="20"/>
                        <w:szCs w:val="20"/>
                        <w:lang w:eastAsia="en-GB"/>
                      </w:rPr>
                    </m:ctrlPr>
                  </m:fPr>
                  <m:num>
                    <m:r>
                      <w:rPr>
                        <w:rFonts w:ascii="Cambria Math" w:eastAsia="Times New Roman" w:hAnsi="Cambria Math" w:cs="Times New Roman"/>
                        <w:sz w:val="20"/>
                        <w:szCs w:val="20"/>
                        <w:lang w:eastAsia="en-GB"/>
                      </w:rPr>
                      <m:t>Interest income</m:t>
                    </m:r>
                  </m:num>
                  <m:den>
                    <m:r>
                      <w:rPr>
                        <w:rFonts w:ascii="Cambria Math" w:eastAsia="Times New Roman" w:hAnsi="Cambria Math" w:cs="Times New Roman"/>
                        <w:sz w:val="20"/>
                        <w:szCs w:val="20"/>
                        <w:lang w:eastAsia="en-GB"/>
                      </w:rPr>
                      <m:t>Average earning asset</m:t>
                    </m:r>
                  </m:den>
                </m:f>
              </m:oMath>
            </m:oMathPara>
          </w:p>
        </w:tc>
      </w:tr>
      <w:tr w:rsidR="00E3214E" w:rsidRPr="0075090C" w:rsidTr="00772261">
        <w:tc>
          <w:tcPr>
            <w:tcW w:w="529" w:type="dxa"/>
          </w:tcPr>
          <w:p w:rsidR="00E3214E" w:rsidRPr="0075090C" w:rsidRDefault="00E3214E" w:rsidP="00772261">
            <w:pPr>
              <w:spacing w:after="0" w:line="240" w:lineRule="auto"/>
              <w:jc w:val="left"/>
              <w:rPr>
                <w:rFonts w:eastAsia="Times New Roman" w:cs="Times New Roman"/>
                <w:sz w:val="20"/>
                <w:szCs w:val="20"/>
                <w:lang w:eastAsia="en-GB"/>
              </w:rPr>
            </w:pPr>
            <w:r w:rsidRPr="0075090C">
              <w:rPr>
                <w:rFonts w:eastAsia="Times New Roman" w:cs="Times New Roman"/>
                <w:sz w:val="20"/>
                <w:szCs w:val="20"/>
                <w:lang w:eastAsia="en-GB"/>
              </w:rPr>
              <w:t>6</w:t>
            </w:r>
          </w:p>
        </w:tc>
        <w:tc>
          <w:tcPr>
            <w:tcW w:w="8685" w:type="dxa"/>
          </w:tcPr>
          <w:p w:rsidR="00E3214E" w:rsidRPr="0075090C" w:rsidRDefault="00E3214E" w:rsidP="00772261">
            <w:pPr>
              <w:spacing w:after="0" w:line="240" w:lineRule="auto"/>
              <w:jc w:val="left"/>
              <w:rPr>
                <w:rFonts w:eastAsia="Times New Roman" w:cs="Times New Roman"/>
                <w:sz w:val="20"/>
                <w:szCs w:val="20"/>
                <w:lang w:eastAsia="en-GB"/>
              </w:rPr>
            </w:pPr>
            <w:r w:rsidRPr="0075090C">
              <w:rPr>
                <w:rFonts w:eastAsia="Times New Roman" w:cs="Times New Roman"/>
                <w:sz w:val="20"/>
                <w:szCs w:val="20"/>
                <w:lang w:eastAsia="en-GB"/>
              </w:rPr>
              <w:t>Diversification</w:t>
            </w:r>
          </w:p>
        </w:tc>
      </w:tr>
      <w:tr w:rsidR="00E3214E" w:rsidRPr="0075090C" w:rsidTr="00772261">
        <w:tc>
          <w:tcPr>
            <w:tcW w:w="529" w:type="dxa"/>
          </w:tcPr>
          <w:p w:rsidR="00E3214E" w:rsidRPr="0075090C" w:rsidRDefault="00E3214E" w:rsidP="00772261">
            <w:pPr>
              <w:spacing w:after="0" w:line="240" w:lineRule="auto"/>
              <w:jc w:val="left"/>
              <w:rPr>
                <w:rFonts w:eastAsia="Times New Roman" w:cs="Times New Roman"/>
                <w:sz w:val="20"/>
                <w:szCs w:val="20"/>
                <w:lang w:eastAsia="en-GB"/>
              </w:rPr>
            </w:pPr>
          </w:p>
        </w:tc>
        <w:tc>
          <w:tcPr>
            <w:tcW w:w="8685" w:type="dxa"/>
          </w:tcPr>
          <w:p w:rsidR="00E3214E" w:rsidRPr="009264CE" w:rsidRDefault="00E3214E" w:rsidP="00772261">
            <w:pPr>
              <w:spacing w:after="0" w:line="240" w:lineRule="auto"/>
              <w:jc w:val="left"/>
              <w:rPr>
                <w:rFonts w:eastAsia="Times New Roman" w:cs="Times New Roman"/>
                <w:szCs w:val="24"/>
                <w:lang w:eastAsia="en-GB"/>
              </w:rPr>
            </w:pPr>
            <m:oMathPara>
              <m:oMath>
                <m:r>
                  <m:rPr>
                    <m:sty m:val="p"/>
                  </m:rPr>
                  <w:rPr>
                    <w:rFonts w:ascii="Cambria Math" w:eastAsia="Times New Roman" w:hAnsi="Cambria Math" w:cs="Times New Roman"/>
                    <w:szCs w:val="24"/>
                    <w:lang w:eastAsia="en-GB"/>
                  </w:rPr>
                  <m:t>Diversification</m:t>
                </m:r>
                <m:r>
                  <w:rPr>
                    <w:rFonts w:ascii="Cambria Math" w:eastAsia="Times New Roman" w:hAnsi="Cambria Math" w:cs="Times New Roman"/>
                    <w:szCs w:val="24"/>
                    <w:lang w:eastAsia="en-GB"/>
                  </w:rPr>
                  <m:t>=</m:t>
                </m:r>
                <m:f>
                  <m:fPr>
                    <m:ctrlPr>
                      <w:rPr>
                        <w:rFonts w:ascii="Cambria Math" w:eastAsia="Times New Roman" w:hAnsi="Cambria Math" w:cs="Times New Roman"/>
                        <w:i/>
                        <w:szCs w:val="24"/>
                        <w:lang w:eastAsia="en-GB"/>
                      </w:rPr>
                    </m:ctrlPr>
                  </m:fPr>
                  <m:num>
                    <m:r>
                      <w:rPr>
                        <w:rFonts w:ascii="Cambria Math" w:eastAsia="Times New Roman" w:hAnsi="Cambria Math" w:cs="Times New Roman"/>
                        <w:szCs w:val="24"/>
                        <w:lang w:eastAsia="en-GB"/>
                      </w:rPr>
                      <m:t xml:space="preserve">non-interest income </m:t>
                    </m:r>
                  </m:num>
                  <m:den>
                    <m:r>
                      <w:rPr>
                        <w:rFonts w:ascii="Cambria Math" w:eastAsia="Times New Roman" w:hAnsi="Cambria Math" w:cs="Times New Roman"/>
                        <w:szCs w:val="24"/>
                        <w:lang w:eastAsia="en-GB"/>
                      </w:rPr>
                      <m:t>total assets</m:t>
                    </m:r>
                  </m:den>
                </m:f>
              </m:oMath>
            </m:oMathPara>
          </w:p>
        </w:tc>
      </w:tr>
      <w:tr w:rsidR="00E3214E" w:rsidRPr="0075090C" w:rsidTr="00772261">
        <w:tc>
          <w:tcPr>
            <w:tcW w:w="529" w:type="dxa"/>
          </w:tcPr>
          <w:p w:rsidR="00E3214E" w:rsidRPr="0075090C" w:rsidRDefault="00E3214E" w:rsidP="00772261">
            <w:pPr>
              <w:spacing w:after="0" w:line="240" w:lineRule="auto"/>
              <w:jc w:val="left"/>
              <w:rPr>
                <w:rFonts w:eastAsia="Times New Roman" w:cs="Times New Roman"/>
                <w:sz w:val="20"/>
                <w:szCs w:val="20"/>
                <w:lang w:eastAsia="en-GB"/>
              </w:rPr>
            </w:pPr>
            <w:r w:rsidRPr="0075090C">
              <w:rPr>
                <w:rFonts w:eastAsia="Times New Roman" w:cs="Times New Roman"/>
                <w:sz w:val="20"/>
                <w:szCs w:val="20"/>
                <w:lang w:eastAsia="en-GB"/>
              </w:rPr>
              <w:t>7</w:t>
            </w:r>
          </w:p>
        </w:tc>
        <w:tc>
          <w:tcPr>
            <w:tcW w:w="8685" w:type="dxa"/>
          </w:tcPr>
          <w:p w:rsidR="00E3214E" w:rsidRPr="009264CE" w:rsidRDefault="00E3214E" w:rsidP="00772261">
            <w:pPr>
              <w:spacing w:after="0" w:line="240" w:lineRule="auto"/>
              <w:jc w:val="left"/>
              <w:rPr>
                <w:rFonts w:eastAsia="Times New Roman" w:cs="Times New Roman"/>
                <w:szCs w:val="24"/>
                <w:lang w:eastAsia="en-GB"/>
              </w:rPr>
            </w:pPr>
            <w:r w:rsidRPr="009264CE">
              <w:rPr>
                <w:rFonts w:eastAsia="Times New Roman" w:cs="Times New Roman"/>
                <w:szCs w:val="24"/>
                <w:lang w:eastAsia="en-GB"/>
              </w:rPr>
              <w:t>Credit risk</w:t>
            </w:r>
          </w:p>
        </w:tc>
      </w:tr>
      <w:tr w:rsidR="00E3214E" w:rsidRPr="0075090C" w:rsidTr="00772261">
        <w:tc>
          <w:tcPr>
            <w:tcW w:w="529" w:type="dxa"/>
          </w:tcPr>
          <w:p w:rsidR="00E3214E" w:rsidRPr="0075090C" w:rsidRDefault="00E3214E" w:rsidP="00772261">
            <w:pPr>
              <w:spacing w:after="0" w:line="240" w:lineRule="auto"/>
              <w:jc w:val="left"/>
              <w:rPr>
                <w:rFonts w:eastAsia="Times New Roman" w:cs="Times New Roman"/>
                <w:sz w:val="20"/>
                <w:szCs w:val="20"/>
                <w:lang w:eastAsia="en-GB"/>
              </w:rPr>
            </w:pPr>
          </w:p>
        </w:tc>
        <w:tc>
          <w:tcPr>
            <w:tcW w:w="8685" w:type="dxa"/>
          </w:tcPr>
          <w:p w:rsidR="00E3214E" w:rsidRPr="0075090C" w:rsidRDefault="00E3214E" w:rsidP="00772261">
            <w:pPr>
              <w:spacing w:after="0" w:line="240" w:lineRule="auto"/>
              <w:jc w:val="left"/>
              <w:rPr>
                <w:rFonts w:eastAsia="Times New Roman" w:cs="Times New Roman"/>
                <w:sz w:val="20"/>
                <w:szCs w:val="20"/>
                <w:lang w:eastAsia="en-GB"/>
              </w:rPr>
            </w:pPr>
            <m:oMathPara>
              <m:oMath>
                <m:r>
                  <m:rPr>
                    <m:sty m:val="p"/>
                  </m:rPr>
                  <w:rPr>
                    <w:rFonts w:ascii="Cambria Math" w:eastAsia="Times New Roman" w:hAnsi="Cambria Math" w:cs="Times New Roman"/>
                    <w:sz w:val="20"/>
                    <w:szCs w:val="20"/>
                    <w:lang w:eastAsia="en-GB"/>
                  </w:rPr>
                  <m:t>loan-loss provision to loan =</m:t>
                </m:r>
                <m:f>
                  <m:fPr>
                    <m:ctrlPr>
                      <w:rPr>
                        <w:rFonts w:ascii="Cambria Math" w:eastAsia="Times New Roman" w:hAnsi="Cambria Math" w:cs="Times New Roman"/>
                        <w:i/>
                        <w:sz w:val="20"/>
                        <w:szCs w:val="20"/>
                        <w:lang w:eastAsia="en-GB"/>
                      </w:rPr>
                    </m:ctrlPr>
                  </m:fPr>
                  <m:num>
                    <m:r>
                      <w:rPr>
                        <w:rFonts w:ascii="Cambria Math" w:eastAsia="Times New Roman" w:hAnsi="Cambria Math" w:cs="Times New Roman"/>
                        <w:sz w:val="20"/>
                        <w:szCs w:val="20"/>
                        <w:lang w:eastAsia="en-GB"/>
                      </w:rPr>
                      <m:t xml:space="preserve"> </m:t>
                    </m:r>
                    <m:r>
                      <m:rPr>
                        <m:sty m:val="p"/>
                      </m:rPr>
                      <w:rPr>
                        <w:rFonts w:ascii="Cambria Math" w:eastAsia="Times New Roman" w:hAnsi="Cambria Math" w:cs="Times New Roman"/>
                        <w:sz w:val="20"/>
                        <w:szCs w:val="20"/>
                        <w:lang w:eastAsia="en-GB"/>
                      </w:rPr>
                      <m:t>Charge for impairment</m:t>
                    </m:r>
                  </m:num>
                  <m:den>
                    <m:r>
                      <m:rPr>
                        <m:sty m:val="p"/>
                      </m:rPr>
                      <w:rPr>
                        <w:rFonts w:ascii="Cambria Math" w:eastAsia="Times New Roman" w:hAnsi="Cambria Math" w:cs="Times New Roman"/>
                        <w:sz w:val="20"/>
                        <w:szCs w:val="20"/>
                        <w:lang w:eastAsia="en-GB"/>
                      </w:rPr>
                      <m:t xml:space="preserve"> loan advance</m:t>
                    </m:r>
                  </m:den>
                </m:f>
              </m:oMath>
            </m:oMathPara>
          </w:p>
        </w:tc>
      </w:tr>
      <w:tr w:rsidR="00E3214E" w:rsidRPr="0075090C" w:rsidTr="00772261">
        <w:tc>
          <w:tcPr>
            <w:tcW w:w="529" w:type="dxa"/>
          </w:tcPr>
          <w:p w:rsidR="00E3214E" w:rsidRPr="0075090C" w:rsidRDefault="00E3214E" w:rsidP="00772261">
            <w:pPr>
              <w:spacing w:after="0" w:line="240" w:lineRule="auto"/>
              <w:jc w:val="left"/>
              <w:rPr>
                <w:rFonts w:eastAsia="Times New Roman" w:cs="Times New Roman"/>
                <w:sz w:val="20"/>
                <w:szCs w:val="20"/>
                <w:lang w:eastAsia="en-GB"/>
              </w:rPr>
            </w:pPr>
            <w:r w:rsidRPr="0075090C">
              <w:rPr>
                <w:rFonts w:eastAsia="Times New Roman" w:cs="Times New Roman"/>
                <w:sz w:val="20"/>
                <w:szCs w:val="20"/>
                <w:lang w:eastAsia="en-GB"/>
              </w:rPr>
              <w:t>8</w:t>
            </w:r>
          </w:p>
        </w:tc>
        <w:tc>
          <w:tcPr>
            <w:tcW w:w="8685" w:type="dxa"/>
          </w:tcPr>
          <w:p w:rsidR="00E3214E" w:rsidRPr="0075090C" w:rsidRDefault="00E3214E" w:rsidP="00772261">
            <w:pPr>
              <w:spacing w:after="0" w:line="240" w:lineRule="auto"/>
              <w:jc w:val="left"/>
              <w:rPr>
                <w:rFonts w:eastAsia="Times New Roman" w:cs="Times New Roman"/>
                <w:sz w:val="20"/>
                <w:szCs w:val="20"/>
                <w:lang w:eastAsia="en-GB"/>
              </w:rPr>
            </w:pPr>
            <w:r w:rsidRPr="0075090C">
              <w:rPr>
                <w:rFonts w:eastAsia="Times New Roman" w:cs="Times New Roman"/>
                <w:sz w:val="20"/>
                <w:szCs w:val="20"/>
                <w:lang w:eastAsia="en-GB"/>
              </w:rPr>
              <w:t>Liquidity</w:t>
            </w:r>
          </w:p>
        </w:tc>
      </w:tr>
      <w:tr w:rsidR="00E3214E" w:rsidRPr="0075090C" w:rsidTr="00772261">
        <w:tc>
          <w:tcPr>
            <w:tcW w:w="529" w:type="dxa"/>
          </w:tcPr>
          <w:p w:rsidR="00E3214E" w:rsidRPr="0075090C" w:rsidRDefault="00E3214E" w:rsidP="00772261">
            <w:pPr>
              <w:spacing w:after="0" w:line="240" w:lineRule="auto"/>
              <w:jc w:val="left"/>
              <w:rPr>
                <w:rFonts w:eastAsia="Times New Roman" w:cs="Times New Roman"/>
                <w:sz w:val="20"/>
                <w:szCs w:val="20"/>
                <w:lang w:eastAsia="en-GB"/>
              </w:rPr>
            </w:pPr>
          </w:p>
        </w:tc>
        <w:tc>
          <w:tcPr>
            <w:tcW w:w="8685" w:type="dxa"/>
          </w:tcPr>
          <w:p w:rsidR="00E3214E" w:rsidRPr="0075090C" w:rsidRDefault="00E3214E" w:rsidP="00772261">
            <w:pPr>
              <w:spacing w:after="0" w:line="240" w:lineRule="auto"/>
              <w:jc w:val="left"/>
              <w:rPr>
                <w:rFonts w:eastAsia="Times New Roman" w:cs="Times New Roman"/>
                <w:sz w:val="20"/>
                <w:szCs w:val="20"/>
                <w:lang w:eastAsia="en-GB"/>
              </w:rPr>
            </w:pPr>
            <m:oMathPara>
              <m:oMath>
                <m:r>
                  <m:rPr>
                    <m:sty m:val="p"/>
                  </m:rPr>
                  <w:rPr>
                    <w:rFonts w:ascii="Cambria Math" w:eastAsia="Times New Roman" w:hAnsi="Cambria Math" w:cs="Times New Roman"/>
                    <w:sz w:val="20"/>
                    <w:szCs w:val="20"/>
                    <w:lang w:eastAsia="en-GB"/>
                  </w:rPr>
                  <m:t xml:space="preserve"> Liquidity =</m:t>
                </m:r>
                <m:f>
                  <m:fPr>
                    <m:ctrlPr>
                      <w:rPr>
                        <w:rFonts w:ascii="Cambria Math" w:eastAsia="Times New Roman" w:hAnsi="Cambria Math" w:cs="Times New Roman"/>
                        <w:i/>
                        <w:sz w:val="20"/>
                        <w:szCs w:val="20"/>
                        <w:lang w:eastAsia="en-GB"/>
                      </w:rPr>
                    </m:ctrlPr>
                  </m:fPr>
                  <m:num>
                    <m:r>
                      <w:rPr>
                        <w:rFonts w:ascii="Cambria Math" w:eastAsia="Times New Roman" w:hAnsi="Cambria Math" w:cs="Times New Roman"/>
                        <w:sz w:val="20"/>
                        <w:szCs w:val="20"/>
                        <w:lang w:eastAsia="en-GB"/>
                      </w:rPr>
                      <m:t xml:space="preserve"> </m:t>
                    </m:r>
                    <m:r>
                      <m:rPr>
                        <m:sty m:val="p"/>
                      </m:rPr>
                      <w:rPr>
                        <w:rFonts w:ascii="Cambria Math" w:eastAsia="Times New Roman" w:hAnsi="Cambria Math" w:cs="Times New Roman"/>
                        <w:sz w:val="20"/>
                        <w:szCs w:val="20"/>
                        <w:lang w:eastAsia="en-GB"/>
                      </w:rPr>
                      <m:t xml:space="preserve">liquid asset </m:t>
                    </m:r>
                  </m:num>
                  <m:den>
                    <m:r>
                      <m:rPr>
                        <m:sty m:val="p"/>
                      </m:rPr>
                      <w:rPr>
                        <w:rFonts w:ascii="Cambria Math" w:eastAsia="Times New Roman" w:hAnsi="Cambria Math" w:cs="Times New Roman"/>
                        <w:sz w:val="20"/>
                        <w:szCs w:val="20"/>
                        <w:lang w:eastAsia="en-GB"/>
                      </w:rPr>
                      <m:t xml:space="preserve"> total deposits</m:t>
                    </m:r>
                  </m:den>
                </m:f>
              </m:oMath>
            </m:oMathPara>
          </w:p>
        </w:tc>
      </w:tr>
    </w:tbl>
    <w:p w:rsidR="00E3214E" w:rsidRDefault="00E3214E" w:rsidP="00E3214E">
      <w:pPr>
        <w:spacing w:after="0" w:line="240" w:lineRule="auto"/>
        <w:jc w:val="left"/>
        <w:rPr>
          <w:rFonts w:eastAsia="Times New Roman" w:cs="Times New Roman"/>
          <w:sz w:val="23"/>
          <w:szCs w:val="23"/>
          <w:lang w:eastAsia="en-GB"/>
        </w:rPr>
      </w:pPr>
    </w:p>
    <w:sectPr w:rsidR="00E3214E" w:rsidSect="00DE62C9">
      <w:pgSz w:w="11906" w:h="16838"/>
      <w:pgMar w:top="2155"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61" w:rsidRDefault="00772261" w:rsidP="003247BC">
      <w:pPr>
        <w:spacing w:after="0" w:line="240" w:lineRule="auto"/>
      </w:pPr>
      <w:r>
        <w:separator/>
      </w:r>
    </w:p>
  </w:endnote>
  <w:endnote w:type="continuationSeparator" w:id="0">
    <w:p w:rsidR="00772261" w:rsidRDefault="00772261" w:rsidP="00324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618466"/>
      <w:docPartObj>
        <w:docPartGallery w:val="Page Numbers (Bottom of Page)"/>
        <w:docPartUnique/>
      </w:docPartObj>
    </w:sdtPr>
    <w:sdtEndPr>
      <w:rPr>
        <w:noProof/>
      </w:rPr>
    </w:sdtEndPr>
    <w:sdtContent>
      <w:p w:rsidR="00772261" w:rsidRDefault="00772261">
        <w:pPr>
          <w:pStyle w:val="Footer"/>
          <w:jc w:val="center"/>
        </w:pPr>
        <w:r>
          <w:fldChar w:fldCharType="begin"/>
        </w:r>
        <w:r>
          <w:instrText xml:space="preserve"> PAGE   \* MERGEFORMAT </w:instrText>
        </w:r>
        <w:r>
          <w:fldChar w:fldCharType="separate"/>
        </w:r>
        <w:r w:rsidR="00571EB7">
          <w:rPr>
            <w:noProof/>
          </w:rPr>
          <w:t>2</w:t>
        </w:r>
        <w:r>
          <w:rPr>
            <w:noProof/>
          </w:rPr>
          <w:fldChar w:fldCharType="end"/>
        </w:r>
      </w:p>
    </w:sdtContent>
  </w:sdt>
  <w:p w:rsidR="00772261" w:rsidRDefault="007722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61" w:rsidRDefault="00772261" w:rsidP="003247BC">
      <w:pPr>
        <w:spacing w:after="0" w:line="240" w:lineRule="auto"/>
      </w:pPr>
      <w:r>
        <w:separator/>
      </w:r>
    </w:p>
  </w:footnote>
  <w:footnote w:type="continuationSeparator" w:id="0">
    <w:p w:rsidR="00772261" w:rsidRDefault="00772261" w:rsidP="003247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27B3D"/>
    <w:multiLevelType w:val="hybridMultilevel"/>
    <w:tmpl w:val="5E38F53E"/>
    <w:lvl w:ilvl="0" w:tplc="E190EB64">
      <w:start w:val="1"/>
      <w:numFmt w:val="bullet"/>
      <w:pStyle w:val="NoSpacing"/>
      <w:lvlText w:val=""/>
      <w:lvlJc w:val="left"/>
      <w:pPr>
        <w:ind w:left="360" w:hanging="360"/>
      </w:pPr>
      <w:rPr>
        <w:rFonts w:ascii="Symbol" w:hAnsi="Symbol" w:hint="default"/>
        <w:spacing w:val="0"/>
        <w:kern w:val="0"/>
        <w:position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BC38F4"/>
    <w:multiLevelType w:val="hybridMultilevel"/>
    <w:tmpl w:val="41F83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09D3DD2"/>
    <w:multiLevelType w:val="hybridMultilevel"/>
    <w:tmpl w:val="B46AB574"/>
    <w:lvl w:ilvl="0" w:tplc="0EBE02B4">
      <w:start w:val="1"/>
      <w:numFmt w:val="decimal"/>
      <w:lvlText w:val="%1."/>
      <w:lvlJc w:val="left"/>
      <w:pPr>
        <w:ind w:left="2062" w:hanging="360"/>
      </w:pPr>
      <w:rPr>
        <w:rFonts w:ascii="Cambria Math" w:eastAsiaTheme="minorHAnsi" w:hAnsi="Cambria Math" w:hint="default"/>
        <w:i/>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 w15:restartNumberingAfterBreak="0">
    <w:nsid w:val="3A2D1DB5"/>
    <w:multiLevelType w:val="multilevel"/>
    <w:tmpl w:val="25A0E2F6"/>
    <w:styleLink w:val="Style2"/>
    <w:lvl w:ilvl="0">
      <w:start w:val="1"/>
      <w:numFmt w:val="decimal"/>
      <w:lvlText w:val="%1."/>
      <w:lvlJc w:val="left"/>
      <w:pPr>
        <w:ind w:left="360" w:hanging="360"/>
      </w:pPr>
      <w:rPr>
        <w:rFonts w:hint="default"/>
      </w:rPr>
    </w:lvl>
    <w:lvl w:ilvl="1">
      <w:start w:val="1"/>
      <w:numFmt w:val="decimal"/>
      <w:lvlText w:val="%1.%2."/>
      <w:lvlJc w:val="left"/>
      <w:pPr>
        <w:ind w:left="737" w:hanging="737"/>
      </w:pPr>
      <w:rPr>
        <w:rFonts w:hint="default"/>
      </w:rPr>
    </w:lvl>
    <w:lvl w:ilvl="2">
      <w:start w:val="1"/>
      <w:numFmt w:val="decimal"/>
      <w:suff w:val="nothing"/>
      <w:lvlText w:val="%1.%2.%3."/>
      <w:lvlJc w:val="right"/>
      <w:pPr>
        <w:ind w:left="1304" w:hanging="113"/>
      </w:pPr>
      <w:rPr>
        <w:rFonts w:hint="default"/>
      </w:rPr>
    </w:lvl>
    <w:lvl w:ilvl="3">
      <w:start w:val="1"/>
      <w:numFmt w:val="decimal"/>
      <w:suff w:val="nothing"/>
      <w:lvlText w:val="%1.%2.%3.%4."/>
      <w:lvlJc w:val="left"/>
      <w:pPr>
        <w:ind w:left="1758" w:hanging="1758"/>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62AF2F6C"/>
    <w:multiLevelType w:val="hybridMultilevel"/>
    <w:tmpl w:val="1C0EA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64C385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72D451E"/>
    <w:multiLevelType w:val="multilevel"/>
    <w:tmpl w:val="5936C054"/>
    <w:lvl w:ilvl="0">
      <w:start w:val="1"/>
      <w:numFmt w:val="decimal"/>
      <w:pStyle w:val="Heading1"/>
      <w:suff w:val="space"/>
      <w:lvlText w:val="CHAPTER %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7" w15:restartNumberingAfterBreak="0">
    <w:nsid w:val="79D10DE8"/>
    <w:multiLevelType w:val="hybridMultilevel"/>
    <w:tmpl w:val="36663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3"/>
  </w:num>
  <w:num w:numId="4">
    <w:abstractNumId w:val="0"/>
  </w:num>
  <w:num w:numId="5">
    <w:abstractNumId w:val="7"/>
  </w:num>
  <w:num w:numId="6">
    <w:abstractNumId w:val="4"/>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0CC"/>
    <w:rsid w:val="00001BFD"/>
    <w:rsid w:val="0000213E"/>
    <w:rsid w:val="000027CC"/>
    <w:rsid w:val="00003D1F"/>
    <w:rsid w:val="00004FBD"/>
    <w:rsid w:val="000054F0"/>
    <w:rsid w:val="00006C2E"/>
    <w:rsid w:val="00007666"/>
    <w:rsid w:val="00010475"/>
    <w:rsid w:val="00012361"/>
    <w:rsid w:val="00014560"/>
    <w:rsid w:val="0001499B"/>
    <w:rsid w:val="00015CEA"/>
    <w:rsid w:val="00016542"/>
    <w:rsid w:val="00016C16"/>
    <w:rsid w:val="000171F4"/>
    <w:rsid w:val="00017F8A"/>
    <w:rsid w:val="00020DF8"/>
    <w:rsid w:val="000211A9"/>
    <w:rsid w:val="0002404C"/>
    <w:rsid w:val="000261EE"/>
    <w:rsid w:val="0002664C"/>
    <w:rsid w:val="000271D9"/>
    <w:rsid w:val="000272FD"/>
    <w:rsid w:val="0002790B"/>
    <w:rsid w:val="00030D2B"/>
    <w:rsid w:val="00031475"/>
    <w:rsid w:val="00037E0C"/>
    <w:rsid w:val="0004044A"/>
    <w:rsid w:val="00040EBE"/>
    <w:rsid w:val="0004292B"/>
    <w:rsid w:val="00042D14"/>
    <w:rsid w:val="00045E29"/>
    <w:rsid w:val="00047847"/>
    <w:rsid w:val="00047DAB"/>
    <w:rsid w:val="00047FED"/>
    <w:rsid w:val="00047FF8"/>
    <w:rsid w:val="0005239C"/>
    <w:rsid w:val="000528B3"/>
    <w:rsid w:val="0005301D"/>
    <w:rsid w:val="000532BE"/>
    <w:rsid w:val="0005342B"/>
    <w:rsid w:val="00053DC3"/>
    <w:rsid w:val="00054821"/>
    <w:rsid w:val="00060445"/>
    <w:rsid w:val="0006059D"/>
    <w:rsid w:val="000609C5"/>
    <w:rsid w:val="00060E1A"/>
    <w:rsid w:val="000615B9"/>
    <w:rsid w:val="0006181C"/>
    <w:rsid w:val="0006295C"/>
    <w:rsid w:val="00062994"/>
    <w:rsid w:val="000643F4"/>
    <w:rsid w:val="00064B60"/>
    <w:rsid w:val="0006622F"/>
    <w:rsid w:val="000666CD"/>
    <w:rsid w:val="000673E1"/>
    <w:rsid w:val="000713AD"/>
    <w:rsid w:val="00071564"/>
    <w:rsid w:val="00071712"/>
    <w:rsid w:val="000738E3"/>
    <w:rsid w:val="000757A0"/>
    <w:rsid w:val="000760C7"/>
    <w:rsid w:val="000766DF"/>
    <w:rsid w:val="00081307"/>
    <w:rsid w:val="000838C4"/>
    <w:rsid w:val="00084183"/>
    <w:rsid w:val="00085B6B"/>
    <w:rsid w:val="000864CD"/>
    <w:rsid w:val="00086C9D"/>
    <w:rsid w:val="000878EB"/>
    <w:rsid w:val="00091C92"/>
    <w:rsid w:val="00093ECB"/>
    <w:rsid w:val="00093FD6"/>
    <w:rsid w:val="0009594B"/>
    <w:rsid w:val="00095E91"/>
    <w:rsid w:val="00096110"/>
    <w:rsid w:val="000A2245"/>
    <w:rsid w:val="000A25BB"/>
    <w:rsid w:val="000A2F7E"/>
    <w:rsid w:val="000A334F"/>
    <w:rsid w:val="000A4B9E"/>
    <w:rsid w:val="000A7071"/>
    <w:rsid w:val="000A777D"/>
    <w:rsid w:val="000A79AA"/>
    <w:rsid w:val="000A7A35"/>
    <w:rsid w:val="000B0C31"/>
    <w:rsid w:val="000B11F5"/>
    <w:rsid w:val="000B2758"/>
    <w:rsid w:val="000B2E31"/>
    <w:rsid w:val="000B3318"/>
    <w:rsid w:val="000B6C32"/>
    <w:rsid w:val="000C0E2C"/>
    <w:rsid w:val="000C326C"/>
    <w:rsid w:val="000C4C61"/>
    <w:rsid w:val="000C56ED"/>
    <w:rsid w:val="000C57AC"/>
    <w:rsid w:val="000C64D3"/>
    <w:rsid w:val="000C64E0"/>
    <w:rsid w:val="000C7702"/>
    <w:rsid w:val="000D05D8"/>
    <w:rsid w:val="000D1513"/>
    <w:rsid w:val="000D1A95"/>
    <w:rsid w:val="000D59FA"/>
    <w:rsid w:val="000D7958"/>
    <w:rsid w:val="000E2FA3"/>
    <w:rsid w:val="000E3B1C"/>
    <w:rsid w:val="000E3EAA"/>
    <w:rsid w:val="000E4BCE"/>
    <w:rsid w:val="000E4DC0"/>
    <w:rsid w:val="000E6B05"/>
    <w:rsid w:val="000E703C"/>
    <w:rsid w:val="000F01E8"/>
    <w:rsid w:val="000F05C3"/>
    <w:rsid w:val="000F10FC"/>
    <w:rsid w:val="000F1CFF"/>
    <w:rsid w:val="000F267C"/>
    <w:rsid w:val="000F2889"/>
    <w:rsid w:val="000F3811"/>
    <w:rsid w:val="000F752F"/>
    <w:rsid w:val="00101D89"/>
    <w:rsid w:val="00102444"/>
    <w:rsid w:val="001041EE"/>
    <w:rsid w:val="0010768B"/>
    <w:rsid w:val="00113578"/>
    <w:rsid w:val="00114AB8"/>
    <w:rsid w:val="00116035"/>
    <w:rsid w:val="00116276"/>
    <w:rsid w:val="00120188"/>
    <w:rsid w:val="001249FE"/>
    <w:rsid w:val="00124E9E"/>
    <w:rsid w:val="001263A7"/>
    <w:rsid w:val="00127C9E"/>
    <w:rsid w:val="00130F77"/>
    <w:rsid w:val="00131597"/>
    <w:rsid w:val="00131B87"/>
    <w:rsid w:val="001321DB"/>
    <w:rsid w:val="001340FA"/>
    <w:rsid w:val="00134700"/>
    <w:rsid w:val="00135579"/>
    <w:rsid w:val="00135B31"/>
    <w:rsid w:val="00135C8E"/>
    <w:rsid w:val="00135ED5"/>
    <w:rsid w:val="001360DE"/>
    <w:rsid w:val="00136B7E"/>
    <w:rsid w:val="00140402"/>
    <w:rsid w:val="00140764"/>
    <w:rsid w:val="001429BE"/>
    <w:rsid w:val="00143943"/>
    <w:rsid w:val="00144A75"/>
    <w:rsid w:val="001475FA"/>
    <w:rsid w:val="0015014B"/>
    <w:rsid w:val="001530A9"/>
    <w:rsid w:val="00154762"/>
    <w:rsid w:val="00155283"/>
    <w:rsid w:val="00157606"/>
    <w:rsid w:val="0016053C"/>
    <w:rsid w:val="00161C04"/>
    <w:rsid w:val="00161F94"/>
    <w:rsid w:val="00162B21"/>
    <w:rsid w:val="00163A67"/>
    <w:rsid w:val="00165AE9"/>
    <w:rsid w:val="001673C7"/>
    <w:rsid w:val="00172BA4"/>
    <w:rsid w:val="00174AAA"/>
    <w:rsid w:val="00175F67"/>
    <w:rsid w:val="0017690C"/>
    <w:rsid w:val="0018003D"/>
    <w:rsid w:val="00180455"/>
    <w:rsid w:val="0018082D"/>
    <w:rsid w:val="00180DB6"/>
    <w:rsid w:val="00180E9B"/>
    <w:rsid w:val="00180FF3"/>
    <w:rsid w:val="0018141D"/>
    <w:rsid w:val="0018485D"/>
    <w:rsid w:val="00184F10"/>
    <w:rsid w:val="00185201"/>
    <w:rsid w:val="001858E6"/>
    <w:rsid w:val="00186999"/>
    <w:rsid w:val="00186B6C"/>
    <w:rsid w:val="00186D49"/>
    <w:rsid w:val="00187643"/>
    <w:rsid w:val="00192E36"/>
    <w:rsid w:val="00193982"/>
    <w:rsid w:val="00194007"/>
    <w:rsid w:val="0019514D"/>
    <w:rsid w:val="001973EF"/>
    <w:rsid w:val="001A0B02"/>
    <w:rsid w:val="001A51BB"/>
    <w:rsid w:val="001A5AB9"/>
    <w:rsid w:val="001A5C91"/>
    <w:rsid w:val="001A68C7"/>
    <w:rsid w:val="001B0767"/>
    <w:rsid w:val="001B1432"/>
    <w:rsid w:val="001B3154"/>
    <w:rsid w:val="001B3BCB"/>
    <w:rsid w:val="001B41C4"/>
    <w:rsid w:val="001B520A"/>
    <w:rsid w:val="001B5835"/>
    <w:rsid w:val="001B5916"/>
    <w:rsid w:val="001B6FF9"/>
    <w:rsid w:val="001C0456"/>
    <w:rsid w:val="001C051F"/>
    <w:rsid w:val="001C1631"/>
    <w:rsid w:val="001C1D01"/>
    <w:rsid w:val="001C3753"/>
    <w:rsid w:val="001C526A"/>
    <w:rsid w:val="001C6805"/>
    <w:rsid w:val="001C7647"/>
    <w:rsid w:val="001D273A"/>
    <w:rsid w:val="001D2C2B"/>
    <w:rsid w:val="001D5CB7"/>
    <w:rsid w:val="001D6FB6"/>
    <w:rsid w:val="001D7014"/>
    <w:rsid w:val="001E2C14"/>
    <w:rsid w:val="001E3E44"/>
    <w:rsid w:val="001E550F"/>
    <w:rsid w:val="001E67DC"/>
    <w:rsid w:val="001E7474"/>
    <w:rsid w:val="001F0AF5"/>
    <w:rsid w:val="001F1940"/>
    <w:rsid w:val="001F290A"/>
    <w:rsid w:val="001F3387"/>
    <w:rsid w:val="001F3481"/>
    <w:rsid w:val="001F5B74"/>
    <w:rsid w:val="001F5C16"/>
    <w:rsid w:val="001F6365"/>
    <w:rsid w:val="001F6E5E"/>
    <w:rsid w:val="001F70A4"/>
    <w:rsid w:val="002003DB"/>
    <w:rsid w:val="00202603"/>
    <w:rsid w:val="00204409"/>
    <w:rsid w:val="002061AE"/>
    <w:rsid w:val="002161FB"/>
    <w:rsid w:val="0021645B"/>
    <w:rsid w:val="00216520"/>
    <w:rsid w:val="00221D8B"/>
    <w:rsid w:val="002229C1"/>
    <w:rsid w:val="002239EF"/>
    <w:rsid w:val="00224349"/>
    <w:rsid w:val="00224E57"/>
    <w:rsid w:val="00226004"/>
    <w:rsid w:val="00226610"/>
    <w:rsid w:val="00226E90"/>
    <w:rsid w:val="00227A81"/>
    <w:rsid w:val="00233057"/>
    <w:rsid w:val="002344D8"/>
    <w:rsid w:val="00234535"/>
    <w:rsid w:val="00234858"/>
    <w:rsid w:val="00234DD7"/>
    <w:rsid w:val="002350F5"/>
    <w:rsid w:val="00235660"/>
    <w:rsid w:val="0023763B"/>
    <w:rsid w:val="00237789"/>
    <w:rsid w:val="002411D0"/>
    <w:rsid w:val="0024298A"/>
    <w:rsid w:val="00242B79"/>
    <w:rsid w:val="00246216"/>
    <w:rsid w:val="00246541"/>
    <w:rsid w:val="0024708F"/>
    <w:rsid w:val="002472DE"/>
    <w:rsid w:val="00250C5E"/>
    <w:rsid w:val="002529DD"/>
    <w:rsid w:val="002529EA"/>
    <w:rsid w:val="002532FB"/>
    <w:rsid w:val="00255B17"/>
    <w:rsid w:val="00255E20"/>
    <w:rsid w:val="0025632D"/>
    <w:rsid w:val="00256C7E"/>
    <w:rsid w:val="00257271"/>
    <w:rsid w:val="00261B6D"/>
    <w:rsid w:val="00262108"/>
    <w:rsid w:val="0026292E"/>
    <w:rsid w:val="00262F49"/>
    <w:rsid w:val="0026319D"/>
    <w:rsid w:val="002633F5"/>
    <w:rsid w:val="002647E3"/>
    <w:rsid w:val="0026518A"/>
    <w:rsid w:val="00265A0E"/>
    <w:rsid w:val="00265CEE"/>
    <w:rsid w:val="00266807"/>
    <w:rsid w:val="0027123E"/>
    <w:rsid w:val="0027125C"/>
    <w:rsid w:val="00273369"/>
    <w:rsid w:val="002736BA"/>
    <w:rsid w:val="00273E26"/>
    <w:rsid w:val="00276716"/>
    <w:rsid w:val="00277068"/>
    <w:rsid w:val="002810F0"/>
    <w:rsid w:val="00282A37"/>
    <w:rsid w:val="00283725"/>
    <w:rsid w:val="002856AA"/>
    <w:rsid w:val="002872F1"/>
    <w:rsid w:val="00290121"/>
    <w:rsid w:val="0029093D"/>
    <w:rsid w:val="00291789"/>
    <w:rsid w:val="0029191D"/>
    <w:rsid w:val="002936BE"/>
    <w:rsid w:val="00296B8E"/>
    <w:rsid w:val="00296E2A"/>
    <w:rsid w:val="002971D6"/>
    <w:rsid w:val="00297CCB"/>
    <w:rsid w:val="002A0FD7"/>
    <w:rsid w:val="002A2FB0"/>
    <w:rsid w:val="002A31D0"/>
    <w:rsid w:val="002A387E"/>
    <w:rsid w:val="002A6E7D"/>
    <w:rsid w:val="002A7357"/>
    <w:rsid w:val="002A7648"/>
    <w:rsid w:val="002B0EF4"/>
    <w:rsid w:val="002B424B"/>
    <w:rsid w:val="002C17F9"/>
    <w:rsid w:val="002C1902"/>
    <w:rsid w:val="002C2E64"/>
    <w:rsid w:val="002C592F"/>
    <w:rsid w:val="002C5C09"/>
    <w:rsid w:val="002D07DE"/>
    <w:rsid w:val="002D0CD8"/>
    <w:rsid w:val="002D0E77"/>
    <w:rsid w:val="002D1EE1"/>
    <w:rsid w:val="002D2169"/>
    <w:rsid w:val="002D276A"/>
    <w:rsid w:val="002D3D4C"/>
    <w:rsid w:val="002D4FFB"/>
    <w:rsid w:val="002D5971"/>
    <w:rsid w:val="002D600E"/>
    <w:rsid w:val="002D6200"/>
    <w:rsid w:val="002D6ADB"/>
    <w:rsid w:val="002D6C13"/>
    <w:rsid w:val="002E0464"/>
    <w:rsid w:val="002E22B7"/>
    <w:rsid w:val="002E240D"/>
    <w:rsid w:val="002E6E70"/>
    <w:rsid w:val="002E75D8"/>
    <w:rsid w:val="002F17D9"/>
    <w:rsid w:val="002F2DC6"/>
    <w:rsid w:val="003023E2"/>
    <w:rsid w:val="003035D3"/>
    <w:rsid w:val="00304004"/>
    <w:rsid w:val="00305B9C"/>
    <w:rsid w:val="00310762"/>
    <w:rsid w:val="003109FD"/>
    <w:rsid w:val="003125E4"/>
    <w:rsid w:val="00313A81"/>
    <w:rsid w:val="0031429C"/>
    <w:rsid w:val="00314B02"/>
    <w:rsid w:val="00317471"/>
    <w:rsid w:val="00321726"/>
    <w:rsid w:val="00322ED2"/>
    <w:rsid w:val="003247BC"/>
    <w:rsid w:val="00326302"/>
    <w:rsid w:val="00327B7F"/>
    <w:rsid w:val="003306C8"/>
    <w:rsid w:val="003339D4"/>
    <w:rsid w:val="0033435E"/>
    <w:rsid w:val="003344D1"/>
    <w:rsid w:val="00334727"/>
    <w:rsid w:val="00335080"/>
    <w:rsid w:val="0033570A"/>
    <w:rsid w:val="00340E9C"/>
    <w:rsid w:val="00340FFC"/>
    <w:rsid w:val="00343CB3"/>
    <w:rsid w:val="003440E2"/>
    <w:rsid w:val="0034517C"/>
    <w:rsid w:val="003474CA"/>
    <w:rsid w:val="00347659"/>
    <w:rsid w:val="00347D94"/>
    <w:rsid w:val="003501D9"/>
    <w:rsid w:val="00351BE7"/>
    <w:rsid w:val="00351C5C"/>
    <w:rsid w:val="00351DF3"/>
    <w:rsid w:val="0035210A"/>
    <w:rsid w:val="00352BD9"/>
    <w:rsid w:val="003558D3"/>
    <w:rsid w:val="0035597C"/>
    <w:rsid w:val="00355EDD"/>
    <w:rsid w:val="00356CB0"/>
    <w:rsid w:val="00357BBB"/>
    <w:rsid w:val="003607C3"/>
    <w:rsid w:val="00361750"/>
    <w:rsid w:val="00363660"/>
    <w:rsid w:val="00364A7E"/>
    <w:rsid w:val="00364BCD"/>
    <w:rsid w:val="0036548B"/>
    <w:rsid w:val="0036583C"/>
    <w:rsid w:val="00366B00"/>
    <w:rsid w:val="00366B07"/>
    <w:rsid w:val="0036748B"/>
    <w:rsid w:val="0037127F"/>
    <w:rsid w:val="003719AF"/>
    <w:rsid w:val="00375F0D"/>
    <w:rsid w:val="0037671F"/>
    <w:rsid w:val="0037776A"/>
    <w:rsid w:val="00380437"/>
    <w:rsid w:val="00383EEA"/>
    <w:rsid w:val="00387A6E"/>
    <w:rsid w:val="00387C52"/>
    <w:rsid w:val="00392673"/>
    <w:rsid w:val="00393A73"/>
    <w:rsid w:val="00393D35"/>
    <w:rsid w:val="0039495C"/>
    <w:rsid w:val="003960E7"/>
    <w:rsid w:val="003961C7"/>
    <w:rsid w:val="00396AB2"/>
    <w:rsid w:val="003976A4"/>
    <w:rsid w:val="003977B4"/>
    <w:rsid w:val="0039786E"/>
    <w:rsid w:val="003A1F52"/>
    <w:rsid w:val="003A22C4"/>
    <w:rsid w:val="003A28CD"/>
    <w:rsid w:val="003A2BCA"/>
    <w:rsid w:val="003A45C7"/>
    <w:rsid w:val="003A4BBE"/>
    <w:rsid w:val="003A5934"/>
    <w:rsid w:val="003A6C44"/>
    <w:rsid w:val="003A7CCD"/>
    <w:rsid w:val="003B0787"/>
    <w:rsid w:val="003B244B"/>
    <w:rsid w:val="003B25BF"/>
    <w:rsid w:val="003B3A36"/>
    <w:rsid w:val="003B5823"/>
    <w:rsid w:val="003B62D9"/>
    <w:rsid w:val="003B6A39"/>
    <w:rsid w:val="003B775C"/>
    <w:rsid w:val="003B7FCD"/>
    <w:rsid w:val="003C108B"/>
    <w:rsid w:val="003C3BAD"/>
    <w:rsid w:val="003C40FD"/>
    <w:rsid w:val="003C756F"/>
    <w:rsid w:val="003D456D"/>
    <w:rsid w:val="003D4BBB"/>
    <w:rsid w:val="003D4F21"/>
    <w:rsid w:val="003D58B7"/>
    <w:rsid w:val="003D6161"/>
    <w:rsid w:val="003D6BCE"/>
    <w:rsid w:val="003E0872"/>
    <w:rsid w:val="003E138C"/>
    <w:rsid w:val="003E5FBF"/>
    <w:rsid w:val="003E7663"/>
    <w:rsid w:val="003E769F"/>
    <w:rsid w:val="003E76C2"/>
    <w:rsid w:val="003F150E"/>
    <w:rsid w:val="003F3DD7"/>
    <w:rsid w:val="003F3EA8"/>
    <w:rsid w:val="003F4D14"/>
    <w:rsid w:val="004004F8"/>
    <w:rsid w:val="0040251F"/>
    <w:rsid w:val="004051D5"/>
    <w:rsid w:val="00406361"/>
    <w:rsid w:val="00406890"/>
    <w:rsid w:val="00411010"/>
    <w:rsid w:val="004139AE"/>
    <w:rsid w:val="0041506A"/>
    <w:rsid w:val="004163F4"/>
    <w:rsid w:val="00420E15"/>
    <w:rsid w:val="00421162"/>
    <w:rsid w:val="004229A0"/>
    <w:rsid w:val="004231CE"/>
    <w:rsid w:val="0042349A"/>
    <w:rsid w:val="00423579"/>
    <w:rsid w:val="00423772"/>
    <w:rsid w:val="004244A4"/>
    <w:rsid w:val="00424CDD"/>
    <w:rsid w:val="0042693D"/>
    <w:rsid w:val="0043352B"/>
    <w:rsid w:val="0043460E"/>
    <w:rsid w:val="00435D99"/>
    <w:rsid w:val="00435F98"/>
    <w:rsid w:val="0043773C"/>
    <w:rsid w:val="00437D8E"/>
    <w:rsid w:val="00440E88"/>
    <w:rsid w:val="00441585"/>
    <w:rsid w:val="00443C04"/>
    <w:rsid w:val="00445632"/>
    <w:rsid w:val="00454497"/>
    <w:rsid w:val="00454520"/>
    <w:rsid w:val="00454937"/>
    <w:rsid w:val="00455D50"/>
    <w:rsid w:val="00455E06"/>
    <w:rsid w:val="00455F12"/>
    <w:rsid w:val="00456827"/>
    <w:rsid w:val="00456E30"/>
    <w:rsid w:val="004620FE"/>
    <w:rsid w:val="00462A1B"/>
    <w:rsid w:val="00463A98"/>
    <w:rsid w:val="004642C1"/>
    <w:rsid w:val="004652B9"/>
    <w:rsid w:val="00465BBE"/>
    <w:rsid w:val="004668A2"/>
    <w:rsid w:val="00467C52"/>
    <w:rsid w:val="00470CFC"/>
    <w:rsid w:val="00471BDC"/>
    <w:rsid w:val="004725F4"/>
    <w:rsid w:val="00474361"/>
    <w:rsid w:val="0047482A"/>
    <w:rsid w:val="004765A0"/>
    <w:rsid w:val="0047695F"/>
    <w:rsid w:val="00476C4C"/>
    <w:rsid w:val="0048241F"/>
    <w:rsid w:val="00482C83"/>
    <w:rsid w:val="00484303"/>
    <w:rsid w:val="0048561F"/>
    <w:rsid w:val="004862A2"/>
    <w:rsid w:val="0048684F"/>
    <w:rsid w:val="00487290"/>
    <w:rsid w:val="00490A45"/>
    <w:rsid w:val="00490C03"/>
    <w:rsid w:val="004918D6"/>
    <w:rsid w:val="00492137"/>
    <w:rsid w:val="00495279"/>
    <w:rsid w:val="00495597"/>
    <w:rsid w:val="004A1236"/>
    <w:rsid w:val="004A139D"/>
    <w:rsid w:val="004A3F05"/>
    <w:rsid w:val="004A454A"/>
    <w:rsid w:val="004A4A7C"/>
    <w:rsid w:val="004A4BE2"/>
    <w:rsid w:val="004A4D39"/>
    <w:rsid w:val="004A4F13"/>
    <w:rsid w:val="004A4F8F"/>
    <w:rsid w:val="004A57B5"/>
    <w:rsid w:val="004B3031"/>
    <w:rsid w:val="004B407B"/>
    <w:rsid w:val="004B5612"/>
    <w:rsid w:val="004B5DBD"/>
    <w:rsid w:val="004B625F"/>
    <w:rsid w:val="004C2E5D"/>
    <w:rsid w:val="004C3942"/>
    <w:rsid w:val="004C3D6A"/>
    <w:rsid w:val="004C5BF5"/>
    <w:rsid w:val="004C5FA5"/>
    <w:rsid w:val="004C66BC"/>
    <w:rsid w:val="004C6C80"/>
    <w:rsid w:val="004C7A89"/>
    <w:rsid w:val="004C7ABA"/>
    <w:rsid w:val="004D03B0"/>
    <w:rsid w:val="004D0817"/>
    <w:rsid w:val="004D0AC4"/>
    <w:rsid w:val="004D15EF"/>
    <w:rsid w:val="004D2B7F"/>
    <w:rsid w:val="004D3A86"/>
    <w:rsid w:val="004D4188"/>
    <w:rsid w:val="004D5B46"/>
    <w:rsid w:val="004D5CB3"/>
    <w:rsid w:val="004D6E78"/>
    <w:rsid w:val="004D70B7"/>
    <w:rsid w:val="004D72FE"/>
    <w:rsid w:val="004E4568"/>
    <w:rsid w:val="004E4B6B"/>
    <w:rsid w:val="004E5EBD"/>
    <w:rsid w:val="004E622E"/>
    <w:rsid w:val="004F0889"/>
    <w:rsid w:val="004F1803"/>
    <w:rsid w:val="004F68A9"/>
    <w:rsid w:val="004F71A6"/>
    <w:rsid w:val="004F7F2C"/>
    <w:rsid w:val="00502038"/>
    <w:rsid w:val="0050285D"/>
    <w:rsid w:val="00503265"/>
    <w:rsid w:val="00503638"/>
    <w:rsid w:val="005067F0"/>
    <w:rsid w:val="00507396"/>
    <w:rsid w:val="00510003"/>
    <w:rsid w:val="00511544"/>
    <w:rsid w:val="00511566"/>
    <w:rsid w:val="005153F0"/>
    <w:rsid w:val="00515464"/>
    <w:rsid w:val="005164FE"/>
    <w:rsid w:val="00521FEF"/>
    <w:rsid w:val="0052250C"/>
    <w:rsid w:val="00522923"/>
    <w:rsid w:val="0052677F"/>
    <w:rsid w:val="00527D98"/>
    <w:rsid w:val="00530459"/>
    <w:rsid w:val="00532697"/>
    <w:rsid w:val="0053337E"/>
    <w:rsid w:val="0053498A"/>
    <w:rsid w:val="0053596D"/>
    <w:rsid w:val="00536FBE"/>
    <w:rsid w:val="00537F8C"/>
    <w:rsid w:val="00541E93"/>
    <w:rsid w:val="005421B7"/>
    <w:rsid w:val="005422F2"/>
    <w:rsid w:val="00542750"/>
    <w:rsid w:val="00542C46"/>
    <w:rsid w:val="005442FD"/>
    <w:rsid w:val="0054618F"/>
    <w:rsid w:val="005464D9"/>
    <w:rsid w:val="005507B6"/>
    <w:rsid w:val="00550EBB"/>
    <w:rsid w:val="00551BC9"/>
    <w:rsid w:val="00552998"/>
    <w:rsid w:val="005533D5"/>
    <w:rsid w:val="005550CB"/>
    <w:rsid w:val="0056015E"/>
    <w:rsid w:val="00560FFA"/>
    <w:rsid w:val="005631F0"/>
    <w:rsid w:val="0056551A"/>
    <w:rsid w:val="00565989"/>
    <w:rsid w:val="00566727"/>
    <w:rsid w:val="00566968"/>
    <w:rsid w:val="00566A6C"/>
    <w:rsid w:val="00567620"/>
    <w:rsid w:val="005706E1"/>
    <w:rsid w:val="00571EB7"/>
    <w:rsid w:val="00571EF4"/>
    <w:rsid w:val="005720A4"/>
    <w:rsid w:val="00573707"/>
    <w:rsid w:val="005764FE"/>
    <w:rsid w:val="005813B6"/>
    <w:rsid w:val="005814A0"/>
    <w:rsid w:val="00581636"/>
    <w:rsid w:val="005823FD"/>
    <w:rsid w:val="00583126"/>
    <w:rsid w:val="0058383F"/>
    <w:rsid w:val="005843E0"/>
    <w:rsid w:val="00584D78"/>
    <w:rsid w:val="00584DB1"/>
    <w:rsid w:val="00586612"/>
    <w:rsid w:val="00586E64"/>
    <w:rsid w:val="005877D1"/>
    <w:rsid w:val="00587E16"/>
    <w:rsid w:val="00587F13"/>
    <w:rsid w:val="00590077"/>
    <w:rsid w:val="00590D4A"/>
    <w:rsid w:val="00590FC3"/>
    <w:rsid w:val="005916F9"/>
    <w:rsid w:val="005929D2"/>
    <w:rsid w:val="00592F5A"/>
    <w:rsid w:val="0059435A"/>
    <w:rsid w:val="00594EE9"/>
    <w:rsid w:val="005A1C1C"/>
    <w:rsid w:val="005A26ED"/>
    <w:rsid w:val="005A33E4"/>
    <w:rsid w:val="005A3B49"/>
    <w:rsid w:val="005A46BF"/>
    <w:rsid w:val="005A553B"/>
    <w:rsid w:val="005A6AD2"/>
    <w:rsid w:val="005A6C34"/>
    <w:rsid w:val="005B3CF5"/>
    <w:rsid w:val="005B403A"/>
    <w:rsid w:val="005B43BB"/>
    <w:rsid w:val="005B48AD"/>
    <w:rsid w:val="005B524E"/>
    <w:rsid w:val="005B5C41"/>
    <w:rsid w:val="005B7782"/>
    <w:rsid w:val="005C0312"/>
    <w:rsid w:val="005C408D"/>
    <w:rsid w:val="005C59FF"/>
    <w:rsid w:val="005D0AAA"/>
    <w:rsid w:val="005D1106"/>
    <w:rsid w:val="005D5E34"/>
    <w:rsid w:val="005D6136"/>
    <w:rsid w:val="005D7184"/>
    <w:rsid w:val="005E01E1"/>
    <w:rsid w:val="005E2268"/>
    <w:rsid w:val="005E3E52"/>
    <w:rsid w:val="005E527F"/>
    <w:rsid w:val="005E6DA9"/>
    <w:rsid w:val="005F0398"/>
    <w:rsid w:val="005F0D14"/>
    <w:rsid w:val="005F1342"/>
    <w:rsid w:val="005F1BA5"/>
    <w:rsid w:val="005F1FD7"/>
    <w:rsid w:val="005F22AD"/>
    <w:rsid w:val="005F2EC3"/>
    <w:rsid w:val="005F3A5C"/>
    <w:rsid w:val="005F47BA"/>
    <w:rsid w:val="005F52FA"/>
    <w:rsid w:val="005F5726"/>
    <w:rsid w:val="005F667B"/>
    <w:rsid w:val="005F667E"/>
    <w:rsid w:val="005F79FF"/>
    <w:rsid w:val="00600D9B"/>
    <w:rsid w:val="00600E50"/>
    <w:rsid w:val="006021AE"/>
    <w:rsid w:val="0060600E"/>
    <w:rsid w:val="00606093"/>
    <w:rsid w:val="0061512E"/>
    <w:rsid w:val="00620A86"/>
    <w:rsid w:val="00621021"/>
    <w:rsid w:val="0062277C"/>
    <w:rsid w:val="0062392B"/>
    <w:rsid w:val="00626172"/>
    <w:rsid w:val="0063007A"/>
    <w:rsid w:val="00632734"/>
    <w:rsid w:val="00632ADC"/>
    <w:rsid w:val="00632BEE"/>
    <w:rsid w:val="00633102"/>
    <w:rsid w:val="0063604A"/>
    <w:rsid w:val="00636D4A"/>
    <w:rsid w:val="0064102C"/>
    <w:rsid w:val="00642A0A"/>
    <w:rsid w:val="006433F7"/>
    <w:rsid w:val="00643858"/>
    <w:rsid w:val="00643995"/>
    <w:rsid w:val="00645774"/>
    <w:rsid w:val="006461C5"/>
    <w:rsid w:val="0065175C"/>
    <w:rsid w:val="00652D37"/>
    <w:rsid w:val="00653538"/>
    <w:rsid w:val="00654354"/>
    <w:rsid w:val="006601C5"/>
    <w:rsid w:val="0066187B"/>
    <w:rsid w:val="00664172"/>
    <w:rsid w:val="006651C6"/>
    <w:rsid w:val="0066578C"/>
    <w:rsid w:val="00665BED"/>
    <w:rsid w:val="006702F4"/>
    <w:rsid w:val="00670E1F"/>
    <w:rsid w:val="006712E0"/>
    <w:rsid w:val="00672790"/>
    <w:rsid w:val="006727B2"/>
    <w:rsid w:val="006736F9"/>
    <w:rsid w:val="00674DB7"/>
    <w:rsid w:val="00676132"/>
    <w:rsid w:val="006778E6"/>
    <w:rsid w:val="00677F92"/>
    <w:rsid w:val="00680C3C"/>
    <w:rsid w:val="00682C96"/>
    <w:rsid w:val="00683183"/>
    <w:rsid w:val="00686A6F"/>
    <w:rsid w:val="00686FFD"/>
    <w:rsid w:val="00690183"/>
    <w:rsid w:val="00691AE1"/>
    <w:rsid w:val="006924B2"/>
    <w:rsid w:val="006935F0"/>
    <w:rsid w:val="00693CE6"/>
    <w:rsid w:val="00694C12"/>
    <w:rsid w:val="00694DAB"/>
    <w:rsid w:val="006952BF"/>
    <w:rsid w:val="0069574F"/>
    <w:rsid w:val="00697505"/>
    <w:rsid w:val="00697A49"/>
    <w:rsid w:val="006A056A"/>
    <w:rsid w:val="006A06AF"/>
    <w:rsid w:val="006A0A48"/>
    <w:rsid w:val="006A1108"/>
    <w:rsid w:val="006A1A61"/>
    <w:rsid w:val="006A2564"/>
    <w:rsid w:val="006A3C09"/>
    <w:rsid w:val="006A58CA"/>
    <w:rsid w:val="006A6415"/>
    <w:rsid w:val="006A79A1"/>
    <w:rsid w:val="006B0577"/>
    <w:rsid w:val="006B17FA"/>
    <w:rsid w:val="006B3451"/>
    <w:rsid w:val="006B5045"/>
    <w:rsid w:val="006B7876"/>
    <w:rsid w:val="006C1539"/>
    <w:rsid w:val="006C1B28"/>
    <w:rsid w:val="006C33BE"/>
    <w:rsid w:val="006C4C56"/>
    <w:rsid w:val="006C680A"/>
    <w:rsid w:val="006C6DB4"/>
    <w:rsid w:val="006C71C6"/>
    <w:rsid w:val="006C7269"/>
    <w:rsid w:val="006C7B68"/>
    <w:rsid w:val="006D127B"/>
    <w:rsid w:val="006D134D"/>
    <w:rsid w:val="006D22F0"/>
    <w:rsid w:val="006D352E"/>
    <w:rsid w:val="006D52D6"/>
    <w:rsid w:val="006D6527"/>
    <w:rsid w:val="006D7C1F"/>
    <w:rsid w:val="006E3528"/>
    <w:rsid w:val="006E394F"/>
    <w:rsid w:val="006E67CE"/>
    <w:rsid w:val="006E69A5"/>
    <w:rsid w:val="006F2A1C"/>
    <w:rsid w:val="006F36F5"/>
    <w:rsid w:val="006F4555"/>
    <w:rsid w:val="006F4C2C"/>
    <w:rsid w:val="006F4E12"/>
    <w:rsid w:val="006F58D2"/>
    <w:rsid w:val="006F68BA"/>
    <w:rsid w:val="006F6C17"/>
    <w:rsid w:val="006F78B4"/>
    <w:rsid w:val="006F7D87"/>
    <w:rsid w:val="0070016B"/>
    <w:rsid w:val="007002E7"/>
    <w:rsid w:val="007005BB"/>
    <w:rsid w:val="00701C86"/>
    <w:rsid w:val="00701F26"/>
    <w:rsid w:val="00706497"/>
    <w:rsid w:val="00707720"/>
    <w:rsid w:val="007100E5"/>
    <w:rsid w:val="00710479"/>
    <w:rsid w:val="00710B23"/>
    <w:rsid w:val="00710CDA"/>
    <w:rsid w:val="0071325D"/>
    <w:rsid w:val="00713337"/>
    <w:rsid w:val="00714472"/>
    <w:rsid w:val="00714E30"/>
    <w:rsid w:val="00716810"/>
    <w:rsid w:val="007231EC"/>
    <w:rsid w:val="007241FB"/>
    <w:rsid w:val="0072524E"/>
    <w:rsid w:val="007257D6"/>
    <w:rsid w:val="00727CD1"/>
    <w:rsid w:val="00727D97"/>
    <w:rsid w:val="0073273D"/>
    <w:rsid w:val="00733564"/>
    <w:rsid w:val="0073391F"/>
    <w:rsid w:val="00733C86"/>
    <w:rsid w:val="007360C8"/>
    <w:rsid w:val="00736FF3"/>
    <w:rsid w:val="0074050C"/>
    <w:rsid w:val="00740968"/>
    <w:rsid w:val="007418FD"/>
    <w:rsid w:val="00744A94"/>
    <w:rsid w:val="0074635B"/>
    <w:rsid w:val="00746C77"/>
    <w:rsid w:val="00746CB6"/>
    <w:rsid w:val="00746E0F"/>
    <w:rsid w:val="00747786"/>
    <w:rsid w:val="0075090C"/>
    <w:rsid w:val="00752CB0"/>
    <w:rsid w:val="007534D1"/>
    <w:rsid w:val="00753617"/>
    <w:rsid w:val="007546DF"/>
    <w:rsid w:val="00754911"/>
    <w:rsid w:val="0075607E"/>
    <w:rsid w:val="0075731E"/>
    <w:rsid w:val="00760FE1"/>
    <w:rsid w:val="0076182E"/>
    <w:rsid w:val="007628F9"/>
    <w:rsid w:val="00762D4C"/>
    <w:rsid w:val="00764D6C"/>
    <w:rsid w:val="007701F7"/>
    <w:rsid w:val="00770CB1"/>
    <w:rsid w:val="00771502"/>
    <w:rsid w:val="00772261"/>
    <w:rsid w:val="00772A24"/>
    <w:rsid w:val="00774856"/>
    <w:rsid w:val="00781904"/>
    <w:rsid w:val="00782753"/>
    <w:rsid w:val="007830F7"/>
    <w:rsid w:val="00785C29"/>
    <w:rsid w:val="00787AD2"/>
    <w:rsid w:val="0079182B"/>
    <w:rsid w:val="00795CF8"/>
    <w:rsid w:val="00795F03"/>
    <w:rsid w:val="007979C2"/>
    <w:rsid w:val="007A3C98"/>
    <w:rsid w:val="007B0985"/>
    <w:rsid w:val="007B184B"/>
    <w:rsid w:val="007B299B"/>
    <w:rsid w:val="007B5317"/>
    <w:rsid w:val="007B609D"/>
    <w:rsid w:val="007B708D"/>
    <w:rsid w:val="007B71CA"/>
    <w:rsid w:val="007B725C"/>
    <w:rsid w:val="007C0DA4"/>
    <w:rsid w:val="007C2825"/>
    <w:rsid w:val="007C3532"/>
    <w:rsid w:val="007C4906"/>
    <w:rsid w:val="007D0524"/>
    <w:rsid w:val="007D0DCD"/>
    <w:rsid w:val="007D2995"/>
    <w:rsid w:val="007D2F5B"/>
    <w:rsid w:val="007D2F9E"/>
    <w:rsid w:val="007D49C3"/>
    <w:rsid w:val="007D577E"/>
    <w:rsid w:val="007D6477"/>
    <w:rsid w:val="007D66C8"/>
    <w:rsid w:val="007D6FA1"/>
    <w:rsid w:val="007D75DA"/>
    <w:rsid w:val="007D7CD5"/>
    <w:rsid w:val="007E04BA"/>
    <w:rsid w:val="007E1828"/>
    <w:rsid w:val="007E2B19"/>
    <w:rsid w:val="007E2EDE"/>
    <w:rsid w:val="007E32F5"/>
    <w:rsid w:val="007E3F2D"/>
    <w:rsid w:val="007E41E1"/>
    <w:rsid w:val="007E52AE"/>
    <w:rsid w:val="007E5BF6"/>
    <w:rsid w:val="007F0448"/>
    <w:rsid w:val="007F0C04"/>
    <w:rsid w:val="007F223A"/>
    <w:rsid w:val="007F6B11"/>
    <w:rsid w:val="007F73D8"/>
    <w:rsid w:val="008004FC"/>
    <w:rsid w:val="00803137"/>
    <w:rsid w:val="00804057"/>
    <w:rsid w:val="00804784"/>
    <w:rsid w:val="00806713"/>
    <w:rsid w:val="00807260"/>
    <w:rsid w:val="0081062D"/>
    <w:rsid w:val="00814A69"/>
    <w:rsid w:val="0081792B"/>
    <w:rsid w:val="00817BEA"/>
    <w:rsid w:val="0082480A"/>
    <w:rsid w:val="00824FBF"/>
    <w:rsid w:val="00826B21"/>
    <w:rsid w:val="00830A2D"/>
    <w:rsid w:val="00833B22"/>
    <w:rsid w:val="008401DF"/>
    <w:rsid w:val="00840717"/>
    <w:rsid w:val="0084091B"/>
    <w:rsid w:val="00841BC2"/>
    <w:rsid w:val="00842F34"/>
    <w:rsid w:val="00843BA8"/>
    <w:rsid w:val="008443ED"/>
    <w:rsid w:val="008447A8"/>
    <w:rsid w:val="00845745"/>
    <w:rsid w:val="0084735E"/>
    <w:rsid w:val="0084799D"/>
    <w:rsid w:val="00847DF4"/>
    <w:rsid w:val="00850299"/>
    <w:rsid w:val="0085273A"/>
    <w:rsid w:val="0085303F"/>
    <w:rsid w:val="00853159"/>
    <w:rsid w:val="00854489"/>
    <w:rsid w:val="008552BB"/>
    <w:rsid w:val="00857D39"/>
    <w:rsid w:val="00857E88"/>
    <w:rsid w:val="008601AE"/>
    <w:rsid w:val="00862DC5"/>
    <w:rsid w:val="0086457D"/>
    <w:rsid w:val="0086546A"/>
    <w:rsid w:val="00866CD6"/>
    <w:rsid w:val="00867042"/>
    <w:rsid w:val="00867B2B"/>
    <w:rsid w:val="00870301"/>
    <w:rsid w:val="008733E2"/>
    <w:rsid w:val="00873F3D"/>
    <w:rsid w:val="00874838"/>
    <w:rsid w:val="00876821"/>
    <w:rsid w:val="008768DE"/>
    <w:rsid w:val="008806B9"/>
    <w:rsid w:val="008814B8"/>
    <w:rsid w:val="00881889"/>
    <w:rsid w:val="00882F5B"/>
    <w:rsid w:val="00883881"/>
    <w:rsid w:val="008855DA"/>
    <w:rsid w:val="008858BE"/>
    <w:rsid w:val="00885BBB"/>
    <w:rsid w:val="0088690F"/>
    <w:rsid w:val="0089474D"/>
    <w:rsid w:val="0089541C"/>
    <w:rsid w:val="00895BBC"/>
    <w:rsid w:val="00896265"/>
    <w:rsid w:val="008A195E"/>
    <w:rsid w:val="008A2868"/>
    <w:rsid w:val="008A4149"/>
    <w:rsid w:val="008A4503"/>
    <w:rsid w:val="008A5C2B"/>
    <w:rsid w:val="008A69A7"/>
    <w:rsid w:val="008A6FCB"/>
    <w:rsid w:val="008B16F9"/>
    <w:rsid w:val="008B19C3"/>
    <w:rsid w:val="008B352B"/>
    <w:rsid w:val="008B48F2"/>
    <w:rsid w:val="008C4C38"/>
    <w:rsid w:val="008C75C7"/>
    <w:rsid w:val="008D0859"/>
    <w:rsid w:val="008D14AC"/>
    <w:rsid w:val="008D20CC"/>
    <w:rsid w:val="008D39A4"/>
    <w:rsid w:val="008D6418"/>
    <w:rsid w:val="008D6896"/>
    <w:rsid w:val="008D6FBA"/>
    <w:rsid w:val="008D765A"/>
    <w:rsid w:val="008E0055"/>
    <w:rsid w:val="008E07C5"/>
    <w:rsid w:val="008E16F9"/>
    <w:rsid w:val="008E1B7B"/>
    <w:rsid w:val="008E4FCF"/>
    <w:rsid w:val="008E7BFB"/>
    <w:rsid w:val="008F01D9"/>
    <w:rsid w:val="008F106C"/>
    <w:rsid w:val="008F7FF5"/>
    <w:rsid w:val="009020F9"/>
    <w:rsid w:val="00903D2E"/>
    <w:rsid w:val="009057AC"/>
    <w:rsid w:val="00906D6D"/>
    <w:rsid w:val="00907B61"/>
    <w:rsid w:val="00910049"/>
    <w:rsid w:val="00910586"/>
    <w:rsid w:val="0091214D"/>
    <w:rsid w:val="00915BEB"/>
    <w:rsid w:val="009162A2"/>
    <w:rsid w:val="009164B5"/>
    <w:rsid w:val="00916A31"/>
    <w:rsid w:val="00920DD0"/>
    <w:rsid w:val="009234A3"/>
    <w:rsid w:val="009246E6"/>
    <w:rsid w:val="009264CE"/>
    <w:rsid w:val="00935D56"/>
    <w:rsid w:val="00941590"/>
    <w:rsid w:val="009415C6"/>
    <w:rsid w:val="00941803"/>
    <w:rsid w:val="00941EAD"/>
    <w:rsid w:val="00942B6C"/>
    <w:rsid w:val="00943F72"/>
    <w:rsid w:val="009445ED"/>
    <w:rsid w:val="0094561A"/>
    <w:rsid w:val="00955D35"/>
    <w:rsid w:val="009561CB"/>
    <w:rsid w:val="0095681A"/>
    <w:rsid w:val="00956EF1"/>
    <w:rsid w:val="00957668"/>
    <w:rsid w:val="00960A9A"/>
    <w:rsid w:val="0096129F"/>
    <w:rsid w:val="00962388"/>
    <w:rsid w:val="0096466B"/>
    <w:rsid w:val="00966282"/>
    <w:rsid w:val="009662FA"/>
    <w:rsid w:val="00966F33"/>
    <w:rsid w:val="00967557"/>
    <w:rsid w:val="0096783E"/>
    <w:rsid w:val="00971C57"/>
    <w:rsid w:val="00972EE6"/>
    <w:rsid w:val="00973EF3"/>
    <w:rsid w:val="00974908"/>
    <w:rsid w:val="009772A6"/>
    <w:rsid w:val="009779A8"/>
    <w:rsid w:val="00977AB2"/>
    <w:rsid w:val="00981E3D"/>
    <w:rsid w:val="00982D2C"/>
    <w:rsid w:val="0098395B"/>
    <w:rsid w:val="00986C5E"/>
    <w:rsid w:val="00986C60"/>
    <w:rsid w:val="00990059"/>
    <w:rsid w:val="00990882"/>
    <w:rsid w:val="0099280E"/>
    <w:rsid w:val="009A1504"/>
    <w:rsid w:val="009A1A2E"/>
    <w:rsid w:val="009A2C29"/>
    <w:rsid w:val="009A5EE1"/>
    <w:rsid w:val="009A5EF7"/>
    <w:rsid w:val="009A6469"/>
    <w:rsid w:val="009A74E3"/>
    <w:rsid w:val="009B15B3"/>
    <w:rsid w:val="009B1E01"/>
    <w:rsid w:val="009B1EA0"/>
    <w:rsid w:val="009B2D25"/>
    <w:rsid w:val="009B3A74"/>
    <w:rsid w:val="009B456C"/>
    <w:rsid w:val="009B49E4"/>
    <w:rsid w:val="009B55C7"/>
    <w:rsid w:val="009B55FA"/>
    <w:rsid w:val="009B6603"/>
    <w:rsid w:val="009C10A7"/>
    <w:rsid w:val="009C1F59"/>
    <w:rsid w:val="009C2390"/>
    <w:rsid w:val="009C2C28"/>
    <w:rsid w:val="009C2C73"/>
    <w:rsid w:val="009C46C3"/>
    <w:rsid w:val="009C6711"/>
    <w:rsid w:val="009D1272"/>
    <w:rsid w:val="009D1CD2"/>
    <w:rsid w:val="009D3F98"/>
    <w:rsid w:val="009D51A5"/>
    <w:rsid w:val="009D6870"/>
    <w:rsid w:val="009D7CB8"/>
    <w:rsid w:val="009E005E"/>
    <w:rsid w:val="009E06CE"/>
    <w:rsid w:val="009E1873"/>
    <w:rsid w:val="009E2336"/>
    <w:rsid w:val="009E34B4"/>
    <w:rsid w:val="009E3C63"/>
    <w:rsid w:val="009E49FA"/>
    <w:rsid w:val="009E4DF1"/>
    <w:rsid w:val="009F0035"/>
    <w:rsid w:val="009F04A1"/>
    <w:rsid w:val="009F10FB"/>
    <w:rsid w:val="009F2790"/>
    <w:rsid w:val="009F40A2"/>
    <w:rsid w:val="009F75EE"/>
    <w:rsid w:val="00A03FC9"/>
    <w:rsid w:val="00A04091"/>
    <w:rsid w:val="00A0746F"/>
    <w:rsid w:val="00A07A63"/>
    <w:rsid w:val="00A10A70"/>
    <w:rsid w:val="00A111C0"/>
    <w:rsid w:val="00A132EC"/>
    <w:rsid w:val="00A1704F"/>
    <w:rsid w:val="00A176B7"/>
    <w:rsid w:val="00A17C8F"/>
    <w:rsid w:val="00A21256"/>
    <w:rsid w:val="00A22258"/>
    <w:rsid w:val="00A22CA8"/>
    <w:rsid w:val="00A22CA9"/>
    <w:rsid w:val="00A23B52"/>
    <w:rsid w:val="00A26996"/>
    <w:rsid w:val="00A339F6"/>
    <w:rsid w:val="00A34A18"/>
    <w:rsid w:val="00A35169"/>
    <w:rsid w:val="00A35ABD"/>
    <w:rsid w:val="00A364FD"/>
    <w:rsid w:val="00A37867"/>
    <w:rsid w:val="00A421CD"/>
    <w:rsid w:val="00A44309"/>
    <w:rsid w:val="00A44A1D"/>
    <w:rsid w:val="00A44A51"/>
    <w:rsid w:val="00A45677"/>
    <w:rsid w:val="00A45B3F"/>
    <w:rsid w:val="00A50612"/>
    <w:rsid w:val="00A50833"/>
    <w:rsid w:val="00A50873"/>
    <w:rsid w:val="00A518C1"/>
    <w:rsid w:val="00A51B90"/>
    <w:rsid w:val="00A52697"/>
    <w:rsid w:val="00A53196"/>
    <w:rsid w:val="00A5652D"/>
    <w:rsid w:val="00A5690C"/>
    <w:rsid w:val="00A5691E"/>
    <w:rsid w:val="00A56A72"/>
    <w:rsid w:val="00A60555"/>
    <w:rsid w:val="00A6181B"/>
    <w:rsid w:val="00A61899"/>
    <w:rsid w:val="00A62CBB"/>
    <w:rsid w:val="00A63EF7"/>
    <w:rsid w:val="00A65245"/>
    <w:rsid w:val="00A658C9"/>
    <w:rsid w:val="00A66023"/>
    <w:rsid w:val="00A66810"/>
    <w:rsid w:val="00A70173"/>
    <w:rsid w:val="00A71492"/>
    <w:rsid w:val="00A729F9"/>
    <w:rsid w:val="00A7345D"/>
    <w:rsid w:val="00A76BA1"/>
    <w:rsid w:val="00A81E4C"/>
    <w:rsid w:val="00A854FE"/>
    <w:rsid w:val="00A85E9B"/>
    <w:rsid w:val="00A8604D"/>
    <w:rsid w:val="00A8610B"/>
    <w:rsid w:val="00A86277"/>
    <w:rsid w:val="00A873E1"/>
    <w:rsid w:val="00A87711"/>
    <w:rsid w:val="00A938A4"/>
    <w:rsid w:val="00A9414E"/>
    <w:rsid w:val="00A94D1B"/>
    <w:rsid w:val="00A95C4C"/>
    <w:rsid w:val="00A95D48"/>
    <w:rsid w:val="00AA0401"/>
    <w:rsid w:val="00AA0A46"/>
    <w:rsid w:val="00AA1228"/>
    <w:rsid w:val="00AA1571"/>
    <w:rsid w:val="00AA2C33"/>
    <w:rsid w:val="00AA470E"/>
    <w:rsid w:val="00AA67B5"/>
    <w:rsid w:val="00AB1116"/>
    <w:rsid w:val="00AB17C5"/>
    <w:rsid w:val="00AB31DA"/>
    <w:rsid w:val="00AB391A"/>
    <w:rsid w:val="00AB3D62"/>
    <w:rsid w:val="00AB4AAB"/>
    <w:rsid w:val="00AB4E8C"/>
    <w:rsid w:val="00AB65C8"/>
    <w:rsid w:val="00AB735D"/>
    <w:rsid w:val="00AC2E95"/>
    <w:rsid w:val="00AC41F4"/>
    <w:rsid w:val="00AC4A2D"/>
    <w:rsid w:val="00AC6135"/>
    <w:rsid w:val="00AC670E"/>
    <w:rsid w:val="00AC7D44"/>
    <w:rsid w:val="00AD040D"/>
    <w:rsid w:val="00AD1B94"/>
    <w:rsid w:val="00AD3014"/>
    <w:rsid w:val="00AD33C0"/>
    <w:rsid w:val="00AD4E80"/>
    <w:rsid w:val="00AD7DCB"/>
    <w:rsid w:val="00AE16D5"/>
    <w:rsid w:val="00AE18B8"/>
    <w:rsid w:val="00AE55C9"/>
    <w:rsid w:val="00AE7A2B"/>
    <w:rsid w:val="00AE7F23"/>
    <w:rsid w:val="00AF048E"/>
    <w:rsid w:val="00AF20A4"/>
    <w:rsid w:val="00AF2638"/>
    <w:rsid w:val="00AF31AE"/>
    <w:rsid w:val="00AF33BF"/>
    <w:rsid w:val="00AF36F0"/>
    <w:rsid w:val="00AF41C0"/>
    <w:rsid w:val="00AF45C3"/>
    <w:rsid w:val="00AF6EAD"/>
    <w:rsid w:val="00B01C44"/>
    <w:rsid w:val="00B0623D"/>
    <w:rsid w:val="00B07AF2"/>
    <w:rsid w:val="00B1221F"/>
    <w:rsid w:val="00B142F4"/>
    <w:rsid w:val="00B16986"/>
    <w:rsid w:val="00B23338"/>
    <w:rsid w:val="00B23A56"/>
    <w:rsid w:val="00B24817"/>
    <w:rsid w:val="00B275C8"/>
    <w:rsid w:val="00B308FA"/>
    <w:rsid w:val="00B30990"/>
    <w:rsid w:val="00B331C6"/>
    <w:rsid w:val="00B34AD5"/>
    <w:rsid w:val="00B34F3C"/>
    <w:rsid w:val="00B34FCE"/>
    <w:rsid w:val="00B34FE8"/>
    <w:rsid w:val="00B355DF"/>
    <w:rsid w:val="00B35FFA"/>
    <w:rsid w:val="00B37146"/>
    <w:rsid w:val="00B40EF4"/>
    <w:rsid w:val="00B42EB1"/>
    <w:rsid w:val="00B45BA7"/>
    <w:rsid w:val="00B46FD4"/>
    <w:rsid w:val="00B4703C"/>
    <w:rsid w:val="00B50E19"/>
    <w:rsid w:val="00B56197"/>
    <w:rsid w:val="00B575BF"/>
    <w:rsid w:val="00B57BC8"/>
    <w:rsid w:val="00B60CA4"/>
    <w:rsid w:val="00B61255"/>
    <w:rsid w:val="00B62C16"/>
    <w:rsid w:val="00B72B28"/>
    <w:rsid w:val="00B73702"/>
    <w:rsid w:val="00B73AA0"/>
    <w:rsid w:val="00B742F6"/>
    <w:rsid w:val="00B749E3"/>
    <w:rsid w:val="00B7554C"/>
    <w:rsid w:val="00B755DE"/>
    <w:rsid w:val="00B76200"/>
    <w:rsid w:val="00B77046"/>
    <w:rsid w:val="00B80F35"/>
    <w:rsid w:val="00B81102"/>
    <w:rsid w:val="00B81E16"/>
    <w:rsid w:val="00B8254D"/>
    <w:rsid w:val="00B8289B"/>
    <w:rsid w:val="00B83D76"/>
    <w:rsid w:val="00B84F86"/>
    <w:rsid w:val="00B85EAF"/>
    <w:rsid w:val="00B8758A"/>
    <w:rsid w:val="00B87A0C"/>
    <w:rsid w:val="00B87F42"/>
    <w:rsid w:val="00B9269F"/>
    <w:rsid w:val="00B93203"/>
    <w:rsid w:val="00B9518D"/>
    <w:rsid w:val="00B95D01"/>
    <w:rsid w:val="00BA456E"/>
    <w:rsid w:val="00BA4A76"/>
    <w:rsid w:val="00BA568A"/>
    <w:rsid w:val="00BA7194"/>
    <w:rsid w:val="00BA76F7"/>
    <w:rsid w:val="00BB056A"/>
    <w:rsid w:val="00BB23D6"/>
    <w:rsid w:val="00BB2F1A"/>
    <w:rsid w:val="00BB3BAA"/>
    <w:rsid w:val="00BB617B"/>
    <w:rsid w:val="00BB6E22"/>
    <w:rsid w:val="00BC19FA"/>
    <w:rsid w:val="00BC326F"/>
    <w:rsid w:val="00BC3F53"/>
    <w:rsid w:val="00BC5248"/>
    <w:rsid w:val="00BC7455"/>
    <w:rsid w:val="00BD0B52"/>
    <w:rsid w:val="00BD140A"/>
    <w:rsid w:val="00BD37A3"/>
    <w:rsid w:val="00BD3FD3"/>
    <w:rsid w:val="00BD569B"/>
    <w:rsid w:val="00BD5FDE"/>
    <w:rsid w:val="00BD6CBE"/>
    <w:rsid w:val="00BD7965"/>
    <w:rsid w:val="00BE0153"/>
    <w:rsid w:val="00BE0404"/>
    <w:rsid w:val="00BE0BEC"/>
    <w:rsid w:val="00BE120A"/>
    <w:rsid w:val="00BE1A3C"/>
    <w:rsid w:val="00BE1F12"/>
    <w:rsid w:val="00BE3A2F"/>
    <w:rsid w:val="00BE6199"/>
    <w:rsid w:val="00BF0299"/>
    <w:rsid w:val="00BF1721"/>
    <w:rsid w:val="00BF280D"/>
    <w:rsid w:val="00BF3481"/>
    <w:rsid w:val="00BF4D1C"/>
    <w:rsid w:val="00BF51FB"/>
    <w:rsid w:val="00BF533B"/>
    <w:rsid w:val="00BF602F"/>
    <w:rsid w:val="00BF6229"/>
    <w:rsid w:val="00BF6988"/>
    <w:rsid w:val="00BF6B72"/>
    <w:rsid w:val="00C0295D"/>
    <w:rsid w:val="00C04DEF"/>
    <w:rsid w:val="00C101B5"/>
    <w:rsid w:val="00C11698"/>
    <w:rsid w:val="00C12886"/>
    <w:rsid w:val="00C12CF4"/>
    <w:rsid w:val="00C13122"/>
    <w:rsid w:val="00C13A59"/>
    <w:rsid w:val="00C13D81"/>
    <w:rsid w:val="00C14704"/>
    <w:rsid w:val="00C15115"/>
    <w:rsid w:val="00C15E0E"/>
    <w:rsid w:val="00C16B47"/>
    <w:rsid w:val="00C17026"/>
    <w:rsid w:val="00C1794D"/>
    <w:rsid w:val="00C20582"/>
    <w:rsid w:val="00C2114C"/>
    <w:rsid w:val="00C2166A"/>
    <w:rsid w:val="00C228D5"/>
    <w:rsid w:val="00C231E3"/>
    <w:rsid w:val="00C23D09"/>
    <w:rsid w:val="00C240D8"/>
    <w:rsid w:val="00C244AD"/>
    <w:rsid w:val="00C25FC2"/>
    <w:rsid w:val="00C26766"/>
    <w:rsid w:val="00C278A5"/>
    <w:rsid w:val="00C32720"/>
    <w:rsid w:val="00C331A8"/>
    <w:rsid w:val="00C33405"/>
    <w:rsid w:val="00C3485E"/>
    <w:rsid w:val="00C35F86"/>
    <w:rsid w:val="00C36903"/>
    <w:rsid w:val="00C41401"/>
    <w:rsid w:val="00C4188A"/>
    <w:rsid w:val="00C418D5"/>
    <w:rsid w:val="00C4260A"/>
    <w:rsid w:val="00C43AF0"/>
    <w:rsid w:val="00C43D0F"/>
    <w:rsid w:val="00C45809"/>
    <w:rsid w:val="00C503E4"/>
    <w:rsid w:val="00C51312"/>
    <w:rsid w:val="00C5142D"/>
    <w:rsid w:val="00C518D1"/>
    <w:rsid w:val="00C51BE6"/>
    <w:rsid w:val="00C53938"/>
    <w:rsid w:val="00C54961"/>
    <w:rsid w:val="00C5504F"/>
    <w:rsid w:val="00C57795"/>
    <w:rsid w:val="00C61C34"/>
    <w:rsid w:val="00C61EEF"/>
    <w:rsid w:val="00C61FE2"/>
    <w:rsid w:val="00C62CF5"/>
    <w:rsid w:val="00C63E39"/>
    <w:rsid w:val="00C64B19"/>
    <w:rsid w:val="00C669A7"/>
    <w:rsid w:val="00C678C3"/>
    <w:rsid w:val="00C7129A"/>
    <w:rsid w:val="00C7167B"/>
    <w:rsid w:val="00C71D96"/>
    <w:rsid w:val="00C71F53"/>
    <w:rsid w:val="00C726BE"/>
    <w:rsid w:val="00C7374B"/>
    <w:rsid w:val="00C73935"/>
    <w:rsid w:val="00C74166"/>
    <w:rsid w:val="00C74DC4"/>
    <w:rsid w:val="00C762C5"/>
    <w:rsid w:val="00C815ED"/>
    <w:rsid w:val="00C81C33"/>
    <w:rsid w:val="00C823EA"/>
    <w:rsid w:val="00C8438A"/>
    <w:rsid w:val="00C84F09"/>
    <w:rsid w:val="00C85AB2"/>
    <w:rsid w:val="00C86A4C"/>
    <w:rsid w:val="00C87B7E"/>
    <w:rsid w:val="00C90ED6"/>
    <w:rsid w:val="00C91ED3"/>
    <w:rsid w:val="00C92D3C"/>
    <w:rsid w:val="00C93DA4"/>
    <w:rsid w:val="00C9533E"/>
    <w:rsid w:val="00C95967"/>
    <w:rsid w:val="00CA2008"/>
    <w:rsid w:val="00CA24A2"/>
    <w:rsid w:val="00CA3033"/>
    <w:rsid w:val="00CA592E"/>
    <w:rsid w:val="00CA7FFB"/>
    <w:rsid w:val="00CB0ABF"/>
    <w:rsid w:val="00CB2B6E"/>
    <w:rsid w:val="00CB3FAB"/>
    <w:rsid w:val="00CB474B"/>
    <w:rsid w:val="00CB4957"/>
    <w:rsid w:val="00CB55C7"/>
    <w:rsid w:val="00CB6C64"/>
    <w:rsid w:val="00CB72D7"/>
    <w:rsid w:val="00CB7820"/>
    <w:rsid w:val="00CC089F"/>
    <w:rsid w:val="00CC0FE7"/>
    <w:rsid w:val="00CC3435"/>
    <w:rsid w:val="00CC3A6F"/>
    <w:rsid w:val="00CC78B4"/>
    <w:rsid w:val="00CD06D0"/>
    <w:rsid w:val="00CD0D4D"/>
    <w:rsid w:val="00CD0F24"/>
    <w:rsid w:val="00CD226D"/>
    <w:rsid w:val="00CD32FE"/>
    <w:rsid w:val="00CD45FA"/>
    <w:rsid w:val="00CD7975"/>
    <w:rsid w:val="00CE0A78"/>
    <w:rsid w:val="00CE3BEB"/>
    <w:rsid w:val="00CE418B"/>
    <w:rsid w:val="00CE4794"/>
    <w:rsid w:val="00CE5503"/>
    <w:rsid w:val="00CE59E0"/>
    <w:rsid w:val="00CE5BB3"/>
    <w:rsid w:val="00CF54B0"/>
    <w:rsid w:val="00CF5C25"/>
    <w:rsid w:val="00CF7101"/>
    <w:rsid w:val="00D0050B"/>
    <w:rsid w:val="00D02695"/>
    <w:rsid w:val="00D03599"/>
    <w:rsid w:val="00D0382D"/>
    <w:rsid w:val="00D04BA0"/>
    <w:rsid w:val="00D054BA"/>
    <w:rsid w:val="00D05ADD"/>
    <w:rsid w:val="00D104C0"/>
    <w:rsid w:val="00D10A3C"/>
    <w:rsid w:val="00D10D5E"/>
    <w:rsid w:val="00D114C2"/>
    <w:rsid w:val="00D12A54"/>
    <w:rsid w:val="00D13CE9"/>
    <w:rsid w:val="00D13EB9"/>
    <w:rsid w:val="00D1489C"/>
    <w:rsid w:val="00D1693D"/>
    <w:rsid w:val="00D17850"/>
    <w:rsid w:val="00D20777"/>
    <w:rsid w:val="00D20A47"/>
    <w:rsid w:val="00D20D24"/>
    <w:rsid w:val="00D20FCA"/>
    <w:rsid w:val="00D22B52"/>
    <w:rsid w:val="00D27446"/>
    <w:rsid w:val="00D27767"/>
    <w:rsid w:val="00D30601"/>
    <w:rsid w:val="00D31EBC"/>
    <w:rsid w:val="00D32EA9"/>
    <w:rsid w:val="00D34F62"/>
    <w:rsid w:val="00D3713C"/>
    <w:rsid w:val="00D37532"/>
    <w:rsid w:val="00D37A46"/>
    <w:rsid w:val="00D40EC1"/>
    <w:rsid w:val="00D415AE"/>
    <w:rsid w:val="00D41846"/>
    <w:rsid w:val="00D45C71"/>
    <w:rsid w:val="00D51180"/>
    <w:rsid w:val="00D524A1"/>
    <w:rsid w:val="00D55160"/>
    <w:rsid w:val="00D55D2C"/>
    <w:rsid w:val="00D5673D"/>
    <w:rsid w:val="00D5692C"/>
    <w:rsid w:val="00D57959"/>
    <w:rsid w:val="00D57AC8"/>
    <w:rsid w:val="00D60BF7"/>
    <w:rsid w:val="00D60EF2"/>
    <w:rsid w:val="00D62611"/>
    <w:rsid w:val="00D62630"/>
    <w:rsid w:val="00D62759"/>
    <w:rsid w:val="00D66824"/>
    <w:rsid w:val="00D6690C"/>
    <w:rsid w:val="00D716B3"/>
    <w:rsid w:val="00D71AC4"/>
    <w:rsid w:val="00D739CE"/>
    <w:rsid w:val="00D755F3"/>
    <w:rsid w:val="00D765A8"/>
    <w:rsid w:val="00D77B78"/>
    <w:rsid w:val="00D81DCB"/>
    <w:rsid w:val="00D8252D"/>
    <w:rsid w:val="00D82E87"/>
    <w:rsid w:val="00D85A7C"/>
    <w:rsid w:val="00D86BFB"/>
    <w:rsid w:val="00D86ED1"/>
    <w:rsid w:val="00D87E3A"/>
    <w:rsid w:val="00D90272"/>
    <w:rsid w:val="00D90829"/>
    <w:rsid w:val="00D90F1C"/>
    <w:rsid w:val="00D91F9F"/>
    <w:rsid w:val="00D9246C"/>
    <w:rsid w:val="00D92644"/>
    <w:rsid w:val="00D9381F"/>
    <w:rsid w:val="00D94C65"/>
    <w:rsid w:val="00D95F26"/>
    <w:rsid w:val="00D9611E"/>
    <w:rsid w:val="00DA10C8"/>
    <w:rsid w:val="00DA2555"/>
    <w:rsid w:val="00DA37A2"/>
    <w:rsid w:val="00DA521E"/>
    <w:rsid w:val="00DA5BCC"/>
    <w:rsid w:val="00DA651D"/>
    <w:rsid w:val="00DA7358"/>
    <w:rsid w:val="00DB27D8"/>
    <w:rsid w:val="00DB4156"/>
    <w:rsid w:val="00DB51AA"/>
    <w:rsid w:val="00DB5372"/>
    <w:rsid w:val="00DB59F4"/>
    <w:rsid w:val="00DB6CEA"/>
    <w:rsid w:val="00DC05F1"/>
    <w:rsid w:val="00DC2295"/>
    <w:rsid w:val="00DC2C34"/>
    <w:rsid w:val="00DC4AB6"/>
    <w:rsid w:val="00DC4C52"/>
    <w:rsid w:val="00DC4D57"/>
    <w:rsid w:val="00DC5041"/>
    <w:rsid w:val="00DC5C2D"/>
    <w:rsid w:val="00DC5FF1"/>
    <w:rsid w:val="00DC6FEC"/>
    <w:rsid w:val="00DC722D"/>
    <w:rsid w:val="00DD07D9"/>
    <w:rsid w:val="00DD0AC2"/>
    <w:rsid w:val="00DD0D4E"/>
    <w:rsid w:val="00DD158B"/>
    <w:rsid w:val="00DD365D"/>
    <w:rsid w:val="00DD3D4A"/>
    <w:rsid w:val="00DD3E52"/>
    <w:rsid w:val="00DD4516"/>
    <w:rsid w:val="00DD4BE2"/>
    <w:rsid w:val="00DD5D57"/>
    <w:rsid w:val="00DD5E87"/>
    <w:rsid w:val="00DD6957"/>
    <w:rsid w:val="00DD7147"/>
    <w:rsid w:val="00DD75D7"/>
    <w:rsid w:val="00DD7627"/>
    <w:rsid w:val="00DD7FE0"/>
    <w:rsid w:val="00DE02DA"/>
    <w:rsid w:val="00DE07E3"/>
    <w:rsid w:val="00DE1F53"/>
    <w:rsid w:val="00DE4175"/>
    <w:rsid w:val="00DE62C9"/>
    <w:rsid w:val="00DE6E61"/>
    <w:rsid w:val="00DE750F"/>
    <w:rsid w:val="00DF00CC"/>
    <w:rsid w:val="00DF00D2"/>
    <w:rsid w:val="00DF083E"/>
    <w:rsid w:val="00DF0A3D"/>
    <w:rsid w:val="00DF14E8"/>
    <w:rsid w:val="00DF29EF"/>
    <w:rsid w:val="00DF4445"/>
    <w:rsid w:val="00DF4939"/>
    <w:rsid w:val="00DF4D65"/>
    <w:rsid w:val="00DF5623"/>
    <w:rsid w:val="00DF6618"/>
    <w:rsid w:val="00DF7640"/>
    <w:rsid w:val="00E02488"/>
    <w:rsid w:val="00E0532D"/>
    <w:rsid w:val="00E05A06"/>
    <w:rsid w:val="00E06D08"/>
    <w:rsid w:val="00E06F21"/>
    <w:rsid w:val="00E07A4B"/>
    <w:rsid w:val="00E11938"/>
    <w:rsid w:val="00E1421E"/>
    <w:rsid w:val="00E14423"/>
    <w:rsid w:val="00E1555F"/>
    <w:rsid w:val="00E1563E"/>
    <w:rsid w:val="00E15B48"/>
    <w:rsid w:val="00E16FA9"/>
    <w:rsid w:val="00E208CC"/>
    <w:rsid w:val="00E21B13"/>
    <w:rsid w:val="00E23CC0"/>
    <w:rsid w:val="00E305BB"/>
    <w:rsid w:val="00E3214E"/>
    <w:rsid w:val="00E3452C"/>
    <w:rsid w:val="00E35738"/>
    <w:rsid w:val="00E379CF"/>
    <w:rsid w:val="00E40361"/>
    <w:rsid w:val="00E40E8E"/>
    <w:rsid w:val="00E40F62"/>
    <w:rsid w:val="00E418A7"/>
    <w:rsid w:val="00E41E99"/>
    <w:rsid w:val="00E459A6"/>
    <w:rsid w:val="00E45C92"/>
    <w:rsid w:val="00E46E2C"/>
    <w:rsid w:val="00E47885"/>
    <w:rsid w:val="00E519DF"/>
    <w:rsid w:val="00E52BB9"/>
    <w:rsid w:val="00E52BEA"/>
    <w:rsid w:val="00E5397C"/>
    <w:rsid w:val="00E53B2E"/>
    <w:rsid w:val="00E554AD"/>
    <w:rsid w:val="00E60E08"/>
    <w:rsid w:val="00E610FE"/>
    <w:rsid w:val="00E62641"/>
    <w:rsid w:val="00E65FFA"/>
    <w:rsid w:val="00E7137E"/>
    <w:rsid w:val="00E7165E"/>
    <w:rsid w:val="00E716E8"/>
    <w:rsid w:val="00E739D5"/>
    <w:rsid w:val="00E8021D"/>
    <w:rsid w:val="00E8170C"/>
    <w:rsid w:val="00E81BFE"/>
    <w:rsid w:val="00E81FD9"/>
    <w:rsid w:val="00E852DE"/>
    <w:rsid w:val="00E96B1B"/>
    <w:rsid w:val="00E96E7E"/>
    <w:rsid w:val="00E972D6"/>
    <w:rsid w:val="00E97822"/>
    <w:rsid w:val="00EA1129"/>
    <w:rsid w:val="00EA18A5"/>
    <w:rsid w:val="00EA321F"/>
    <w:rsid w:val="00EA54D4"/>
    <w:rsid w:val="00EA5FA0"/>
    <w:rsid w:val="00EA7D06"/>
    <w:rsid w:val="00EB320C"/>
    <w:rsid w:val="00EB404A"/>
    <w:rsid w:val="00EB4087"/>
    <w:rsid w:val="00EB4EC9"/>
    <w:rsid w:val="00EB5DF1"/>
    <w:rsid w:val="00EB653E"/>
    <w:rsid w:val="00EB67FA"/>
    <w:rsid w:val="00EC4028"/>
    <w:rsid w:val="00EC404D"/>
    <w:rsid w:val="00EC47CA"/>
    <w:rsid w:val="00EC5272"/>
    <w:rsid w:val="00EC694E"/>
    <w:rsid w:val="00EC6C48"/>
    <w:rsid w:val="00EC733D"/>
    <w:rsid w:val="00EC7F56"/>
    <w:rsid w:val="00ED29AE"/>
    <w:rsid w:val="00ED353B"/>
    <w:rsid w:val="00ED4A2C"/>
    <w:rsid w:val="00ED6CCF"/>
    <w:rsid w:val="00EE0080"/>
    <w:rsid w:val="00EE02F9"/>
    <w:rsid w:val="00EE044D"/>
    <w:rsid w:val="00EE334A"/>
    <w:rsid w:val="00EE36A2"/>
    <w:rsid w:val="00EE3E72"/>
    <w:rsid w:val="00EE56B1"/>
    <w:rsid w:val="00EE6938"/>
    <w:rsid w:val="00EE6FA5"/>
    <w:rsid w:val="00EE783A"/>
    <w:rsid w:val="00EF40C5"/>
    <w:rsid w:val="00EF5AEF"/>
    <w:rsid w:val="00F01590"/>
    <w:rsid w:val="00F03C12"/>
    <w:rsid w:val="00F06015"/>
    <w:rsid w:val="00F06D27"/>
    <w:rsid w:val="00F07E7F"/>
    <w:rsid w:val="00F13788"/>
    <w:rsid w:val="00F179B3"/>
    <w:rsid w:val="00F20AB3"/>
    <w:rsid w:val="00F20B09"/>
    <w:rsid w:val="00F217D9"/>
    <w:rsid w:val="00F223BF"/>
    <w:rsid w:val="00F233D6"/>
    <w:rsid w:val="00F24F52"/>
    <w:rsid w:val="00F251D9"/>
    <w:rsid w:val="00F26B09"/>
    <w:rsid w:val="00F26B5D"/>
    <w:rsid w:val="00F2726A"/>
    <w:rsid w:val="00F274CF"/>
    <w:rsid w:val="00F278BC"/>
    <w:rsid w:val="00F31BFB"/>
    <w:rsid w:val="00F3651A"/>
    <w:rsid w:val="00F4039F"/>
    <w:rsid w:val="00F405FB"/>
    <w:rsid w:val="00F41B0C"/>
    <w:rsid w:val="00F4209F"/>
    <w:rsid w:val="00F42B5C"/>
    <w:rsid w:val="00F44FB3"/>
    <w:rsid w:val="00F45183"/>
    <w:rsid w:val="00F4770F"/>
    <w:rsid w:val="00F47899"/>
    <w:rsid w:val="00F52F35"/>
    <w:rsid w:val="00F55077"/>
    <w:rsid w:val="00F555C1"/>
    <w:rsid w:val="00F5771A"/>
    <w:rsid w:val="00F6003E"/>
    <w:rsid w:val="00F632F0"/>
    <w:rsid w:val="00F63D42"/>
    <w:rsid w:val="00F6466F"/>
    <w:rsid w:val="00F647D9"/>
    <w:rsid w:val="00F66313"/>
    <w:rsid w:val="00F6786F"/>
    <w:rsid w:val="00F67955"/>
    <w:rsid w:val="00F71DD4"/>
    <w:rsid w:val="00F725F0"/>
    <w:rsid w:val="00F74C83"/>
    <w:rsid w:val="00F76665"/>
    <w:rsid w:val="00F76825"/>
    <w:rsid w:val="00F76C90"/>
    <w:rsid w:val="00F77A4D"/>
    <w:rsid w:val="00F80646"/>
    <w:rsid w:val="00F8191C"/>
    <w:rsid w:val="00F82E5F"/>
    <w:rsid w:val="00F83807"/>
    <w:rsid w:val="00F87DBB"/>
    <w:rsid w:val="00F9109C"/>
    <w:rsid w:val="00F963BA"/>
    <w:rsid w:val="00F973E2"/>
    <w:rsid w:val="00F97B39"/>
    <w:rsid w:val="00FA127E"/>
    <w:rsid w:val="00FA163E"/>
    <w:rsid w:val="00FA1736"/>
    <w:rsid w:val="00FA191E"/>
    <w:rsid w:val="00FA1E53"/>
    <w:rsid w:val="00FA2435"/>
    <w:rsid w:val="00FA2551"/>
    <w:rsid w:val="00FA2B4A"/>
    <w:rsid w:val="00FA3601"/>
    <w:rsid w:val="00FA4847"/>
    <w:rsid w:val="00FA5ACF"/>
    <w:rsid w:val="00FA7367"/>
    <w:rsid w:val="00FA76D1"/>
    <w:rsid w:val="00FB0384"/>
    <w:rsid w:val="00FB13B2"/>
    <w:rsid w:val="00FB259C"/>
    <w:rsid w:val="00FB2A25"/>
    <w:rsid w:val="00FB507D"/>
    <w:rsid w:val="00FC06B0"/>
    <w:rsid w:val="00FC0E6B"/>
    <w:rsid w:val="00FC21F5"/>
    <w:rsid w:val="00FC2BE9"/>
    <w:rsid w:val="00FC31DC"/>
    <w:rsid w:val="00FC48C4"/>
    <w:rsid w:val="00FC5CEE"/>
    <w:rsid w:val="00FD0E61"/>
    <w:rsid w:val="00FD15D7"/>
    <w:rsid w:val="00FD2069"/>
    <w:rsid w:val="00FD2D83"/>
    <w:rsid w:val="00FD35D0"/>
    <w:rsid w:val="00FD3F41"/>
    <w:rsid w:val="00FD4A0C"/>
    <w:rsid w:val="00FD56C4"/>
    <w:rsid w:val="00FD7075"/>
    <w:rsid w:val="00FD7B65"/>
    <w:rsid w:val="00FE18F2"/>
    <w:rsid w:val="00FE68C9"/>
    <w:rsid w:val="00FE7132"/>
    <w:rsid w:val="00FF0936"/>
    <w:rsid w:val="00FF15CC"/>
    <w:rsid w:val="00FF2660"/>
    <w:rsid w:val="00FF3477"/>
    <w:rsid w:val="00FF3698"/>
    <w:rsid w:val="00FF3DD3"/>
    <w:rsid w:val="00FF49F1"/>
    <w:rsid w:val="00FF7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80F63AD-0436-4C85-B5A3-5FC9A672A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C29"/>
    <w:pPr>
      <w:spacing w:after="240"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0A334F"/>
    <w:pPr>
      <w:keepNext/>
      <w:keepLines/>
      <w:numPr>
        <w:numId w:val="2"/>
      </w:numPr>
      <w:spacing w:after="480" w:line="240" w:lineRule="auto"/>
      <w:contextualSpacing/>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CD0F24"/>
    <w:pPr>
      <w:keepNext/>
      <w:keepLines/>
      <w:numPr>
        <w:ilvl w:val="1"/>
        <w:numId w:val="2"/>
      </w:numPr>
      <w:spacing w:before="480" w:line="240" w:lineRule="auto"/>
      <w:contextualSpacing/>
      <w:jc w:val="left"/>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CD0F24"/>
    <w:pPr>
      <w:keepNext/>
      <w:keepLines/>
      <w:numPr>
        <w:ilvl w:val="2"/>
        <w:numId w:val="2"/>
      </w:numPr>
      <w:spacing w:before="480" w:line="240" w:lineRule="auto"/>
      <w:contextualSpacing/>
      <w:jc w:val="left"/>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CD0F24"/>
    <w:pPr>
      <w:keepNext/>
      <w:keepLines/>
      <w:numPr>
        <w:ilvl w:val="3"/>
        <w:numId w:val="2"/>
      </w:numPr>
      <w:spacing w:before="480" w:line="240" w:lineRule="auto"/>
      <w:contextualSpacing/>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semiHidden/>
    <w:unhideWhenUsed/>
    <w:qFormat/>
    <w:rsid w:val="00CD0F24"/>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0F24"/>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D0F24"/>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D0F24"/>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D0F24"/>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D20CC"/>
    <w:rPr>
      <w:color w:val="0000FF"/>
      <w:u w:val="single"/>
    </w:rPr>
  </w:style>
  <w:style w:type="paragraph" w:styleId="BalloonText">
    <w:name w:val="Balloon Text"/>
    <w:basedOn w:val="Normal"/>
    <w:link w:val="BalloonTextChar"/>
    <w:uiPriority w:val="99"/>
    <w:semiHidden/>
    <w:unhideWhenUsed/>
    <w:rsid w:val="008D2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0CC"/>
    <w:rPr>
      <w:rFonts w:ascii="Tahoma" w:hAnsi="Tahoma" w:cs="Tahoma"/>
      <w:sz w:val="16"/>
      <w:szCs w:val="16"/>
    </w:rPr>
  </w:style>
  <w:style w:type="paragraph" w:customStyle="1" w:styleId="PrecontentStyle1">
    <w:name w:val="PrecontentStyle1"/>
    <w:basedOn w:val="Heading1"/>
    <w:next w:val="Normal"/>
    <w:qFormat/>
    <w:rsid w:val="00CD0F24"/>
    <w:pPr>
      <w:numPr>
        <w:numId w:val="0"/>
      </w:numPr>
      <w:autoSpaceDE w:val="0"/>
      <w:autoSpaceDN w:val="0"/>
      <w:adjustRightInd w:val="0"/>
      <w:textboxTightWrap w:val="allLines"/>
    </w:pPr>
    <w:rPr>
      <w:rFonts w:eastAsia="Times New Roman" w:cs="Times New Roman"/>
      <w:color w:val="000000"/>
      <w:szCs w:val="22"/>
      <w:lang w:val="en-ZA" w:eastAsia="en-ZA"/>
    </w:rPr>
  </w:style>
  <w:style w:type="character" w:customStyle="1" w:styleId="Heading1Char">
    <w:name w:val="Heading 1 Char"/>
    <w:basedOn w:val="DefaultParagraphFont"/>
    <w:link w:val="Heading1"/>
    <w:uiPriority w:val="9"/>
    <w:rsid w:val="000A334F"/>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rsid w:val="00CD0F24"/>
    <w:rPr>
      <w:rFonts w:ascii="Times New Roman" w:eastAsiaTheme="majorEastAsia" w:hAnsi="Times New Roman" w:cstheme="majorBidi"/>
      <w:b/>
      <w:bCs/>
      <w:color w:val="000000" w:themeColor="text1"/>
      <w:sz w:val="24"/>
      <w:szCs w:val="26"/>
    </w:rPr>
  </w:style>
  <w:style w:type="paragraph" w:customStyle="1" w:styleId="Paragraph">
    <w:name w:val="Paragraph"/>
    <w:basedOn w:val="Normal"/>
    <w:rsid w:val="008D20CC"/>
    <w:pPr>
      <w:spacing w:after="0"/>
      <w:ind w:firstLine="720"/>
    </w:pPr>
    <w:rPr>
      <w:rFonts w:eastAsia="Times New Roman" w:cs="Times New Roman"/>
      <w:szCs w:val="24"/>
      <w:lang w:val="en-US"/>
    </w:rPr>
  </w:style>
  <w:style w:type="paragraph" w:styleId="Caption">
    <w:name w:val="caption"/>
    <w:basedOn w:val="Normal"/>
    <w:next w:val="Normal"/>
    <w:uiPriority w:val="35"/>
    <w:qFormat/>
    <w:rsid w:val="00B77046"/>
    <w:pPr>
      <w:jc w:val="left"/>
    </w:pPr>
  </w:style>
  <w:style w:type="character" w:customStyle="1" w:styleId="Heading3Char">
    <w:name w:val="Heading 3 Char"/>
    <w:basedOn w:val="DefaultParagraphFont"/>
    <w:link w:val="Heading3"/>
    <w:uiPriority w:val="9"/>
    <w:rsid w:val="00CD0F24"/>
    <w:rPr>
      <w:rFonts w:ascii="Times New Roman" w:eastAsiaTheme="majorEastAsia" w:hAnsi="Times New Roman" w:cstheme="majorBidi"/>
      <w:b/>
      <w:bCs/>
      <w:color w:val="000000" w:themeColor="text1"/>
      <w:sz w:val="24"/>
    </w:rPr>
  </w:style>
  <w:style w:type="character" w:customStyle="1" w:styleId="submitted">
    <w:name w:val="submitted"/>
    <w:rsid w:val="008D20CC"/>
  </w:style>
  <w:style w:type="paragraph" w:customStyle="1" w:styleId="Default">
    <w:name w:val="Default"/>
    <w:rsid w:val="008D20CC"/>
    <w:pPr>
      <w:autoSpaceDE w:val="0"/>
      <w:autoSpaceDN w:val="0"/>
      <w:adjustRightInd w:val="0"/>
      <w:spacing w:after="0" w:line="240" w:lineRule="auto"/>
    </w:pPr>
    <w:rPr>
      <w:rFonts w:ascii="Arial" w:eastAsia="Calibri" w:hAnsi="Arial" w:cs="Arial"/>
      <w:color w:val="000000"/>
      <w:sz w:val="24"/>
      <w:szCs w:val="24"/>
    </w:rPr>
  </w:style>
  <w:style w:type="character" w:styleId="Strong">
    <w:name w:val="Strong"/>
    <w:uiPriority w:val="22"/>
    <w:qFormat/>
    <w:rsid w:val="008D20CC"/>
    <w:rPr>
      <w:b/>
      <w:bCs/>
    </w:rPr>
  </w:style>
  <w:style w:type="paragraph" w:styleId="Header">
    <w:name w:val="header"/>
    <w:basedOn w:val="Normal"/>
    <w:link w:val="HeaderChar"/>
    <w:uiPriority w:val="99"/>
    <w:unhideWhenUsed/>
    <w:rsid w:val="003247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BC"/>
    <w:rPr>
      <w:rFonts w:ascii="Times New Roman" w:hAnsi="Times New Roman"/>
      <w:sz w:val="24"/>
    </w:rPr>
  </w:style>
  <w:style w:type="paragraph" w:styleId="Footer">
    <w:name w:val="footer"/>
    <w:basedOn w:val="Normal"/>
    <w:link w:val="FooterChar"/>
    <w:uiPriority w:val="99"/>
    <w:unhideWhenUsed/>
    <w:rsid w:val="003247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7BC"/>
    <w:rPr>
      <w:rFonts w:ascii="Times New Roman" w:hAnsi="Times New Roman"/>
      <w:sz w:val="24"/>
    </w:rPr>
  </w:style>
  <w:style w:type="paragraph" w:styleId="Title">
    <w:name w:val="Title"/>
    <w:basedOn w:val="Normal"/>
    <w:next w:val="Normal"/>
    <w:link w:val="TitleChar"/>
    <w:uiPriority w:val="10"/>
    <w:qFormat/>
    <w:rsid w:val="004A4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A4F13"/>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CD0F24"/>
    <w:rPr>
      <w:rFonts w:ascii="Times New Roman" w:eastAsiaTheme="majorEastAsia" w:hAnsi="Times New Roman" w:cstheme="majorBidi"/>
      <w:b/>
      <w:bCs/>
      <w:iCs/>
      <w:color w:val="000000" w:themeColor="text1"/>
      <w:sz w:val="24"/>
    </w:rPr>
  </w:style>
  <w:style w:type="character" w:customStyle="1" w:styleId="Heading5Char">
    <w:name w:val="Heading 5 Char"/>
    <w:basedOn w:val="DefaultParagraphFont"/>
    <w:link w:val="Heading5"/>
    <w:uiPriority w:val="9"/>
    <w:semiHidden/>
    <w:rsid w:val="00CD0F24"/>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CD0F24"/>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CD0F2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CD0F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D0F24"/>
    <w:rPr>
      <w:rFonts w:asciiTheme="majorHAnsi" w:eastAsiaTheme="majorEastAsia" w:hAnsiTheme="majorHAnsi" w:cstheme="majorBidi"/>
      <w:i/>
      <w:iCs/>
      <w:color w:val="404040" w:themeColor="text1" w:themeTint="BF"/>
      <w:sz w:val="20"/>
      <w:szCs w:val="20"/>
    </w:rPr>
  </w:style>
  <w:style w:type="paragraph" w:customStyle="1" w:styleId="NoNumbersStyle1">
    <w:name w:val="No NumbersStyle1"/>
    <w:basedOn w:val="Heading1"/>
    <w:qFormat/>
    <w:rsid w:val="00CD7975"/>
    <w:pPr>
      <w:numPr>
        <w:numId w:val="0"/>
      </w:numPr>
      <w:spacing w:line="360" w:lineRule="auto"/>
    </w:pPr>
    <w:rPr>
      <w:sz w:val="24"/>
    </w:rPr>
  </w:style>
  <w:style w:type="paragraph" w:styleId="TOC1">
    <w:name w:val="toc 1"/>
    <w:basedOn w:val="Normal"/>
    <w:next w:val="Normal"/>
    <w:autoRedefine/>
    <w:uiPriority w:val="39"/>
    <w:unhideWhenUsed/>
    <w:rsid w:val="0006295C"/>
    <w:pPr>
      <w:spacing w:after="100"/>
    </w:pPr>
  </w:style>
  <w:style w:type="paragraph" w:styleId="TOC2">
    <w:name w:val="toc 2"/>
    <w:basedOn w:val="Normal"/>
    <w:next w:val="Normal"/>
    <w:autoRedefine/>
    <w:uiPriority w:val="39"/>
    <w:unhideWhenUsed/>
    <w:rsid w:val="0006295C"/>
    <w:pPr>
      <w:spacing w:after="100"/>
      <w:ind w:left="240"/>
    </w:pPr>
  </w:style>
  <w:style w:type="paragraph" w:styleId="TOC3">
    <w:name w:val="toc 3"/>
    <w:basedOn w:val="Normal"/>
    <w:next w:val="Normal"/>
    <w:autoRedefine/>
    <w:uiPriority w:val="39"/>
    <w:unhideWhenUsed/>
    <w:rsid w:val="0006295C"/>
    <w:pPr>
      <w:spacing w:after="100"/>
      <w:ind w:left="480"/>
    </w:pPr>
  </w:style>
  <w:style w:type="paragraph" w:styleId="Bibliography">
    <w:name w:val="Bibliography"/>
    <w:basedOn w:val="Normal"/>
    <w:next w:val="Normal"/>
    <w:uiPriority w:val="37"/>
    <w:unhideWhenUsed/>
    <w:rsid w:val="00B34AD5"/>
    <w:pPr>
      <w:spacing w:after="0" w:line="240" w:lineRule="auto"/>
      <w:ind w:left="720" w:hanging="720"/>
    </w:pPr>
  </w:style>
  <w:style w:type="numbering" w:customStyle="1" w:styleId="Style2">
    <w:name w:val="Style2"/>
    <w:uiPriority w:val="99"/>
    <w:rsid w:val="00297CCB"/>
    <w:pPr>
      <w:numPr>
        <w:numId w:val="3"/>
      </w:numPr>
    </w:pPr>
  </w:style>
  <w:style w:type="paragraph" w:styleId="NoSpacing">
    <w:name w:val="No Spacing"/>
    <w:link w:val="NoSpacingChar"/>
    <w:autoRedefine/>
    <w:uiPriority w:val="1"/>
    <w:qFormat/>
    <w:rsid w:val="00CD7975"/>
    <w:pPr>
      <w:numPr>
        <w:numId w:val="4"/>
      </w:numPr>
      <w:spacing w:after="0" w:line="480" w:lineRule="auto"/>
      <w:jc w:val="both"/>
    </w:pPr>
    <w:rPr>
      <w:rFonts w:ascii="Times New Roman" w:eastAsia="Times New Roman" w:hAnsi="Times New Roman" w:cs="Times New Roman"/>
      <w:color w:val="000000" w:themeColor="text1"/>
      <w:sz w:val="24"/>
      <w:lang w:val="en-US" w:eastAsia="en-ZA"/>
    </w:rPr>
  </w:style>
  <w:style w:type="character" w:customStyle="1" w:styleId="NoSpacingChar">
    <w:name w:val="No Spacing Char"/>
    <w:basedOn w:val="DefaultParagraphFont"/>
    <w:link w:val="NoSpacing"/>
    <w:uiPriority w:val="1"/>
    <w:rsid w:val="00CD7975"/>
    <w:rPr>
      <w:rFonts w:ascii="Times New Roman" w:eastAsia="Times New Roman" w:hAnsi="Times New Roman" w:cs="Times New Roman"/>
      <w:color w:val="000000" w:themeColor="text1"/>
      <w:sz w:val="24"/>
      <w:lang w:val="en-US" w:eastAsia="en-ZA"/>
    </w:rPr>
  </w:style>
  <w:style w:type="table" w:styleId="TableGrid">
    <w:name w:val="Table Grid"/>
    <w:basedOn w:val="TableNormal"/>
    <w:uiPriority w:val="39"/>
    <w:rsid w:val="00247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3D4F21"/>
    <w:pPr>
      <w:autoSpaceDE w:val="0"/>
      <w:autoSpaceDN w:val="0"/>
      <w:adjustRightInd w:val="0"/>
      <w:spacing w:after="0" w:line="241" w:lineRule="atLeast"/>
      <w:jc w:val="left"/>
    </w:pPr>
    <w:rPr>
      <w:rFonts w:ascii="Myriad Pro" w:hAnsi="Myriad Pro"/>
      <w:szCs w:val="24"/>
    </w:rPr>
  </w:style>
  <w:style w:type="character" w:customStyle="1" w:styleId="A4">
    <w:name w:val="A4"/>
    <w:uiPriority w:val="99"/>
    <w:rsid w:val="003D4F21"/>
    <w:rPr>
      <w:rFonts w:cs="Myriad Pro"/>
      <w:color w:val="000000"/>
      <w:sz w:val="18"/>
      <w:szCs w:val="18"/>
    </w:rPr>
  </w:style>
  <w:style w:type="character" w:styleId="IntenseEmphasis">
    <w:name w:val="Intense Emphasis"/>
    <w:basedOn w:val="DefaultParagraphFont"/>
    <w:uiPriority w:val="21"/>
    <w:qFormat/>
    <w:rsid w:val="00326302"/>
    <w:rPr>
      <w:rFonts w:ascii="Times New Roman" w:hAnsi="Times New Roman"/>
      <w:b w:val="0"/>
      <w:bCs/>
      <w:i/>
      <w:iCs/>
      <w:color w:val="000000" w:themeColor="text1"/>
      <w:sz w:val="24"/>
    </w:rPr>
  </w:style>
  <w:style w:type="character" w:styleId="PlaceholderText">
    <w:name w:val="Placeholder Text"/>
    <w:basedOn w:val="DefaultParagraphFont"/>
    <w:uiPriority w:val="99"/>
    <w:semiHidden/>
    <w:rsid w:val="00847DF4"/>
    <w:rPr>
      <w:color w:val="808080"/>
    </w:rPr>
  </w:style>
  <w:style w:type="paragraph" w:styleId="ListParagraph">
    <w:name w:val="List Paragraph"/>
    <w:basedOn w:val="Normal"/>
    <w:uiPriority w:val="34"/>
    <w:qFormat/>
    <w:rsid w:val="00250C5E"/>
    <w:pPr>
      <w:ind w:left="720"/>
      <w:contextualSpacing/>
    </w:pPr>
  </w:style>
  <w:style w:type="table" w:customStyle="1" w:styleId="TableGrid1">
    <w:name w:val="Table Grid1"/>
    <w:basedOn w:val="TableNormal"/>
    <w:next w:val="TableGrid"/>
    <w:uiPriority w:val="59"/>
    <w:rsid w:val="007E4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9C10A7"/>
    <w:pPr>
      <w:spacing w:after="0"/>
    </w:pPr>
  </w:style>
  <w:style w:type="paragraph" w:styleId="TOCHeading">
    <w:name w:val="TOC Heading"/>
    <w:basedOn w:val="Heading1"/>
    <w:next w:val="Normal"/>
    <w:uiPriority w:val="39"/>
    <w:unhideWhenUsed/>
    <w:qFormat/>
    <w:rsid w:val="00E8021D"/>
    <w:pPr>
      <w:numPr>
        <w:numId w:val="0"/>
      </w:numPr>
      <w:spacing w:before="240" w:after="0" w:line="259" w:lineRule="auto"/>
      <w:contextualSpacing w:val="0"/>
      <w:jc w:val="left"/>
      <w:outlineLvl w:val="9"/>
    </w:pPr>
    <w:rPr>
      <w:rFonts w:asciiTheme="majorHAnsi" w:hAnsiTheme="majorHAnsi"/>
      <w:b w:val="0"/>
      <w:bCs w:val="0"/>
      <w:color w:val="365F91" w:themeColor="accent1" w:themeShade="BF"/>
      <w:sz w:val="32"/>
      <w:szCs w:val="32"/>
      <w:lang w:val="en-US"/>
    </w:rPr>
  </w:style>
  <w:style w:type="paragraph" w:styleId="HTMLPreformatted">
    <w:name w:val="HTML Preformatted"/>
    <w:basedOn w:val="Normal"/>
    <w:link w:val="HTMLPreformattedChar"/>
    <w:uiPriority w:val="99"/>
    <w:unhideWhenUsed/>
    <w:rsid w:val="00740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740968"/>
    <w:rPr>
      <w:rFonts w:ascii="Courier New" w:eastAsia="Times New Roman" w:hAnsi="Courier New" w:cs="Courier New"/>
      <w:sz w:val="20"/>
      <w:szCs w:val="20"/>
      <w:lang w:eastAsia="en-GB"/>
    </w:rPr>
  </w:style>
  <w:style w:type="character" w:styleId="CommentReference">
    <w:name w:val="annotation reference"/>
    <w:basedOn w:val="DefaultParagraphFont"/>
    <w:uiPriority w:val="99"/>
    <w:semiHidden/>
    <w:unhideWhenUsed/>
    <w:rsid w:val="00C61C34"/>
    <w:rPr>
      <w:sz w:val="16"/>
      <w:szCs w:val="16"/>
    </w:rPr>
  </w:style>
  <w:style w:type="paragraph" w:styleId="CommentText">
    <w:name w:val="annotation text"/>
    <w:basedOn w:val="Normal"/>
    <w:link w:val="CommentTextChar"/>
    <w:uiPriority w:val="99"/>
    <w:semiHidden/>
    <w:unhideWhenUsed/>
    <w:rsid w:val="00C61C34"/>
    <w:pPr>
      <w:spacing w:line="240" w:lineRule="auto"/>
    </w:pPr>
    <w:rPr>
      <w:sz w:val="20"/>
      <w:szCs w:val="20"/>
    </w:rPr>
  </w:style>
  <w:style w:type="character" w:customStyle="1" w:styleId="CommentTextChar">
    <w:name w:val="Comment Text Char"/>
    <w:basedOn w:val="DefaultParagraphFont"/>
    <w:link w:val="CommentText"/>
    <w:uiPriority w:val="99"/>
    <w:semiHidden/>
    <w:rsid w:val="00C61C3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61C34"/>
    <w:rPr>
      <w:b/>
      <w:bCs/>
    </w:rPr>
  </w:style>
  <w:style w:type="character" w:customStyle="1" w:styleId="CommentSubjectChar">
    <w:name w:val="Comment Subject Char"/>
    <w:basedOn w:val="CommentTextChar"/>
    <w:link w:val="CommentSubject"/>
    <w:uiPriority w:val="99"/>
    <w:semiHidden/>
    <w:rsid w:val="00C61C34"/>
    <w:rPr>
      <w:rFonts w:ascii="Times New Roman" w:hAnsi="Times New Roman"/>
      <w:b/>
      <w:bCs/>
      <w:sz w:val="20"/>
      <w:szCs w:val="20"/>
    </w:rPr>
  </w:style>
  <w:style w:type="character" w:styleId="Emphasis">
    <w:name w:val="Emphasis"/>
    <w:basedOn w:val="DefaultParagraphFont"/>
    <w:uiPriority w:val="20"/>
    <w:qFormat/>
    <w:rsid w:val="0026292E"/>
    <w:rPr>
      <w:i/>
      <w:iCs/>
    </w:rPr>
  </w:style>
  <w:style w:type="character" w:customStyle="1" w:styleId="predmetkod">
    <w:name w:val="predmet_kod"/>
    <w:basedOn w:val="DefaultParagraphFont"/>
    <w:rsid w:val="004D0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92765">
      <w:bodyDiv w:val="1"/>
      <w:marLeft w:val="0"/>
      <w:marRight w:val="0"/>
      <w:marTop w:val="0"/>
      <w:marBottom w:val="0"/>
      <w:divBdr>
        <w:top w:val="none" w:sz="0" w:space="0" w:color="auto"/>
        <w:left w:val="none" w:sz="0" w:space="0" w:color="auto"/>
        <w:bottom w:val="none" w:sz="0" w:space="0" w:color="auto"/>
        <w:right w:val="none" w:sz="0" w:space="0" w:color="auto"/>
      </w:divBdr>
    </w:div>
    <w:div w:id="160004108">
      <w:bodyDiv w:val="1"/>
      <w:marLeft w:val="0"/>
      <w:marRight w:val="0"/>
      <w:marTop w:val="0"/>
      <w:marBottom w:val="0"/>
      <w:divBdr>
        <w:top w:val="none" w:sz="0" w:space="0" w:color="auto"/>
        <w:left w:val="none" w:sz="0" w:space="0" w:color="auto"/>
        <w:bottom w:val="none" w:sz="0" w:space="0" w:color="auto"/>
        <w:right w:val="none" w:sz="0" w:space="0" w:color="auto"/>
      </w:divBdr>
    </w:div>
    <w:div w:id="162479153">
      <w:bodyDiv w:val="1"/>
      <w:marLeft w:val="0"/>
      <w:marRight w:val="0"/>
      <w:marTop w:val="0"/>
      <w:marBottom w:val="0"/>
      <w:divBdr>
        <w:top w:val="none" w:sz="0" w:space="0" w:color="auto"/>
        <w:left w:val="none" w:sz="0" w:space="0" w:color="auto"/>
        <w:bottom w:val="none" w:sz="0" w:space="0" w:color="auto"/>
        <w:right w:val="none" w:sz="0" w:space="0" w:color="auto"/>
      </w:divBdr>
    </w:div>
    <w:div w:id="244917027">
      <w:bodyDiv w:val="1"/>
      <w:marLeft w:val="0"/>
      <w:marRight w:val="0"/>
      <w:marTop w:val="0"/>
      <w:marBottom w:val="0"/>
      <w:divBdr>
        <w:top w:val="none" w:sz="0" w:space="0" w:color="auto"/>
        <w:left w:val="none" w:sz="0" w:space="0" w:color="auto"/>
        <w:bottom w:val="none" w:sz="0" w:space="0" w:color="auto"/>
        <w:right w:val="none" w:sz="0" w:space="0" w:color="auto"/>
      </w:divBdr>
    </w:div>
    <w:div w:id="258224641">
      <w:bodyDiv w:val="1"/>
      <w:marLeft w:val="0"/>
      <w:marRight w:val="0"/>
      <w:marTop w:val="0"/>
      <w:marBottom w:val="0"/>
      <w:divBdr>
        <w:top w:val="none" w:sz="0" w:space="0" w:color="auto"/>
        <w:left w:val="none" w:sz="0" w:space="0" w:color="auto"/>
        <w:bottom w:val="none" w:sz="0" w:space="0" w:color="auto"/>
        <w:right w:val="none" w:sz="0" w:space="0" w:color="auto"/>
      </w:divBdr>
    </w:div>
    <w:div w:id="335885525">
      <w:bodyDiv w:val="1"/>
      <w:marLeft w:val="0"/>
      <w:marRight w:val="0"/>
      <w:marTop w:val="0"/>
      <w:marBottom w:val="0"/>
      <w:divBdr>
        <w:top w:val="none" w:sz="0" w:space="0" w:color="auto"/>
        <w:left w:val="none" w:sz="0" w:space="0" w:color="auto"/>
        <w:bottom w:val="none" w:sz="0" w:space="0" w:color="auto"/>
        <w:right w:val="none" w:sz="0" w:space="0" w:color="auto"/>
      </w:divBdr>
    </w:div>
    <w:div w:id="482622678">
      <w:bodyDiv w:val="1"/>
      <w:marLeft w:val="0"/>
      <w:marRight w:val="0"/>
      <w:marTop w:val="0"/>
      <w:marBottom w:val="0"/>
      <w:divBdr>
        <w:top w:val="none" w:sz="0" w:space="0" w:color="auto"/>
        <w:left w:val="none" w:sz="0" w:space="0" w:color="auto"/>
        <w:bottom w:val="none" w:sz="0" w:space="0" w:color="auto"/>
        <w:right w:val="none" w:sz="0" w:space="0" w:color="auto"/>
      </w:divBdr>
    </w:div>
    <w:div w:id="492530475">
      <w:bodyDiv w:val="1"/>
      <w:marLeft w:val="0"/>
      <w:marRight w:val="0"/>
      <w:marTop w:val="0"/>
      <w:marBottom w:val="0"/>
      <w:divBdr>
        <w:top w:val="none" w:sz="0" w:space="0" w:color="auto"/>
        <w:left w:val="none" w:sz="0" w:space="0" w:color="auto"/>
        <w:bottom w:val="none" w:sz="0" w:space="0" w:color="auto"/>
        <w:right w:val="none" w:sz="0" w:space="0" w:color="auto"/>
      </w:divBdr>
    </w:div>
    <w:div w:id="510993458">
      <w:bodyDiv w:val="1"/>
      <w:marLeft w:val="0"/>
      <w:marRight w:val="0"/>
      <w:marTop w:val="0"/>
      <w:marBottom w:val="0"/>
      <w:divBdr>
        <w:top w:val="none" w:sz="0" w:space="0" w:color="auto"/>
        <w:left w:val="none" w:sz="0" w:space="0" w:color="auto"/>
        <w:bottom w:val="none" w:sz="0" w:space="0" w:color="auto"/>
        <w:right w:val="none" w:sz="0" w:space="0" w:color="auto"/>
      </w:divBdr>
    </w:div>
    <w:div w:id="524175072">
      <w:bodyDiv w:val="1"/>
      <w:marLeft w:val="0"/>
      <w:marRight w:val="0"/>
      <w:marTop w:val="0"/>
      <w:marBottom w:val="0"/>
      <w:divBdr>
        <w:top w:val="none" w:sz="0" w:space="0" w:color="auto"/>
        <w:left w:val="none" w:sz="0" w:space="0" w:color="auto"/>
        <w:bottom w:val="none" w:sz="0" w:space="0" w:color="auto"/>
        <w:right w:val="none" w:sz="0" w:space="0" w:color="auto"/>
      </w:divBdr>
    </w:div>
    <w:div w:id="566262867">
      <w:bodyDiv w:val="1"/>
      <w:marLeft w:val="0"/>
      <w:marRight w:val="0"/>
      <w:marTop w:val="0"/>
      <w:marBottom w:val="0"/>
      <w:divBdr>
        <w:top w:val="none" w:sz="0" w:space="0" w:color="auto"/>
        <w:left w:val="none" w:sz="0" w:space="0" w:color="auto"/>
        <w:bottom w:val="none" w:sz="0" w:space="0" w:color="auto"/>
        <w:right w:val="none" w:sz="0" w:space="0" w:color="auto"/>
      </w:divBdr>
    </w:div>
    <w:div w:id="586110146">
      <w:bodyDiv w:val="1"/>
      <w:marLeft w:val="0"/>
      <w:marRight w:val="0"/>
      <w:marTop w:val="0"/>
      <w:marBottom w:val="0"/>
      <w:divBdr>
        <w:top w:val="none" w:sz="0" w:space="0" w:color="auto"/>
        <w:left w:val="none" w:sz="0" w:space="0" w:color="auto"/>
        <w:bottom w:val="none" w:sz="0" w:space="0" w:color="auto"/>
        <w:right w:val="none" w:sz="0" w:space="0" w:color="auto"/>
      </w:divBdr>
    </w:div>
    <w:div w:id="595138158">
      <w:bodyDiv w:val="1"/>
      <w:marLeft w:val="0"/>
      <w:marRight w:val="0"/>
      <w:marTop w:val="0"/>
      <w:marBottom w:val="0"/>
      <w:divBdr>
        <w:top w:val="none" w:sz="0" w:space="0" w:color="auto"/>
        <w:left w:val="none" w:sz="0" w:space="0" w:color="auto"/>
        <w:bottom w:val="none" w:sz="0" w:space="0" w:color="auto"/>
        <w:right w:val="none" w:sz="0" w:space="0" w:color="auto"/>
      </w:divBdr>
    </w:div>
    <w:div w:id="600531802">
      <w:bodyDiv w:val="1"/>
      <w:marLeft w:val="0"/>
      <w:marRight w:val="0"/>
      <w:marTop w:val="0"/>
      <w:marBottom w:val="0"/>
      <w:divBdr>
        <w:top w:val="none" w:sz="0" w:space="0" w:color="auto"/>
        <w:left w:val="none" w:sz="0" w:space="0" w:color="auto"/>
        <w:bottom w:val="none" w:sz="0" w:space="0" w:color="auto"/>
        <w:right w:val="none" w:sz="0" w:space="0" w:color="auto"/>
      </w:divBdr>
    </w:div>
    <w:div w:id="600648888">
      <w:bodyDiv w:val="1"/>
      <w:marLeft w:val="0"/>
      <w:marRight w:val="0"/>
      <w:marTop w:val="0"/>
      <w:marBottom w:val="0"/>
      <w:divBdr>
        <w:top w:val="none" w:sz="0" w:space="0" w:color="auto"/>
        <w:left w:val="none" w:sz="0" w:space="0" w:color="auto"/>
        <w:bottom w:val="none" w:sz="0" w:space="0" w:color="auto"/>
        <w:right w:val="none" w:sz="0" w:space="0" w:color="auto"/>
      </w:divBdr>
    </w:div>
    <w:div w:id="624241483">
      <w:bodyDiv w:val="1"/>
      <w:marLeft w:val="0"/>
      <w:marRight w:val="0"/>
      <w:marTop w:val="0"/>
      <w:marBottom w:val="0"/>
      <w:divBdr>
        <w:top w:val="none" w:sz="0" w:space="0" w:color="auto"/>
        <w:left w:val="none" w:sz="0" w:space="0" w:color="auto"/>
        <w:bottom w:val="none" w:sz="0" w:space="0" w:color="auto"/>
        <w:right w:val="none" w:sz="0" w:space="0" w:color="auto"/>
      </w:divBdr>
    </w:div>
    <w:div w:id="645863705">
      <w:bodyDiv w:val="1"/>
      <w:marLeft w:val="0"/>
      <w:marRight w:val="0"/>
      <w:marTop w:val="0"/>
      <w:marBottom w:val="0"/>
      <w:divBdr>
        <w:top w:val="none" w:sz="0" w:space="0" w:color="auto"/>
        <w:left w:val="none" w:sz="0" w:space="0" w:color="auto"/>
        <w:bottom w:val="none" w:sz="0" w:space="0" w:color="auto"/>
        <w:right w:val="none" w:sz="0" w:space="0" w:color="auto"/>
      </w:divBdr>
    </w:div>
    <w:div w:id="756875365">
      <w:bodyDiv w:val="1"/>
      <w:marLeft w:val="0"/>
      <w:marRight w:val="0"/>
      <w:marTop w:val="0"/>
      <w:marBottom w:val="0"/>
      <w:divBdr>
        <w:top w:val="none" w:sz="0" w:space="0" w:color="auto"/>
        <w:left w:val="none" w:sz="0" w:space="0" w:color="auto"/>
        <w:bottom w:val="none" w:sz="0" w:space="0" w:color="auto"/>
        <w:right w:val="none" w:sz="0" w:space="0" w:color="auto"/>
      </w:divBdr>
    </w:div>
    <w:div w:id="774445531">
      <w:bodyDiv w:val="1"/>
      <w:marLeft w:val="0"/>
      <w:marRight w:val="0"/>
      <w:marTop w:val="0"/>
      <w:marBottom w:val="0"/>
      <w:divBdr>
        <w:top w:val="none" w:sz="0" w:space="0" w:color="auto"/>
        <w:left w:val="none" w:sz="0" w:space="0" w:color="auto"/>
        <w:bottom w:val="none" w:sz="0" w:space="0" w:color="auto"/>
        <w:right w:val="none" w:sz="0" w:space="0" w:color="auto"/>
      </w:divBdr>
    </w:div>
    <w:div w:id="785581610">
      <w:bodyDiv w:val="1"/>
      <w:marLeft w:val="0"/>
      <w:marRight w:val="0"/>
      <w:marTop w:val="0"/>
      <w:marBottom w:val="0"/>
      <w:divBdr>
        <w:top w:val="none" w:sz="0" w:space="0" w:color="auto"/>
        <w:left w:val="none" w:sz="0" w:space="0" w:color="auto"/>
        <w:bottom w:val="none" w:sz="0" w:space="0" w:color="auto"/>
        <w:right w:val="none" w:sz="0" w:space="0" w:color="auto"/>
      </w:divBdr>
    </w:div>
    <w:div w:id="863517162">
      <w:bodyDiv w:val="1"/>
      <w:marLeft w:val="0"/>
      <w:marRight w:val="0"/>
      <w:marTop w:val="0"/>
      <w:marBottom w:val="0"/>
      <w:divBdr>
        <w:top w:val="none" w:sz="0" w:space="0" w:color="auto"/>
        <w:left w:val="none" w:sz="0" w:space="0" w:color="auto"/>
        <w:bottom w:val="none" w:sz="0" w:space="0" w:color="auto"/>
        <w:right w:val="none" w:sz="0" w:space="0" w:color="auto"/>
      </w:divBdr>
    </w:div>
    <w:div w:id="863862186">
      <w:bodyDiv w:val="1"/>
      <w:marLeft w:val="0"/>
      <w:marRight w:val="0"/>
      <w:marTop w:val="0"/>
      <w:marBottom w:val="0"/>
      <w:divBdr>
        <w:top w:val="none" w:sz="0" w:space="0" w:color="auto"/>
        <w:left w:val="none" w:sz="0" w:space="0" w:color="auto"/>
        <w:bottom w:val="none" w:sz="0" w:space="0" w:color="auto"/>
        <w:right w:val="none" w:sz="0" w:space="0" w:color="auto"/>
      </w:divBdr>
    </w:div>
    <w:div w:id="925848450">
      <w:bodyDiv w:val="1"/>
      <w:marLeft w:val="0"/>
      <w:marRight w:val="0"/>
      <w:marTop w:val="0"/>
      <w:marBottom w:val="0"/>
      <w:divBdr>
        <w:top w:val="none" w:sz="0" w:space="0" w:color="auto"/>
        <w:left w:val="none" w:sz="0" w:space="0" w:color="auto"/>
        <w:bottom w:val="none" w:sz="0" w:space="0" w:color="auto"/>
        <w:right w:val="none" w:sz="0" w:space="0" w:color="auto"/>
      </w:divBdr>
    </w:div>
    <w:div w:id="1002664496">
      <w:bodyDiv w:val="1"/>
      <w:marLeft w:val="0"/>
      <w:marRight w:val="0"/>
      <w:marTop w:val="0"/>
      <w:marBottom w:val="0"/>
      <w:divBdr>
        <w:top w:val="none" w:sz="0" w:space="0" w:color="auto"/>
        <w:left w:val="none" w:sz="0" w:space="0" w:color="auto"/>
        <w:bottom w:val="none" w:sz="0" w:space="0" w:color="auto"/>
        <w:right w:val="none" w:sz="0" w:space="0" w:color="auto"/>
      </w:divBdr>
    </w:div>
    <w:div w:id="1044794873">
      <w:bodyDiv w:val="1"/>
      <w:marLeft w:val="0"/>
      <w:marRight w:val="0"/>
      <w:marTop w:val="0"/>
      <w:marBottom w:val="0"/>
      <w:divBdr>
        <w:top w:val="none" w:sz="0" w:space="0" w:color="auto"/>
        <w:left w:val="none" w:sz="0" w:space="0" w:color="auto"/>
        <w:bottom w:val="none" w:sz="0" w:space="0" w:color="auto"/>
        <w:right w:val="none" w:sz="0" w:space="0" w:color="auto"/>
      </w:divBdr>
    </w:div>
    <w:div w:id="1271425504">
      <w:bodyDiv w:val="1"/>
      <w:marLeft w:val="0"/>
      <w:marRight w:val="0"/>
      <w:marTop w:val="0"/>
      <w:marBottom w:val="0"/>
      <w:divBdr>
        <w:top w:val="none" w:sz="0" w:space="0" w:color="auto"/>
        <w:left w:val="none" w:sz="0" w:space="0" w:color="auto"/>
        <w:bottom w:val="none" w:sz="0" w:space="0" w:color="auto"/>
        <w:right w:val="none" w:sz="0" w:space="0" w:color="auto"/>
      </w:divBdr>
    </w:div>
    <w:div w:id="1314987015">
      <w:bodyDiv w:val="1"/>
      <w:marLeft w:val="0"/>
      <w:marRight w:val="0"/>
      <w:marTop w:val="0"/>
      <w:marBottom w:val="0"/>
      <w:divBdr>
        <w:top w:val="none" w:sz="0" w:space="0" w:color="auto"/>
        <w:left w:val="none" w:sz="0" w:space="0" w:color="auto"/>
        <w:bottom w:val="none" w:sz="0" w:space="0" w:color="auto"/>
        <w:right w:val="none" w:sz="0" w:space="0" w:color="auto"/>
      </w:divBdr>
    </w:div>
    <w:div w:id="1346056256">
      <w:bodyDiv w:val="1"/>
      <w:marLeft w:val="0"/>
      <w:marRight w:val="0"/>
      <w:marTop w:val="0"/>
      <w:marBottom w:val="0"/>
      <w:divBdr>
        <w:top w:val="none" w:sz="0" w:space="0" w:color="auto"/>
        <w:left w:val="none" w:sz="0" w:space="0" w:color="auto"/>
        <w:bottom w:val="none" w:sz="0" w:space="0" w:color="auto"/>
        <w:right w:val="none" w:sz="0" w:space="0" w:color="auto"/>
      </w:divBdr>
    </w:div>
    <w:div w:id="1384016835">
      <w:bodyDiv w:val="1"/>
      <w:marLeft w:val="0"/>
      <w:marRight w:val="0"/>
      <w:marTop w:val="0"/>
      <w:marBottom w:val="0"/>
      <w:divBdr>
        <w:top w:val="none" w:sz="0" w:space="0" w:color="auto"/>
        <w:left w:val="none" w:sz="0" w:space="0" w:color="auto"/>
        <w:bottom w:val="none" w:sz="0" w:space="0" w:color="auto"/>
        <w:right w:val="none" w:sz="0" w:space="0" w:color="auto"/>
      </w:divBdr>
    </w:div>
    <w:div w:id="1477184058">
      <w:bodyDiv w:val="1"/>
      <w:marLeft w:val="0"/>
      <w:marRight w:val="0"/>
      <w:marTop w:val="0"/>
      <w:marBottom w:val="0"/>
      <w:divBdr>
        <w:top w:val="none" w:sz="0" w:space="0" w:color="auto"/>
        <w:left w:val="none" w:sz="0" w:space="0" w:color="auto"/>
        <w:bottom w:val="none" w:sz="0" w:space="0" w:color="auto"/>
        <w:right w:val="none" w:sz="0" w:space="0" w:color="auto"/>
      </w:divBdr>
    </w:div>
    <w:div w:id="1536235652">
      <w:bodyDiv w:val="1"/>
      <w:marLeft w:val="0"/>
      <w:marRight w:val="0"/>
      <w:marTop w:val="0"/>
      <w:marBottom w:val="0"/>
      <w:divBdr>
        <w:top w:val="none" w:sz="0" w:space="0" w:color="auto"/>
        <w:left w:val="none" w:sz="0" w:space="0" w:color="auto"/>
        <w:bottom w:val="none" w:sz="0" w:space="0" w:color="auto"/>
        <w:right w:val="none" w:sz="0" w:space="0" w:color="auto"/>
      </w:divBdr>
    </w:div>
    <w:div w:id="1566333445">
      <w:bodyDiv w:val="1"/>
      <w:marLeft w:val="0"/>
      <w:marRight w:val="0"/>
      <w:marTop w:val="0"/>
      <w:marBottom w:val="0"/>
      <w:divBdr>
        <w:top w:val="none" w:sz="0" w:space="0" w:color="auto"/>
        <w:left w:val="none" w:sz="0" w:space="0" w:color="auto"/>
        <w:bottom w:val="none" w:sz="0" w:space="0" w:color="auto"/>
        <w:right w:val="none" w:sz="0" w:space="0" w:color="auto"/>
      </w:divBdr>
    </w:div>
    <w:div w:id="1580479207">
      <w:bodyDiv w:val="1"/>
      <w:marLeft w:val="0"/>
      <w:marRight w:val="0"/>
      <w:marTop w:val="0"/>
      <w:marBottom w:val="0"/>
      <w:divBdr>
        <w:top w:val="none" w:sz="0" w:space="0" w:color="auto"/>
        <w:left w:val="none" w:sz="0" w:space="0" w:color="auto"/>
        <w:bottom w:val="none" w:sz="0" w:space="0" w:color="auto"/>
        <w:right w:val="none" w:sz="0" w:space="0" w:color="auto"/>
      </w:divBdr>
    </w:div>
    <w:div w:id="1633244220">
      <w:bodyDiv w:val="1"/>
      <w:marLeft w:val="0"/>
      <w:marRight w:val="0"/>
      <w:marTop w:val="0"/>
      <w:marBottom w:val="0"/>
      <w:divBdr>
        <w:top w:val="none" w:sz="0" w:space="0" w:color="auto"/>
        <w:left w:val="none" w:sz="0" w:space="0" w:color="auto"/>
        <w:bottom w:val="none" w:sz="0" w:space="0" w:color="auto"/>
        <w:right w:val="none" w:sz="0" w:space="0" w:color="auto"/>
      </w:divBdr>
    </w:div>
    <w:div w:id="1656488033">
      <w:bodyDiv w:val="1"/>
      <w:marLeft w:val="0"/>
      <w:marRight w:val="0"/>
      <w:marTop w:val="0"/>
      <w:marBottom w:val="0"/>
      <w:divBdr>
        <w:top w:val="none" w:sz="0" w:space="0" w:color="auto"/>
        <w:left w:val="none" w:sz="0" w:space="0" w:color="auto"/>
        <w:bottom w:val="none" w:sz="0" w:space="0" w:color="auto"/>
        <w:right w:val="none" w:sz="0" w:space="0" w:color="auto"/>
      </w:divBdr>
    </w:div>
    <w:div w:id="1711956350">
      <w:bodyDiv w:val="1"/>
      <w:marLeft w:val="0"/>
      <w:marRight w:val="0"/>
      <w:marTop w:val="0"/>
      <w:marBottom w:val="0"/>
      <w:divBdr>
        <w:top w:val="none" w:sz="0" w:space="0" w:color="auto"/>
        <w:left w:val="none" w:sz="0" w:space="0" w:color="auto"/>
        <w:bottom w:val="none" w:sz="0" w:space="0" w:color="auto"/>
        <w:right w:val="none" w:sz="0" w:space="0" w:color="auto"/>
      </w:divBdr>
    </w:div>
    <w:div w:id="1713460973">
      <w:bodyDiv w:val="1"/>
      <w:marLeft w:val="0"/>
      <w:marRight w:val="0"/>
      <w:marTop w:val="0"/>
      <w:marBottom w:val="0"/>
      <w:divBdr>
        <w:top w:val="none" w:sz="0" w:space="0" w:color="auto"/>
        <w:left w:val="none" w:sz="0" w:space="0" w:color="auto"/>
        <w:bottom w:val="none" w:sz="0" w:space="0" w:color="auto"/>
        <w:right w:val="none" w:sz="0" w:space="0" w:color="auto"/>
      </w:divBdr>
    </w:div>
    <w:div w:id="1779979945">
      <w:bodyDiv w:val="1"/>
      <w:marLeft w:val="0"/>
      <w:marRight w:val="0"/>
      <w:marTop w:val="0"/>
      <w:marBottom w:val="0"/>
      <w:divBdr>
        <w:top w:val="none" w:sz="0" w:space="0" w:color="auto"/>
        <w:left w:val="none" w:sz="0" w:space="0" w:color="auto"/>
        <w:bottom w:val="none" w:sz="0" w:space="0" w:color="auto"/>
        <w:right w:val="none" w:sz="0" w:space="0" w:color="auto"/>
      </w:divBdr>
    </w:div>
    <w:div w:id="1785728187">
      <w:bodyDiv w:val="1"/>
      <w:marLeft w:val="0"/>
      <w:marRight w:val="0"/>
      <w:marTop w:val="0"/>
      <w:marBottom w:val="0"/>
      <w:divBdr>
        <w:top w:val="none" w:sz="0" w:space="0" w:color="auto"/>
        <w:left w:val="none" w:sz="0" w:space="0" w:color="auto"/>
        <w:bottom w:val="none" w:sz="0" w:space="0" w:color="auto"/>
        <w:right w:val="none" w:sz="0" w:space="0" w:color="auto"/>
      </w:divBdr>
    </w:div>
    <w:div w:id="1815444138">
      <w:bodyDiv w:val="1"/>
      <w:marLeft w:val="0"/>
      <w:marRight w:val="0"/>
      <w:marTop w:val="0"/>
      <w:marBottom w:val="0"/>
      <w:divBdr>
        <w:top w:val="none" w:sz="0" w:space="0" w:color="auto"/>
        <w:left w:val="none" w:sz="0" w:space="0" w:color="auto"/>
        <w:bottom w:val="none" w:sz="0" w:space="0" w:color="auto"/>
        <w:right w:val="none" w:sz="0" w:space="0" w:color="auto"/>
      </w:divBdr>
    </w:div>
    <w:div w:id="1836022989">
      <w:bodyDiv w:val="1"/>
      <w:marLeft w:val="0"/>
      <w:marRight w:val="0"/>
      <w:marTop w:val="0"/>
      <w:marBottom w:val="0"/>
      <w:divBdr>
        <w:top w:val="none" w:sz="0" w:space="0" w:color="auto"/>
        <w:left w:val="none" w:sz="0" w:space="0" w:color="auto"/>
        <w:bottom w:val="none" w:sz="0" w:space="0" w:color="auto"/>
        <w:right w:val="none" w:sz="0" w:space="0" w:color="auto"/>
      </w:divBdr>
    </w:div>
    <w:div w:id="1848708311">
      <w:bodyDiv w:val="1"/>
      <w:marLeft w:val="0"/>
      <w:marRight w:val="0"/>
      <w:marTop w:val="0"/>
      <w:marBottom w:val="0"/>
      <w:divBdr>
        <w:top w:val="none" w:sz="0" w:space="0" w:color="auto"/>
        <w:left w:val="none" w:sz="0" w:space="0" w:color="auto"/>
        <w:bottom w:val="none" w:sz="0" w:space="0" w:color="auto"/>
        <w:right w:val="none" w:sz="0" w:space="0" w:color="auto"/>
      </w:divBdr>
    </w:div>
    <w:div w:id="1850483923">
      <w:bodyDiv w:val="1"/>
      <w:marLeft w:val="0"/>
      <w:marRight w:val="0"/>
      <w:marTop w:val="0"/>
      <w:marBottom w:val="0"/>
      <w:divBdr>
        <w:top w:val="none" w:sz="0" w:space="0" w:color="auto"/>
        <w:left w:val="none" w:sz="0" w:space="0" w:color="auto"/>
        <w:bottom w:val="none" w:sz="0" w:space="0" w:color="auto"/>
        <w:right w:val="none" w:sz="0" w:space="0" w:color="auto"/>
      </w:divBdr>
    </w:div>
    <w:div w:id="1924294473">
      <w:bodyDiv w:val="1"/>
      <w:marLeft w:val="0"/>
      <w:marRight w:val="0"/>
      <w:marTop w:val="0"/>
      <w:marBottom w:val="0"/>
      <w:divBdr>
        <w:top w:val="none" w:sz="0" w:space="0" w:color="auto"/>
        <w:left w:val="none" w:sz="0" w:space="0" w:color="auto"/>
        <w:bottom w:val="none" w:sz="0" w:space="0" w:color="auto"/>
        <w:right w:val="none" w:sz="0" w:space="0" w:color="auto"/>
      </w:divBdr>
    </w:div>
    <w:div w:id="1924412824">
      <w:bodyDiv w:val="1"/>
      <w:marLeft w:val="0"/>
      <w:marRight w:val="0"/>
      <w:marTop w:val="0"/>
      <w:marBottom w:val="0"/>
      <w:divBdr>
        <w:top w:val="none" w:sz="0" w:space="0" w:color="auto"/>
        <w:left w:val="none" w:sz="0" w:space="0" w:color="auto"/>
        <w:bottom w:val="none" w:sz="0" w:space="0" w:color="auto"/>
        <w:right w:val="none" w:sz="0" w:space="0" w:color="auto"/>
      </w:divBdr>
    </w:div>
    <w:div w:id="197868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Sheet1!$A$2</c:f>
              <c:strCache>
                <c:ptCount val="1"/>
                <c:pt idx="0">
                  <c:v>ROA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Sheet1!$B$1:$G$1</c:f>
              <c:numCache>
                <c:formatCode>General</c:formatCode>
                <c:ptCount val="6"/>
                <c:pt idx="0">
                  <c:v>2009</c:v>
                </c:pt>
                <c:pt idx="1">
                  <c:v>2010</c:v>
                </c:pt>
                <c:pt idx="2">
                  <c:v>2011</c:v>
                </c:pt>
                <c:pt idx="3">
                  <c:v>2012</c:v>
                </c:pt>
                <c:pt idx="4">
                  <c:v>2013</c:v>
                </c:pt>
                <c:pt idx="5">
                  <c:v>2014</c:v>
                </c:pt>
              </c:numCache>
            </c:numRef>
          </c:cat>
          <c:val>
            <c:numRef>
              <c:f>Sheet1!$B$2:$G$2</c:f>
              <c:numCache>
                <c:formatCode>General</c:formatCode>
                <c:ptCount val="6"/>
                <c:pt idx="0">
                  <c:v>1.8</c:v>
                </c:pt>
                <c:pt idx="1">
                  <c:v>1.9</c:v>
                </c:pt>
                <c:pt idx="2">
                  <c:v>3</c:v>
                </c:pt>
                <c:pt idx="3">
                  <c:v>3.1</c:v>
                </c:pt>
                <c:pt idx="4">
                  <c:v>1.1000000000000001</c:v>
                </c:pt>
                <c:pt idx="5">
                  <c:v>0.9</c:v>
                </c:pt>
              </c:numCache>
            </c:numRef>
          </c:val>
          <c:smooth val="0"/>
        </c:ser>
        <c:ser>
          <c:idx val="1"/>
          <c:order val="1"/>
          <c:tx>
            <c:strRef>
              <c:f>Sheet1!$A$3</c:f>
              <c:strCache>
                <c:ptCount val="1"/>
                <c:pt idx="0">
                  <c:v>ROE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Sheet1!$B$1:$G$1</c:f>
              <c:numCache>
                <c:formatCode>General</c:formatCode>
                <c:ptCount val="6"/>
                <c:pt idx="0">
                  <c:v>2009</c:v>
                </c:pt>
                <c:pt idx="1">
                  <c:v>2010</c:v>
                </c:pt>
                <c:pt idx="2">
                  <c:v>2011</c:v>
                </c:pt>
                <c:pt idx="3">
                  <c:v>2012</c:v>
                </c:pt>
                <c:pt idx="4">
                  <c:v>2013</c:v>
                </c:pt>
                <c:pt idx="5">
                  <c:v>2014</c:v>
                </c:pt>
              </c:numCache>
            </c:numRef>
          </c:cat>
          <c:val>
            <c:numRef>
              <c:f>Sheet1!$B$3:$G$3</c:f>
              <c:numCache>
                <c:formatCode>General</c:formatCode>
                <c:ptCount val="6"/>
                <c:pt idx="0">
                  <c:v>5.9</c:v>
                </c:pt>
                <c:pt idx="1">
                  <c:v>16.100000000000001</c:v>
                </c:pt>
                <c:pt idx="2">
                  <c:v>22.8</c:v>
                </c:pt>
                <c:pt idx="3">
                  <c:v>23.2</c:v>
                </c:pt>
                <c:pt idx="4">
                  <c:v>8.6</c:v>
                </c:pt>
                <c:pt idx="5">
                  <c:v>5.9</c:v>
                </c:pt>
              </c:numCache>
            </c:numRef>
          </c:val>
          <c:smooth val="0"/>
        </c:ser>
        <c:ser>
          <c:idx val="2"/>
          <c:order val="2"/>
          <c:tx>
            <c:strRef>
              <c:f>Sheet1!$A$4</c:f>
              <c:strCache>
                <c:ptCount val="1"/>
                <c:pt idx="0">
                  <c:v>NIM</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Sheet1!$B$1:$G$1</c:f>
              <c:numCache>
                <c:formatCode>General</c:formatCode>
                <c:ptCount val="6"/>
                <c:pt idx="0">
                  <c:v>2009</c:v>
                </c:pt>
                <c:pt idx="1">
                  <c:v>2010</c:v>
                </c:pt>
                <c:pt idx="2">
                  <c:v>2011</c:v>
                </c:pt>
                <c:pt idx="3">
                  <c:v>2012</c:v>
                </c:pt>
                <c:pt idx="4">
                  <c:v>2013</c:v>
                </c:pt>
                <c:pt idx="5">
                  <c:v>2014</c:v>
                </c:pt>
              </c:numCache>
            </c:numRef>
          </c:cat>
          <c:val>
            <c:numRef>
              <c:f>Sheet1!$B$4:$G$4</c:f>
              <c:numCache>
                <c:formatCode>General</c:formatCode>
                <c:ptCount val="6"/>
                <c:pt idx="0">
                  <c:v>2.7</c:v>
                </c:pt>
                <c:pt idx="1">
                  <c:v>5.0999999999999996</c:v>
                </c:pt>
                <c:pt idx="2">
                  <c:v>6.2</c:v>
                </c:pt>
                <c:pt idx="3">
                  <c:v>6.3</c:v>
                </c:pt>
                <c:pt idx="4">
                  <c:v>6</c:v>
                </c:pt>
                <c:pt idx="5">
                  <c:v>5.3</c:v>
                </c:pt>
              </c:numCache>
            </c:numRef>
          </c:val>
          <c:smooth val="0"/>
        </c:ser>
        <c:dLbls>
          <c:showLegendKey val="0"/>
          <c:showVal val="0"/>
          <c:showCatName val="0"/>
          <c:showSerName val="0"/>
          <c:showPercent val="0"/>
          <c:showBubbleSize val="0"/>
        </c:dLbls>
        <c:marker val="1"/>
        <c:smooth val="0"/>
        <c:axId val="362358016"/>
        <c:axId val="362361936"/>
      </c:lineChart>
      <c:catAx>
        <c:axId val="3623580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2361936"/>
        <c:crosses val="autoZero"/>
        <c:auto val="1"/>
        <c:lblAlgn val="ctr"/>
        <c:lblOffset val="100"/>
        <c:noMultiLvlLbl val="0"/>
      </c:catAx>
      <c:valAx>
        <c:axId val="362361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 </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23580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A0896-4867-43DB-A18B-3C520AA7E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10</Pages>
  <Words>3501</Words>
  <Characters>19959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Oswell `Mazadzi</dc:creator>
  <cp:keywords/>
  <dc:description/>
  <cp:lastModifiedBy>Joan Yeukai Maseya</cp:lastModifiedBy>
  <cp:revision>15</cp:revision>
  <dcterms:created xsi:type="dcterms:W3CDTF">2015-09-30T05:35:00Z</dcterms:created>
  <dcterms:modified xsi:type="dcterms:W3CDTF">2015-09-30T20:40:00Z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zotero-version="4.0.28.6"&gt;&lt;session id="duzjny3N"/&gt;&lt;style id="http://www.zotero.org/styles/harvard-university-of-sunderland" hasBibliography="1" bibliographyStyleHasBeenSet="0"/&gt;&lt;prefs&gt;&lt;pref name="fieldType" value="Field"/&gt;&lt;pref name</vt:lpwstr>
  </property>
  <property fmtid="{D5CDD505-2E9C-101B-9397-08002B2CF9AE}" pid="3" name="ZOTERO_PREF_2">
    <vt:lpwstr>="storeReferences" value="true"/&gt;&lt;pref name="automaticJournalAbbreviations" value="true"/&gt;&lt;pref name="noteType" value=""/&gt;&lt;/prefs&gt;&lt;/data&gt;</vt:lpwstr>
  </property>
</Properties>
</file>