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C017AB" w:rsidRDefault="00C017AB" w:rsidP="00C017AB">
      <w:pPr>
        <w:spacing w:after="120"/>
        <w:rPr>
          <w:rFonts w:ascii="Times New Roman" w:hAnsi="Times New Roman" w:cs="Times New Roman"/>
          <w:b/>
          <w:sz w:val="28"/>
          <w:szCs w:val="28"/>
        </w:rPr>
      </w:pPr>
      <w:r w:rsidRPr="00C017AB">
        <w:rPr>
          <w:rFonts w:ascii="Times New Roman" w:hAnsi="Times New Roman" w:cs="Times New Roman"/>
          <w:b/>
          <w:sz w:val="28"/>
          <w:szCs w:val="28"/>
        </w:rPr>
        <w:t>Analýza a volba dodavatele</w:t>
      </w:r>
    </w:p>
    <w:p w:rsidR="00154EB8" w:rsidRPr="00B03204" w:rsidRDefault="00C017AB" w:rsidP="00B03204">
      <w:pPr>
        <w:spacing w:after="120"/>
        <w:jc w:val="both"/>
        <w:rPr>
          <w:rFonts w:ascii="Times New Roman" w:hAnsi="Times New Roman" w:cs="Times New Roman"/>
          <w:b/>
          <w:i/>
          <w:color w:val="0070C0"/>
          <w:sz w:val="24"/>
          <w:szCs w:val="24"/>
        </w:rPr>
      </w:pPr>
      <w:r w:rsidRPr="00B03204">
        <w:rPr>
          <w:rFonts w:ascii="Times New Roman" w:hAnsi="Times New Roman" w:cs="Times New Roman"/>
          <w:sz w:val="24"/>
          <w:szCs w:val="24"/>
        </w:rPr>
        <w:t>Dalším předmětem analýzy jsou v rámci nákupního marketingu potenciální dodavatelé.</w:t>
      </w:r>
      <w:r w:rsidR="00C5676D" w:rsidRPr="00B03204">
        <w:rPr>
          <w:rFonts w:ascii="Times New Roman" w:hAnsi="Times New Roman" w:cs="Times New Roman"/>
          <w:sz w:val="24"/>
          <w:szCs w:val="24"/>
        </w:rPr>
        <w:t xml:space="preserve"> Chybná předvolba dodavatele může vést ke ztrátám, které lze těžko likvidovat během vlastního nákupního procesu. Vzhledem k náročnosti této etapy je možno i zde využít diferenciace materiálových položek podle dříve uvedené metody ABC a potřebnou péči pak věnovat především položkám typu A.</w:t>
      </w:r>
    </w:p>
    <w:p w:rsidR="00C5676D" w:rsidRDefault="00C5676D" w:rsidP="00C5676D">
      <w:pPr>
        <w:spacing w:after="120"/>
        <w:rPr>
          <w:rFonts w:ascii="Times New Roman" w:hAnsi="Times New Roman" w:cs="Times New Roman"/>
          <w:sz w:val="24"/>
          <w:szCs w:val="24"/>
        </w:rPr>
      </w:pPr>
      <w:r>
        <w:rPr>
          <w:rFonts w:ascii="Times New Roman" w:hAnsi="Times New Roman" w:cs="Times New Roman"/>
          <w:sz w:val="24"/>
          <w:szCs w:val="24"/>
        </w:rPr>
        <w:t>Východiskem analýzy jsou následující informace o potencionálních dodavatelích:</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všeobecné podnikové informace,</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specifické informace mající vztah k nakupovanému materiálu,</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nástroje kondiční politiky a servisní politiky poskytované dodavatelem,</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stávající dodavatelsko-odběratelské vztahy.</w:t>
      </w:r>
    </w:p>
    <w:p w:rsidR="00C5676D" w:rsidRDefault="00C5676D" w:rsidP="00C5676D">
      <w:pPr>
        <w:spacing w:after="120"/>
        <w:rPr>
          <w:rFonts w:ascii="Times New Roman" w:hAnsi="Times New Roman" w:cs="Times New Roman"/>
          <w:sz w:val="24"/>
          <w:szCs w:val="24"/>
        </w:rPr>
      </w:pPr>
      <w:r>
        <w:rPr>
          <w:rFonts w:ascii="Times New Roman" w:hAnsi="Times New Roman" w:cs="Times New Roman"/>
          <w:sz w:val="24"/>
          <w:szCs w:val="24"/>
        </w:rPr>
        <w:t xml:space="preserve">Pokud jde o </w:t>
      </w:r>
      <w:r w:rsidRPr="00C5676D">
        <w:rPr>
          <w:rFonts w:ascii="Times New Roman" w:hAnsi="Times New Roman" w:cs="Times New Roman"/>
          <w:b/>
          <w:sz w:val="24"/>
          <w:szCs w:val="24"/>
        </w:rPr>
        <w:t>všeobecné podnikové informace</w:t>
      </w:r>
      <w:r>
        <w:rPr>
          <w:rFonts w:ascii="Times New Roman" w:hAnsi="Times New Roman" w:cs="Times New Roman"/>
          <w:sz w:val="24"/>
          <w:szCs w:val="24"/>
        </w:rPr>
        <w:t>, jedná se zejména o:</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 xml:space="preserve">formu podnikání, vlastnické vztahy </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velikost podniku a jeho obrat,</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výrobní program dodavatele a jeho vývoj,</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finanční situaci dodavatele,</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úroveň managementu, všeobecné klima ve firmě,</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kvalifikaci pracovníků, jejich vztah ke kvalitě atp.</w:t>
      </w:r>
    </w:p>
    <w:p w:rsidR="00C5676D" w:rsidRDefault="00C5676D" w:rsidP="00C5676D">
      <w:pPr>
        <w:spacing w:after="120"/>
        <w:rPr>
          <w:rFonts w:ascii="Times New Roman" w:hAnsi="Times New Roman" w:cs="Times New Roman"/>
          <w:sz w:val="24"/>
          <w:szCs w:val="24"/>
        </w:rPr>
      </w:pPr>
      <w:r>
        <w:rPr>
          <w:rFonts w:ascii="Times New Roman" w:hAnsi="Times New Roman" w:cs="Times New Roman"/>
          <w:sz w:val="24"/>
          <w:szCs w:val="24"/>
        </w:rPr>
        <w:t xml:space="preserve">Mezi </w:t>
      </w:r>
      <w:r w:rsidRPr="00C5676D">
        <w:rPr>
          <w:rFonts w:ascii="Times New Roman" w:hAnsi="Times New Roman" w:cs="Times New Roman"/>
          <w:b/>
          <w:sz w:val="24"/>
          <w:szCs w:val="24"/>
        </w:rPr>
        <w:t>specifické</w:t>
      </w:r>
      <w:r>
        <w:rPr>
          <w:rFonts w:ascii="Times New Roman" w:hAnsi="Times New Roman" w:cs="Times New Roman"/>
          <w:sz w:val="24"/>
          <w:szCs w:val="24"/>
        </w:rPr>
        <w:t xml:space="preserve"> informace blíže související s nakupovaným materiálem počítáme:</w:t>
      </w:r>
    </w:p>
    <w:p w:rsidR="00C5676D" w:rsidRDefault="00C5676D"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dosahované kvalitativní parametry</w:t>
      </w:r>
      <w:r w:rsidR="00154EB8">
        <w:rPr>
          <w:rFonts w:ascii="Times New Roman" w:hAnsi="Times New Roman" w:cs="Times New Roman"/>
          <w:sz w:val="24"/>
          <w:szCs w:val="24"/>
        </w:rPr>
        <w:t>,</w:t>
      </w:r>
    </w:p>
    <w:p w:rsidR="00154EB8" w:rsidRDefault="00154EB8"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možnosti výrobních kapacit,</w:t>
      </w:r>
    </w:p>
    <w:p w:rsidR="00154EB8" w:rsidRDefault="00154EB8"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možnosti spolupráce s podnikem při řízení kvality,</w:t>
      </w:r>
    </w:p>
    <w:p w:rsidR="00154EB8" w:rsidRDefault="00154EB8"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metody řízení kvality,</w:t>
      </w:r>
    </w:p>
    <w:p w:rsidR="00154EB8" w:rsidRDefault="00154EB8"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spolupráce dodavatele s dalšími subdodavateli v oblasti kvality a množství,</w:t>
      </w:r>
    </w:p>
    <w:p w:rsidR="00154EB8" w:rsidRDefault="00154EB8" w:rsidP="00C5676D">
      <w:pPr>
        <w:pStyle w:val="Odstavecseseznamem"/>
        <w:numPr>
          <w:ilvl w:val="0"/>
          <w:numId w:val="3"/>
        </w:numPr>
        <w:spacing w:after="120"/>
        <w:rPr>
          <w:rFonts w:ascii="Times New Roman" w:hAnsi="Times New Roman" w:cs="Times New Roman"/>
          <w:sz w:val="24"/>
          <w:szCs w:val="24"/>
        </w:rPr>
      </w:pPr>
      <w:r w:rsidRPr="00154EB8">
        <w:rPr>
          <w:rFonts w:ascii="Times New Roman" w:hAnsi="Times New Roman" w:cs="Times New Roman"/>
          <w:sz w:val="24"/>
          <w:szCs w:val="24"/>
        </w:rPr>
        <w:t>spolehlivost dodavatele i jeho subdodavatelů,</w:t>
      </w:r>
    </w:p>
    <w:p w:rsidR="00154EB8" w:rsidRDefault="00154EB8" w:rsidP="00C5676D">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význam předmětných nakupovaných položek v celkovém výrobním programu dodavatele atp.</w:t>
      </w:r>
      <w:r w:rsidR="005252FA">
        <w:rPr>
          <w:rFonts w:ascii="Times New Roman" w:hAnsi="Times New Roman" w:cs="Times New Roman"/>
          <w:sz w:val="24"/>
          <w:szCs w:val="24"/>
        </w:rPr>
        <w:t xml:space="preserve">   </w:t>
      </w:r>
      <w:r w:rsidRPr="00154EB8">
        <w:rPr>
          <w:rFonts w:ascii="Times New Roman" w:hAnsi="Times New Roman" w:cs="Times New Roman"/>
          <w:sz w:val="24"/>
          <w:szCs w:val="24"/>
        </w:rPr>
        <w:t xml:space="preserve">  </w:t>
      </w:r>
    </w:p>
    <w:p w:rsidR="005252FA" w:rsidRDefault="005252FA" w:rsidP="005252FA">
      <w:pPr>
        <w:spacing w:after="120"/>
        <w:rPr>
          <w:rFonts w:ascii="Times New Roman" w:hAnsi="Times New Roman" w:cs="Times New Roman"/>
          <w:sz w:val="24"/>
          <w:szCs w:val="24"/>
        </w:rPr>
      </w:pPr>
      <w:r>
        <w:rPr>
          <w:rFonts w:ascii="Times New Roman" w:hAnsi="Times New Roman" w:cs="Times New Roman"/>
          <w:sz w:val="24"/>
          <w:szCs w:val="24"/>
        </w:rPr>
        <w:t xml:space="preserve">Pokud jde o </w:t>
      </w:r>
      <w:r w:rsidRPr="005252FA">
        <w:rPr>
          <w:rFonts w:ascii="Times New Roman" w:hAnsi="Times New Roman" w:cs="Times New Roman"/>
          <w:b/>
          <w:sz w:val="24"/>
          <w:szCs w:val="24"/>
        </w:rPr>
        <w:t>kondiční a servisní politiku</w:t>
      </w:r>
      <w:r>
        <w:rPr>
          <w:rFonts w:ascii="Times New Roman" w:hAnsi="Times New Roman" w:cs="Times New Roman"/>
          <w:sz w:val="24"/>
          <w:szCs w:val="24"/>
        </w:rPr>
        <w:t>, bude předmětem zájmu odběratele:</w:t>
      </w:r>
    </w:p>
    <w:p w:rsidR="005252FA" w:rsidRDefault="005252FA" w:rsidP="005252FA">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cena,</w:t>
      </w:r>
    </w:p>
    <w:p w:rsidR="005252FA" w:rsidRDefault="005252FA" w:rsidP="005252FA">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poskytované rabaty,</w:t>
      </w:r>
    </w:p>
    <w:p w:rsidR="005252FA" w:rsidRDefault="005252FA" w:rsidP="005252FA">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platební podmínky, popřípadě poskytování skonta</w:t>
      </w:r>
      <w:r w:rsidR="00F03B75">
        <w:rPr>
          <w:rFonts w:ascii="Times New Roman" w:hAnsi="Times New Roman" w:cs="Times New Roman"/>
          <w:sz w:val="24"/>
          <w:szCs w:val="24"/>
        </w:rPr>
        <w:t>,</w:t>
      </w:r>
    </w:p>
    <w:p w:rsidR="00F03B75" w:rsidRDefault="00F03B75" w:rsidP="005252FA">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dodací podmínky,</w:t>
      </w:r>
    </w:p>
    <w:p w:rsidR="003D467D" w:rsidRPr="003D467D" w:rsidRDefault="00F03B75" w:rsidP="005252FA">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poskytované služby, jako je příprava materiálu, dodání v potřebných dávkách</w:t>
      </w:r>
      <w:r w:rsidR="003D467D">
        <w:rPr>
          <w:rFonts w:ascii="Times New Roman" w:hAnsi="Times New Roman" w:cs="Times New Roman"/>
          <w:sz w:val="24"/>
          <w:szCs w:val="24"/>
        </w:rPr>
        <w:t>,</w:t>
      </w:r>
      <w:r>
        <w:rPr>
          <w:rFonts w:ascii="Times New Roman" w:hAnsi="Times New Roman" w:cs="Times New Roman"/>
          <w:sz w:val="24"/>
          <w:szCs w:val="24"/>
        </w:rPr>
        <w:t xml:space="preserve"> </w:t>
      </w:r>
    </w:p>
    <w:p w:rsidR="003D467D" w:rsidRDefault="003D467D" w:rsidP="005252FA">
      <w:pPr>
        <w:pStyle w:val="Odstavecseseznamem"/>
        <w:numPr>
          <w:ilvl w:val="0"/>
          <w:numId w:val="3"/>
        </w:numPr>
        <w:spacing w:after="120"/>
        <w:rPr>
          <w:rFonts w:ascii="Times New Roman" w:hAnsi="Times New Roman" w:cs="Times New Roman"/>
          <w:sz w:val="24"/>
          <w:szCs w:val="24"/>
        </w:rPr>
      </w:pPr>
      <w:r w:rsidRPr="003D467D">
        <w:rPr>
          <w:rFonts w:ascii="Times New Roman" w:hAnsi="Times New Roman" w:cs="Times New Roman"/>
          <w:sz w:val="24"/>
          <w:szCs w:val="24"/>
        </w:rPr>
        <w:t>termíny dodávek atp.</w:t>
      </w:r>
    </w:p>
    <w:p w:rsidR="003D467D" w:rsidRDefault="003D467D" w:rsidP="003D467D">
      <w:pPr>
        <w:spacing w:after="120"/>
        <w:rPr>
          <w:rFonts w:ascii="Times New Roman" w:hAnsi="Times New Roman" w:cs="Times New Roman"/>
          <w:sz w:val="24"/>
          <w:szCs w:val="24"/>
        </w:rPr>
      </w:pPr>
      <w:r>
        <w:rPr>
          <w:rFonts w:ascii="Times New Roman" w:hAnsi="Times New Roman" w:cs="Times New Roman"/>
          <w:sz w:val="24"/>
          <w:szCs w:val="24"/>
        </w:rPr>
        <w:t xml:space="preserve">Analýzou dodavatelsko-odběratelských vztahů rozumíme získávání informací a jejich </w:t>
      </w:r>
      <w:r w:rsidR="00D10DCC">
        <w:rPr>
          <w:rFonts w:ascii="Times New Roman" w:hAnsi="Times New Roman" w:cs="Times New Roman"/>
          <w:sz w:val="24"/>
          <w:szCs w:val="24"/>
        </w:rPr>
        <w:t>hodnocení v souvislosti s:</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vnímanou závislostí mezi dodavatelem a odběratelem,</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možnostmi odběru materiálu i od dalších konkurenčních dodavatelů,</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novosti dodávaného materiálu,</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dlouhodobější známosti dodavatele,</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vztahy spolupráce a vzájemné odpovědnosti,</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možnosti vytvořit vzájemné dodávky,</w:t>
      </w:r>
    </w:p>
    <w:p w:rsidR="00D10DCC" w:rsidRDefault="00D10DCC" w:rsidP="00D10DCC">
      <w:pPr>
        <w:pStyle w:val="Odstavecseseznamem"/>
        <w:numPr>
          <w:ilvl w:val="0"/>
          <w:numId w:val="3"/>
        </w:numPr>
        <w:spacing w:after="120"/>
        <w:rPr>
          <w:rFonts w:ascii="Times New Roman" w:hAnsi="Times New Roman" w:cs="Times New Roman"/>
          <w:sz w:val="24"/>
          <w:szCs w:val="24"/>
        </w:rPr>
      </w:pPr>
      <w:r>
        <w:rPr>
          <w:rFonts w:ascii="Times New Roman" w:hAnsi="Times New Roman" w:cs="Times New Roman"/>
          <w:sz w:val="24"/>
          <w:szCs w:val="24"/>
        </w:rPr>
        <w:t>spoluprací při likvidaci odpadu atp.</w:t>
      </w:r>
    </w:p>
    <w:p w:rsidR="00D10DCC" w:rsidRDefault="00D10DCC" w:rsidP="00D10DCC">
      <w:pPr>
        <w:spacing w:after="120"/>
        <w:rPr>
          <w:rFonts w:ascii="Times New Roman" w:hAnsi="Times New Roman" w:cs="Times New Roman"/>
          <w:sz w:val="24"/>
          <w:szCs w:val="24"/>
        </w:rPr>
      </w:pPr>
    </w:p>
    <w:p w:rsidR="00574400" w:rsidRDefault="00574400" w:rsidP="00D10DCC">
      <w:pPr>
        <w:spacing w:after="120"/>
        <w:rPr>
          <w:rFonts w:ascii="Times New Roman" w:hAnsi="Times New Roman" w:cs="Times New Roman"/>
          <w:sz w:val="24"/>
          <w:szCs w:val="24"/>
        </w:rPr>
      </w:pPr>
      <w:r>
        <w:rPr>
          <w:rFonts w:ascii="Times New Roman" w:hAnsi="Times New Roman" w:cs="Times New Roman"/>
          <w:sz w:val="24"/>
          <w:szCs w:val="24"/>
        </w:rPr>
        <w:lastRenderedPageBreak/>
        <w:t>Výběr dodavatelů tedy probíhá na základě tří okruhů podmínek:</w:t>
      </w:r>
    </w:p>
    <w:p w:rsidR="00D10DCC" w:rsidRDefault="00574400" w:rsidP="00574400">
      <w:pPr>
        <w:pStyle w:val="Odstavecseseznamem"/>
        <w:numPr>
          <w:ilvl w:val="0"/>
          <w:numId w:val="5"/>
        </w:numPr>
        <w:spacing w:after="120"/>
        <w:rPr>
          <w:rFonts w:ascii="Times New Roman" w:hAnsi="Times New Roman" w:cs="Times New Roman"/>
          <w:sz w:val="24"/>
          <w:szCs w:val="24"/>
        </w:rPr>
      </w:pPr>
      <w:r>
        <w:rPr>
          <w:rFonts w:ascii="Times New Roman" w:hAnsi="Times New Roman" w:cs="Times New Roman"/>
          <w:sz w:val="24"/>
          <w:szCs w:val="24"/>
        </w:rPr>
        <w:t>kvalifikování produktu, tj. jak produkt odpovídá požadavkům odběratele,</w:t>
      </w:r>
    </w:p>
    <w:p w:rsidR="00574400" w:rsidRDefault="00574400" w:rsidP="00574400">
      <w:pPr>
        <w:pStyle w:val="Odstavecseseznamem"/>
        <w:numPr>
          <w:ilvl w:val="0"/>
          <w:numId w:val="5"/>
        </w:numPr>
        <w:spacing w:after="120"/>
        <w:rPr>
          <w:rFonts w:ascii="Times New Roman" w:hAnsi="Times New Roman" w:cs="Times New Roman"/>
          <w:sz w:val="24"/>
          <w:szCs w:val="24"/>
        </w:rPr>
      </w:pPr>
      <w:r>
        <w:rPr>
          <w:rFonts w:ascii="Times New Roman" w:hAnsi="Times New Roman" w:cs="Times New Roman"/>
          <w:sz w:val="24"/>
          <w:szCs w:val="24"/>
        </w:rPr>
        <w:t>obchodní (marketingové) prověření dodavatele,</w:t>
      </w:r>
    </w:p>
    <w:p w:rsidR="00574400" w:rsidRDefault="00574400" w:rsidP="00574400">
      <w:pPr>
        <w:pStyle w:val="Odstavecseseznamem"/>
        <w:numPr>
          <w:ilvl w:val="0"/>
          <w:numId w:val="5"/>
        </w:numPr>
        <w:spacing w:after="120"/>
        <w:rPr>
          <w:rFonts w:ascii="Times New Roman" w:hAnsi="Times New Roman" w:cs="Times New Roman"/>
          <w:sz w:val="24"/>
          <w:szCs w:val="24"/>
        </w:rPr>
      </w:pPr>
      <w:r>
        <w:rPr>
          <w:rFonts w:ascii="Times New Roman" w:hAnsi="Times New Roman" w:cs="Times New Roman"/>
          <w:sz w:val="24"/>
          <w:szCs w:val="24"/>
        </w:rPr>
        <w:t>prověření manažerského systému dodavatele (pravděpodobnost vytvoření požadovaných vztahů).</w:t>
      </w:r>
    </w:p>
    <w:p w:rsidR="00574400" w:rsidRDefault="00574400" w:rsidP="00B03204">
      <w:pPr>
        <w:spacing w:after="120"/>
        <w:jc w:val="both"/>
        <w:rPr>
          <w:rFonts w:ascii="Times New Roman" w:hAnsi="Times New Roman" w:cs="Times New Roman"/>
          <w:sz w:val="24"/>
          <w:szCs w:val="24"/>
        </w:rPr>
      </w:pPr>
      <w:r>
        <w:rPr>
          <w:rFonts w:ascii="Times New Roman" w:hAnsi="Times New Roman" w:cs="Times New Roman"/>
          <w:sz w:val="24"/>
          <w:szCs w:val="24"/>
        </w:rPr>
        <w:t>Výsledkem této analýzy je tvorba potenciálního okruhu dodavatelů, kteří jsou schopni zajistit dodávky nakupovaných položek na základě požadovaných kritérií, tj. na základě kvality, schopnosti vlastního procesu výroby, dodacích lhůt, vyžadované technologie, požadovaných služeb atd.</w:t>
      </w:r>
    </w:p>
    <w:p w:rsidR="00AB2204" w:rsidRDefault="00AB2204" w:rsidP="00B03204">
      <w:pPr>
        <w:spacing w:after="120"/>
        <w:jc w:val="both"/>
        <w:rPr>
          <w:rFonts w:ascii="Times New Roman" w:hAnsi="Times New Roman" w:cs="Times New Roman"/>
          <w:sz w:val="24"/>
          <w:szCs w:val="24"/>
        </w:rPr>
      </w:pPr>
    </w:p>
    <w:p w:rsidR="00AB2204" w:rsidRPr="00AB2204" w:rsidRDefault="00AB2204" w:rsidP="00AB2204">
      <w:pPr>
        <w:rPr>
          <w:rFonts w:ascii="Times New Roman" w:eastAsia="Times New Roman" w:hAnsi="Times New Roman" w:cs="Times New Roman"/>
          <w:sz w:val="24"/>
          <w:szCs w:val="24"/>
          <w:lang w:eastAsia="cs-CZ"/>
        </w:rPr>
      </w:pPr>
      <w:r w:rsidRPr="00AB2204">
        <w:rPr>
          <w:rFonts w:ascii="Times New Roman" w:eastAsia="Times New Roman" w:hAnsi="Times New Roman" w:cs="Times New Roman"/>
          <w:sz w:val="24"/>
          <w:szCs w:val="24"/>
          <w:lang w:eastAsia="cs-CZ"/>
        </w:rPr>
        <w:t>Zdroj:</w:t>
      </w:r>
    </w:p>
    <w:p w:rsidR="00AB2204" w:rsidRPr="00574400" w:rsidRDefault="00AB2204" w:rsidP="00B03204">
      <w:pPr>
        <w:spacing w:after="120"/>
        <w:jc w:val="both"/>
        <w:rPr>
          <w:rFonts w:ascii="Times New Roman" w:hAnsi="Times New Roman" w:cs="Times New Roman"/>
          <w:sz w:val="24"/>
          <w:szCs w:val="24"/>
        </w:rPr>
      </w:pPr>
      <w:r>
        <w:rPr>
          <w:rFonts w:ascii="Times New Roman" w:hAnsi="Times New Roman" w:cs="Times New Roman"/>
          <w:sz w:val="24"/>
          <w:szCs w:val="24"/>
        </w:rPr>
        <w:t>TOMEK, Gustav, VÁVROVÁ, Věra.</w:t>
      </w:r>
      <w:r w:rsidR="00B25A7C">
        <w:rPr>
          <w:rFonts w:ascii="Times New Roman" w:hAnsi="Times New Roman" w:cs="Times New Roman"/>
          <w:sz w:val="24"/>
          <w:szCs w:val="24"/>
        </w:rPr>
        <w:t xml:space="preserve"> </w:t>
      </w:r>
      <w:r w:rsidR="00B25A7C" w:rsidRPr="00B25A7C">
        <w:rPr>
          <w:rFonts w:ascii="Times New Roman" w:hAnsi="Times New Roman" w:cs="Times New Roman"/>
          <w:i/>
          <w:sz w:val="24"/>
          <w:szCs w:val="24"/>
        </w:rPr>
        <w:t>Řízení výroby a nákupu.</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Praha : </w:t>
      </w:r>
      <w:proofErr w:type="spellStart"/>
      <w:r>
        <w:rPr>
          <w:rFonts w:ascii="Times New Roman" w:hAnsi="Times New Roman" w:cs="Times New Roman"/>
          <w:sz w:val="24"/>
          <w:szCs w:val="24"/>
        </w:rPr>
        <w:t>Grada</w:t>
      </w:r>
      <w:proofErr w:type="spellEnd"/>
      <w:proofErr w:type="gramEnd"/>
      <w:r>
        <w:rPr>
          <w:rFonts w:ascii="Times New Roman" w:hAnsi="Times New Roman" w:cs="Times New Roman"/>
          <w:sz w:val="24"/>
          <w:szCs w:val="24"/>
        </w:rPr>
        <w:t xml:space="preserve">, </w:t>
      </w:r>
      <w:r w:rsidR="00B25A7C">
        <w:rPr>
          <w:rFonts w:ascii="Times New Roman" w:hAnsi="Times New Roman" w:cs="Times New Roman"/>
          <w:sz w:val="24"/>
          <w:szCs w:val="24"/>
        </w:rPr>
        <w:t>2007. 285 a 286.</w:t>
      </w:r>
    </w:p>
    <w:p w:rsidR="00F03B75" w:rsidRPr="003D467D" w:rsidRDefault="00F03B75" w:rsidP="003D467D">
      <w:pPr>
        <w:spacing w:after="120"/>
        <w:rPr>
          <w:rFonts w:ascii="Times New Roman" w:hAnsi="Times New Roman" w:cs="Times New Roman"/>
          <w:sz w:val="24"/>
          <w:szCs w:val="24"/>
        </w:rPr>
      </w:pPr>
      <w:r w:rsidRPr="003D467D">
        <w:rPr>
          <w:rFonts w:ascii="Times New Roman" w:hAnsi="Times New Roman" w:cs="Times New Roman"/>
          <w:sz w:val="24"/>
          <w:szCs w:val="24"/>
        </w:rPr>
        <w:t xml:space="preserve">  </w:t>
      </w:r>
    </w:p>
    <w:p w:rsidR="00C5676D" w:rsidRPr="00C5676D" w:rsidRDefault="00C5676D" w:rsidP="00C5676D">
      <w:pPr>
        <w:spacing w:after="120"/>
        <w:rPr>
          <w:rFonts w:ascii="Times New Roman" w:hAnsi="Times New Roman" w:cs="Times New Roman"/>
          <w:sz w:val="24"/>
          <w:szCs w:val="24"/>
        </w:rPr>
      </w:pPr>
    </w:p>
    <w:p w:rsidR="00C017AB" w:rsidRPr="00C017AB" w:rsidRDefault="00C017AB">
      <w:pPr>
        <w:rPr>
          <w:rFonts w:ascii="Times New Roman" w:hAnsi="Times New Roman" w:cs="Times New Roman"/>
          <w:b/>
          <w:sz w:val="28"/>
          <w:szCs w:val="28"/>
        </w:rPr>
      </w:pPr>
      <w:bookmarkStart w:id="0" w:name="_GoBack"/>
      <w:bookmarkEnd w:id="0"/>
    </w:p>
    <w:sectPr w:rsidR="00C017AB" w:rsidRPr="00C01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C50"/>
    <w:multiLevelType w:val="hybridMultilevel"/>
    <w:tmpl w:val="F47CF4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A3D4C2F"/>
    <w:multiLevelType w:val="hybridMultilevel"/>
    <w:tmpl w:val="D72E95AC"/>
    <w:lvl w:ilvl="0" w:tplc="04050001">
      <w:start w:val="1"/>
      <w:numFmt w:val="bullet"/>
      <w:lvlText w:val=""/>
      <w:lvlJc w:val="left"/>
      <w:pPr>
        <w:ind w:left="779" w:hanging="360"/>
      </w:pPr>
      <w:rPr>
        <w:rFonts w:ascii="Symbol" w:hAnsi="Symbol" w:hint="default"/>
      </w:rPr>
    </w:lvl>
    <w:lvl w:ilvl="1" w:tplc="04050003" w:tentative="1">
      <w:start w:val="1"/>
      <w:numFmt w:val="bullet"/>
      <w:lvlText w:val="o"/>
      <w:lvlJc w:val="left"/>
      <w:pPr>
        <w:ind w:left="1499" w:hanging="360"/>
      </w:pPr>
      <w:rPr>
        <w:rFonts w:ascii="Courier New" w:hAnsi="Courier New" w:cs="Courier New" w:hint="default"/>
      </w:rPr>
    </w:lvl>
    <w:lvl w:ilvl="2" w:tplc="04050005" w:tentative="1">
      <w:start w:val="1"/>
      <w:numFmt w:val="bullet"/>
      <w:lvlText w:val=""/>
      <w:lvlJc w:val="left"/>
      <w:pPr>
        <w:ind w:left="2219" w:hanging="360"/>
      </w:pPr>
      <w:rPr>
        <w:rFonts w:ascii="Wingdings" w:hAnsi="Wingdings" w:hint="default"/>
      </w:rPr>
    </w:lvl>
    <w:lvl w:ilvl="3" w:tplc="04050001" w:tentative="1">
      <w:start w:val="1"/>
      <w:numFmt w:val="bullet"/>
      <w:lvlText w:val=""/>
      <w:lvlJc w:val="left"/>
      <w:pPr>
        <w:ind w:left="2939" w:hanging="360"/>
      </w:pPr>
      <w:rPr>
        <w:rFonts w:ascii="Symbol" w:hAnsi="Symbol" w:hint="default"/>
      </w:rPr>
    </w:lvl>
    <w:lvl w:ilvl="4" w:tplc="04050003" w:tentative="1">
      <w:start w:val="1"/>
      <w:numFmt w:val="bullet"/>
      <w:lvlText w:val="o"/>
      <w:lvlJc w:val="left"/>
      <w:pPr>
        <w:ind w:left="3659" w:hanging="360"/>
      </w:pPr>
      <w:rPr>
        <w:rFonts w:ascii="Courier New" w:hAnsi="Courier New" w:cs="Courier New" w:hint="default"/>
      </w:rPr>
    </w:lvl>
    <w:lvl w:ilvl="5" w:tplc="04050005" w:tentative="1">
      <w:start w:val="1"/>
      <w:numFmt w:val="bullet"/>
      <w:lvlText w:val=""/>
      <w:lvlJc w:val="left"/>
      <w:pPr>
        <w:ind w:left="4379" w:hanging="360"/>
      </w:pPr>
      <w:rPr>
        <w:rFonts w:ascii="Wingdings" w:hAnsi="Wingdings" w:hint="default"/>
      </w:rPr>
    </w:lvl>
    <w:lvl w:ilvl="6" w:tplc="04050001" w:tentative="1">
      <w:start w:val="1"/>
      <w:numFmt w:val="bullet"/>
      <w:lvlText w:val=""/>
      <w:lvlJc w:val="left"/>
      <w:pPr>
        <w:ind w:left="5099" w:hanging="360"/>
      </w:pPr>
      <w:rPr>
        <w:rFonts w:ascii="Symbol" w:hAnsi="Symbol" w:hint="default"/>
      </w:rPr>
    </w:lvl>
    <w:lvl w:ilvl="7" w:tplc="04050003" w:tentative="1">
      <w:start w:val="1"/>
      <w:numFmt w:val="bullet"/>
      <w:lvlText w:val="o"/>
      <w:lvlJc w:val="left"/>
      <w:pPr>
        <w:ind w:left="5819" w:hanging="360"/>
      </w:pPr>
      <w:rPr>
        <w:rFonts w:ascii="Courier New" w:hAnsi="Courier New" w:cs="Courier New" w:hint="default"/>
      </w:rPr>
    </w:lvl>
    <w:lvl w:ilvl="8" w:tplc="04050005" w:tentative="1">
      <w:start w:val="1"/>
      <w:numFmt w:val="bullet"/>
      <w:lvlText w:val=""/>
      <w:lvlJc w:val="left"/>
      <w:pPr>
        <w:ind w:left="6539" w:hanging="360"/>
      </w:pPr>
      <w:rPr>
        <w:rFonts w:ascii="Wingdings" w:hAnsi="Wingdings" w:hint="default"/>
      </w:rPr>
    </w:lvl>
  </w:abstractNum>
  <w:abstractNum w:abstractNumId="2">
    <w:nsid w:val="304040A3"/>
    <w:multiLevelType w:val="hybridMultilevel"/>
    <w:tmpl w:val="B938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6092471"/>
    <w:multiLevelType w:val="multilevel"/>
    <w:tmpl w:val="973A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4728D"/>
    <w:multiLevelType w:val="hybridMultilevel"/>
    <w:tmpl w:val="DB1C47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7AB"/>
    <w:rsid w:val="00154EB8"/>
    <w:rsid w:val="003D467D"/>
    <w:rsid w:val="005252FA"/>
    <w:rsid w:val="00574400"/>
    <w:rsid w:val="00780BB1"/>
    <w:rsid w:val="00AB2204"/>
    <w:rsid w:val="00B03204"/>
    <w:rsid w:val="00B25A7C"/>
    <w:rsid w:val="00C017AB"/>
    <w:rsid w:val="00C349D9"/>
    <w:rsid w:val="00C5676D"/>
    <w:rsid w:val="00D10DCC"/>
    <w:rsid w:val="00F03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6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48976">
      <w:bodyDiv w:val="1"/>
      <w:marLeft w:val="0"/>
      <w:marRight w:val="0"/>
      <w:marTop w:val="0"/>
      <w:marBottom w:val="0"/>
      <w:divBdr>
        <w:top w:val="none" w:sz="0" w:space="0" w:color="auto"/>
        <w:left w:val="none" w:sz="0" w:space="0" w:color="auto"/>
        <w:bottom w:val="none" w:sz="0" w:space="0" w:color="auto"/>
        <w:right w:val="none" w:sz="0" w:space="0" w:color="auto"/>
      </w:divBdr>
      <w:divsChild>
        <w:div w:id="261039444">
          <w:marLeft w:val="0"/>
          <w:marRight w:val="0"/>
          <w:marTop w:val="0"/>
          <w:marBottom w:val="0"/>
          <w:divBdr>
            <w:top w:val="none" w:sz="0" w:space="0" w:color="auto"/>
            <w:left w:val="none" w:sz="0" w:space="0" w:color="auto"/>
            <w:bottom w:val="none" w:sz="0" w:space="0" w:color="auto"/>
            <w:right w:val="none" w:sz="0" w:space="0" w:color="auto"/>
          </w:divBdr>
          <w:divsChild>
            <w:div w:id="278532054">
              <w:marLeft w:val="0"/>
              <w:marRight w:val="0"/>
              <w:marTop w:val="0"/>
              <w:marBottom w:val="0"/>
              <w:divBdr>
                <w:top w:val="none" w:sz="0" w:space="0" w:color="auto"/>
                <w:left w:val="none" w:sz="0" w:space="0" w:color="auto"/>
                <w:bottom w:val="none" w:sz="0" w:space="0" w:color="auto"/>
                <w:right w:val="none" w:sz="0" w:space="0" w:color="auto"/>
              </w:divBdr>
              <w:divsChild>
                <w:div w:id="9021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397</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6</cp:revision>
  <dcterms:created xsi:type="dcterms:W3CDTF">2015-09-14T11:24:00Z</dcterms:created>
  <dcterms:modified xsi:type="dcterms:W3CDTF">2015-09-15T08:47:00Z</dcterms:modified>
</cp:coreProperties>
</file>