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7B" w:rsidRDefault="004A6B7B"/>
    <w:p w:rsidR="004A6B7B" w:rsidRPr="0065446A" w:rsidRDefault="004A6B7B" w:rsidP="0065446A">
      <w:pPr>
        <w:keepNext/>
        <w:tabs>
          <w:tab w:val="num" w:pos="567"/>
        </w:tabs>
        <w:spacing w:before="240" w:after="240"/>
        <w:ind w:left="567" w:hanging="567"/>
        <w:outlineLvl w:val="0"/>
        <w:rPr>
          <w:rFonts w:ascii="Times New Roman" w:hAnsi="Times New Roman"/>
          <w:b/>
          <w:bCs/>
          <w:caps/>
          <w:kern w:val="32"/>
          <w:sz w:val="32"/>
          <w:szCs w:val="32"/>
          <w:lang w:eastAsia="cs-CZ"/>
        </w:rPr>
      </w:pPr>
      <w:bookmarkStart w:id="0" w:name="_Toc182657653"/>
      <w:r>
        <w:rPr>
          <w:rFonts w:ascii="Times New Roman" w:hAnsi="Times New Roman"/>
          <w:b/>
          <w:bCs/>
          <w:caps/>
          <w:sz w:val="32"/>
          <w:szCs w:val="32"/>
          <w:lang w:eastAsia="sk-SK"/>
        </w:rPr>
        <w:t xml:space="preserve">12 </w:t>
      </w:r>
      <w:r w:rsidRPr="0065446A">
        <w:rPr>
          <w:rFonts w:ascii="Times New Roman" w:hAnsi="Times New Roman"/>
          <w:b/>
          <w:bCs/>
          <w:caps/>
          <w:sz w:val="32"/>
          <w:szCs w:val="32"/>
          <w:lang w:eastAsia="sk-SK"/>
        </w:rPr>
        <w:t>Manažerská</w:t>
      </w:r>
      <w:r w:rsidRPr="0065446A">
        <w:rPr>
          <w:rFonts w:ascii="Times New Roman" w:hAnsi="Times New Roman"/>
          <w:b/>
          <w:bCs/>
          <w:caps/>
          <w:kern w:val="32"/>
          <w:sz w:val="32"/>
          <w:szCs w:val="32"/>
          <w:lang w:eastAsia="cs-CZ"/>
        </w:rPr>
        <w:t xml:space="preserve"> etika</w:t>
      </w:r>
      <w:bookmarkEnd w:id="0"/>
    </w:p>
    <w:p w:rsidR="004A6B7B" w:rsidRPr="0065446A" w:rsidRDefault="004A6B7B" w:rsidP="0065446A">
      <w:pPr>
        <w:keepNext/>
        <w:numPr>
          <w:ilvl w:val="1"/>
          <w:numId w:val="0"/>
        </w:numPr>
        <w:tabs>
          <w:tab w:val="num" w:pos="576"/>
        </w:tabs>
        <w:spacing w:before="240" w:after="60"/>
        <w:ind w:left="576" w:hanging="576"/>
        <w:jc w:val="both"/>
        <w:outlineLvl w:val="1"/>
        <w:rPr>
          <w:rFonts w:ascii="Arial" w:hAnsi="Arial" w:cs="Arial"/>
          <w:b/>
          <w:bCs/>
          <w:i/>
          <w:iCs/>
          <w:sz w:val="28"/>
          <w:szCs w:val="28"/>
          <w:lang w:eastAsia="cs-CZ"/>
        </w:rPr>
      </w:pPr>
      <w:bookmarkStart w:id="1" w:name="_Toc182657654"/>
      <w:r>
        <w:rPr>
          <w:rFonts w:ascii="Arial" w:hAnsi="Arial" w:cs="Arial"/>
          <w:b/>
          <w:bCs/>
          <w:i/>
          <w:iCs/>
          <w:sz w:val="28"/>
          <w:szCs w:val="28"/>
          <w:lang w:eastAsia="cs-CZ"/>
        </w:rPr>
        <w:t xml:space="preserve">12.1 </w:t>
      </w:r>
      <w:r w:rsidRPr="0065446A">
        <w:rPr>
          <w:rFonts w:ascii="Arial" w:hAnsi="Arial" w:cs="Arial"/>
          <w:b/>
          <w:bCs/>
          <w:i/>
          <w:iCs/>
          <w:sz w:val="28"/>
          <w:szCs w:val="28"/>
          <w:lang w:eastAsia="cs-CZ"/>
        </w:rPr>
        <w:t>Vývojové trendy</w:t>
      </w:r>
      <w:bookmarkEnd w:id="1"/>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Závěrečné tři dekády dvacátého století i začátek století jedenadvacátého jsou ve znamení rozmachu manažerské etiky a společenské odpovědnosti podnikání. Zdá se, jako by od čistě instrumentálního pojetí ekonomické teorie a praxe, kdy prostředek – zisk – je povyšován na cíl, docházelo k návratu ke „kořenům“ klasického evropského myšlení. Žádný z morálních filozofů, píše Bell</w:t>
      </w:r>
      <w:r w:rsidRPr="0065446A">
        <w:rPr>
          <w:rFonts w:ascii="Times New Roman" w:hAnsi="Times New Roman"/>
          <w:sz w:val="24"/>
          <w:szCs w:val="24"/>
          <w:vertAlign w:val="superscript"/>
          <w:lang w:eastAsia="cs-CZ"/>
        </w:rPr>
        <w:footnoteReference w:id="1"/>
      </w:r>
      <w:r w:rsidRPr="0065446A">
        <w:rPr>
          <w:rFonts w:ascii="Times New Roman" w:hAnsi="Times New Roman"/>
          <w:sz w:val="24"/>
          <w:szCs w:val="24"/>
          <w:lang w:eastAsia="cs-CZ"/>
        </w:rPr>
        <w:t>, od Aristotela a Tomáše Akvinského až po Johna Locka a Adama Smitha, nevnímal ekonomii odděleně od konkrétního souboru mravních cílů, které se na ni vztahují a žádný z nich nepovažoval výrobu statků za samoúčelnou. Vnímali ji naopak jako prostředek k ctnostné praxi či k dosažení civilizovaného života.</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Zřetelná artikulace etiky podnikání, připomíná Küng, a s tím související širší odpovědnost při řízení podniku, zazněla již v roce 1971 na prvním výročním zasedání ekonomických činitelů v Davosu a návazně pak na zasedáních následujících „ … na třetím davoském fóru roku 1973 byl předložen Kodex správného etického chování podnikového vedení, který jeho úlohu spatřuje v tom, že bude sloužit zákazníkům, zaměstnancům, finančníkům a společnosti a bude vyrovnávat jejich protikladné zájmy. Kodex vrcholí závěrečným ustanovením, že podnikatelský zisk je sice nutným prostředkem, nikoliv však konečným cílem každého podnikového vedení“.</w:t>
      </w:r>
      <w:r w:rsidRPr="0065446A">
        <w:rPr>
          <w:rFonts w:ascii="Times New Roman" w:hAnsi="Times New Roman"/>
          <w:sz w:val="24"/>
          <w:szCs w:val="24"/>
          <w:vertAlign w:val="superscript"/>
          <w:lang w:eastAsia="cs-CZ"/>
        </w:rPr>
        <w:footnoteReference w:id="2"/>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Dané pojetí přerůstá do podoby konceptu společenské odpovědnosti podnikání. Ta má řadu příznivců, má však i svoje odpůrce. Luknič</w:t>
      </w:r>
      <w:r w:rsidRPr="0065446A">
        <w:rPr>
          <w:rFonts w:ascii="Times New Roman" w:hAnsi="Times New Roman"/>
          <w:sz w:val="24"/>
          <w:szCs w:val="24"/>
          <w:vertAlign w:val="superscript"/>
          <w:lang w:eastAsia="cs-CZ"/>
        </w:rPr>
        <w:footnoteReference w:id="3"/>
      </w:r>
      <w:r w:rsidRPr="0065446A">
        <w:rPr>
          <w:rFonts w:ascii="Times New Roman" w:hAnsi="Times New Roman"/>
          <w:sz w:val="24"/>
          <w:szCs w:val="24"/>
          <w:lang w:eastAsia="cs-CZ"/>
        </w:rPr>
        <w:t xml:space="preserve"> upozorňuje, že tento koncept je v rozporu s názory liberálních ekonomů a připomíná v této souvislosti stanoviska M. Friedmana a J.K. Galbraitha. Ti vychází z premisy, že podnikatelé se řídí pouze ekonomickými zájmy, přičemž usměrňování jejich chování je dáno “neviditelnou rukou trhu” (neseriózní a nezodpovědný podnikatel nemůže být na trhu dlouhodobě úspěšný) a “viditelnou rukou státu”, která je schopna neetické a neodpovědné chování podnikatelů omezit rámcem právních předpisů. Očekávat od podnikatelů vlastní iniciativu ve smyslu realizace společenské odpovědnosti na úkor vlastního zisku a jdoucí nad rámec dvou základních regulátorů, tj. trhu a státu, je ve většině případů iluzí, a pokud by se tak v některých případech skutečně stalo, působilo by to v tržním hospodářství destabilizačně a ve svých důsledcích kontraproduktivně.</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Všimněme si teď blíže často citovaných názorů Friedmana. Ten ve svém významném článku, publikovaném již v roce 1970</w:t>
      </w:r>
      <w:r w:rsidRPr="0065446A">
        <w:rPr>
          <w:rFonts w:ascii="Times New Roman" w:hAnsi="Times New Roman"/>
          <w:sz w:val="24"/>
          <w:szCs w:val="24"/>
          <w:vertAlign w:val="superscript"/>
          <w:lang w:eastAsia="cs-CZ"/>
        </w:rPr>
        <w:footnoteReference w:id="4"/>
      </w:r>
      <w:r w:rsidRPr="0065446A">
        <w:rPr>
          <w:rFonts w:ascii="Times New Roman" w:hAnsi="Times New Roman"/>
          <w:sz w:val="24"/>
          <w:szCs w:val="24"/>
          <w:lang w:eastAsia="cs-CZ"/>
        </w:rPr>
        <w:t>, považuje diskuse o společenské odpovědnosti podnikání za analyticky vágní, terminologicky mlhavé a aplikace těchto myšlenek za principiálně škodlivé. Připomíná, že podnikání nelze personifikovat a proto „podnikání“ nemůže nést zodpovědnost. Stejně tak podnik. Odpovědnost mohou mít pouze lidé, v daném případě buď vlastníci podniků, nebo manažeři. Vzhledem k tomu, že většina diskusí se implicite vztahuje k top managementu korporací, věnuje pozornost právě této oblasti. Manažer stojící v čele podniku je zaměstnancem vlastníků. Má vůči nim přímou zodpovědnost za vedení podniku podle jejich přání. To většinou znamená vydělat tolik peněz, kolik je jen možné, při respektování základních pravidel, jak jsou vyjádřena v právním systému a etických zvyklostí.</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 xml:space="preserve">Manažer, soudí Friedman, není však samozřejmě pouze zaměstnancem sloužícím vlastníkům. Je rovněž individualitou s řadou dalších závazků, a to například vůči rodině, komunitám, jejichž je členem i vůči vlastnímu svědomí. Díky tomu může cítit povinnost věnovat část svých aktivit, resp. část svých prostředků na účely, které považuje za toho hodné. Může tak však činit pouze mimo rámec smlouvy, kterou uzavřel s vlastníky, tedy mimo rámec pracovní doby a s vlastními finančními prostředky. Může také pochopitelně smluvní vztah s vlastníky podniku vypovědět, pokud s jejich cíli a způsoby jejich dosahování nebude souhlasit, či bude mít za to, že další setrvávání v podniku mu brání v realizaci něčeho, co považuje za důležitější. </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To vše je plně legitimní. Co však Friedman považuje za principiálně nesprávné, je situace, kdy manažer realizuje svoji společenskou odpovědnost na „cizí účet“, tedy s využíváním prostředků podniku bez vědomí vlastníků, či proti jejich vůli. Tím, že utrácí prostředky na naplňování nějakých širších společenských cílů, byť veden nezištnými a ušlechtilými pohnutkami, se dopouští nemorálního chování, neboť o tyto  prostředky krátí ty, kterým náleží: akcionáře, zaměstnance, zákazníky. Ti by mohli tyto své peníze na dané cíle věnovat, kdyby si to přáli. Manažer to však činí za ně a bez jejich souhlasu. Dostává se tak do role samozvaného přerozdělovacího orgánu. Ukládá „dodatečné daně“ a zároveň rozhoduje, na co by se měl jejich výnos utratit.</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Připusťme však nyní, že tak činí s vědomím či dokonce na základě přání vlastníků. Pak je z hlediska manažera i vlastníků všechno v pořádku. Vlastníci po splnění všech závazků vůči smluvním stranám věnují část svého zisku například na dobročinné účely či nadstandardní péči o životní prostředí a manažer koná to, co je jeho povinností, tedy tyto záměry vlastníků realizuje. Friedman si však klade otázku, co vlastníky motivuje k takovým záměrům a zda může být realizace společenské odpovědnosti na podnikové úrovni efektivní.</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Stran motivace má za to, že v praxi je často doktrína společenské odpovědnosti jen zástěrkou pro konání, jež má jiné, než nezištné důvody. Co se týká efektivnosti vynaložených prostředků, vyslovuje Friedman silné pochybnosti o tom, že to, co normálně náleží státu, může stejně dobře, ne-li lépe vykonávat soukromý podnik. Stát je pro tyto účely vybaven celou soustavou demokratických mechanismů. Má vládu a další ústřední orgány disponující řadou speciálně připravených odborníků pro realizaci přerozdělovacích funkcí. Má vytvořen systém propracovaných ústavních, parlamentních a soudních opatření pro kontrolu těchto funkcí. Naproti tomu podnikatel, nikým nezvolený, má najednou zastoupit funkci zákonodárnou, exekutivní a soudní. Má rozhodnout, „koho zdanit“ a jak s výtěžkem naložit. Je málo pravděpodobné, že takové počínání bude efektivní, nehledě na to, že lze pochybovat o jeho legitimitě v obecném slova smyslu.</w:t>
      </w:r>
    </w:p>
    <w:p w:rsidR="004A6B7B" w:rsidRPr="0065446A" w:rsidRDefault="004A6B7B" w:rsidP="0065446A">
      <w:pPr>
        <w:keepNext/>
        <w:spacing w:before="240" w:after="240"/>
        <w:outlineLvl w:val="4"/>
        <w:rPr>
          <w:rFonts w:ascii="Times New Roman" w:hAnsi="Times New Roman"/>
          <w:bCs/>
          <w:iCs/>
          <w:sz w:val="24"/>
          <w:szCs w:val="24"/>
          <w:lang w:eastAsia="cs-CZ"/>
        </w:rPr>
      </w:pPr>
      <w:r w:rsidRPr="0065446A">
        <w:rPr>
          <w:rFonts w:ascii="Times New Roman" w:hAnsi="Times New Roman"/>
          <w:bCs/>
          <w:iCs/>
          <w:sz w:val="24"/>
          <w:szCs w:val="24"/>
          <w:lang w:eastAsia="cs-CZ"/>
        </w:rPr>
        <w:t>Z výše uvedené interpretace Friedmanovy stati vyplývají tři důležité skutečnosti:</w:t>
      </w:r>
    </w:p>
    <w:p w:rsidR="004A6B7B" w:rsidRPr="0065446A" w:rsidRDefault="004A6B7B" w:rsidP="0065446A">
      <w:pPr>
        <w:numPr>
          <w:ilvl w:val="0"/>
          <w:numId w:val="1"/>
        </w:numPr>
        <w:spacing w:after="240" w:line="288" w:lineRule="auto"/>
        <w:contextualSpacing/>
        <w:jc w:val="both"/>
        <w:rPr>
          <w:rFonts w:ascii="Times New Roman" w:hAnsi="Times New Roman"/>
          <w:sz w:val="24"/>
          <w:szCs w:val="24"/>
          <w:lang w:eastAsia="cs-CZ"/>
        </w:rPr>
      </w:pPr>
      <w:r w:rsidRPr="0065446A">
        <w:rPr>
          <w:rFonts w:ascii="Times New Roman" w:hAnsi="Times New Roman"/>
          <w:sz w:val="24"/>
          <w:szCs w:val="24"/>
          <w:lang w:eastAsia="cs-CZ"/>
        </w:rPr>
        <w:t>Friedman není zastáncem dosahování zisku za jakýchkoliv podmínek, nýbrž pouze při respektování právních předpisů a (což je třeba zdůraznit) „etických zvyklostí“. Zdá se, že právě názor na to, co konkrétně se za etické zvyklosti považuje, je podstatou rozdílu mezi názory liberálních ekonomů a zastánci doktríny společenské odpovědnosti podniku.</w:t>
      </w:r>
    </w:p>
    <w:p w:rsidR="004A6B7B" w:rsidRPr="0065446A" w:rsidRDefault="004A6B7B" w:rsidP="0065446A">
      <w:pPr>
        <w:numPr>
          <w:ilvl w:val="0"/>
          <w:numId w:val="1"/>
        </w:numPr>
        <w:spacing w:after="240" w:line="288" w:lineRule="auto"/>
        <w:contextualSpacing/>
        <w:jc w:val="both"/>
        <w:rPr>
          <w:rFonts w:ascii="Times New Roman" w:hAnsi="Times New Roman"/>
          <w:sz w:val="24"/>
          <w:szCs w:val="24"/>
          <w:lang w:eastAsia="cs-CZ"/>
        </w:rPr>
      </w:pPr>
      <w:r w:rsidRPr="0065446A">
        <w:rPr>
          <w:rFonts w:ascii="Times New Roman" w:hAnsi="Times New Roman"/>
          <w:sz w:val="24"/>
          <w:szCs w:val="24"/>
          <w:lang w:eastAsia="cs-CZ"/>
        </w:rPr>
        <w:t>Realizaci společenské odpovědnosti manažerů a především vlastníků principiálně neodmítá, ovšem jasně říká, že není tak možno činit způsobem, kdy jsou zcizována práva jiných, byť ve jménu ušlechtilých cílů.</w:t>
      </w:r>
    </w:p>
    <w:p w:rsidR="004A6B7B" w:rsidRPr="0065446A" w:rsidRDefault="004A6B7B" w:rsidP="0065446A">
      <w:pPr>
        <w:numPr>
          <w:ilvl w:val="0"/>
          <w:numId w:val="1"/>
        </w:numPr>
        <w:spacing w:after="240" w:line="288" w:lineRule="auto"/>
        <w:contextualSpacing/>
        <w:jc w:val="both"/>
        <w:rPr>
          <w:rFonts w:ascii="Times New Roman" w:hAnsi="Times New Roman"/>
          <w:sz w:val="24"/>
          <w:szCs w:val="24"/>
          <w:lang w:eastAsia="cs-CZ"/>
        </w:rPr>
      </w:pPr>
      <w:r w:rsidRPr="0065446A">
        <w:rPr>
          <w:rFonts w:ascii="Times New Roman" w:hAnsi="Times New Roman"/>
          <w:sz w:val="24"/>
          <w:szCs w:val="24"/>
          <w:lang w:eastAsia="cs-CZ"/>
        </w:rPr>
        <w:t>Nahrazování funkcí státu realizací společenské odpovědnosti podniků považuje za neefektivní.</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Zmíněná kritika tedy nepředstavuje totální negaci doktríny společenské odpovědnosti podniků. Je naopak dobře využitelná pro její analýzu a teoretické upřesnění. Od zmíněných aktivit však dle Friedmana nelze očekávat, že by měly začít v širší míře nahrazovat funkce státu, zejména co se týče přerozdělovacích procesů. Není to reálné, a pokud by přece k tomu začalo docházet, svědčilo by to o vážném selhání na straně státu.</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Dlužno připomenout, že od doby publikace uvedeného článku došlo k řadě zásadních změn. Vývojové tendence závěrečných dekád dvacátého století jasně směřují ke zvětšování podnikatelských subjektů, nabývajících podobu nadnárodních společností, s rozsáhlou strukturou, často provázanou do složitých sítí, napojujících na sebe velké množství dalších menších podnikatelských subjektů, operujících nezřídka v globálních rozměrech. Tyto subjekty disponují obrovským ekonomickým potenciálem a obrovskou mocí.</w:t>
      </w:r>
    </w:p>
    <w:p w:rsidR="004A6B7B" w:rsidRPr="0065446A"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Působení výše zmíněných dvou regulátorů - trhu a státu se vůči jejich moci stává problematickým. Trh, na kterém tyto subjekty působí, je na hony vzdálen trhu volné soutěže v modelech liberálních ekonomů, charakteristickému velkým počtem aktérů na straně nabídky i na straně poptávky, z nichž žádný jednotlivě nemůže situaci trhu jako celku zvrátit. Zmíněné gigantické podnikatelské subjekty zaujímají v nejednom případě takové dominantní postavení, že objektivní působení trhu může být značně oslabeno. Podobně je to i se státem. Jak známo, státy, zvláště s méně rozvinutou ekonomikou a s nižším potenciálem svého hospodářství, se dostávají do závislosti na nadnárodním kapitálu a mocným nadnárodním společnostem činí rozsáhlé ústupky. Kapitál operuje v globálním měřítku a volí si místo pro své podnikatelské aktivity podle kriterií vlastní výhodnosti, zatímco moc státu a z něho odvozené možnosti vlivu jsou omezeny pouze na jeho území.</w:t>
      </w:r>
    </w:p>
    <w:p w:rsidR="004A6B7B" w:rsidRDefault="004A6B7B" w:rsidP="0065446A">
      <w:pPr>
        <w:jc w:val="both"/>
        <w:rPr>
          <w:rFonts w:ascii="Times New Roman" w:hAnsi="Times New Roman"/>
          <w:sz w:val="24"/>
          <w:szCs w:val="24"/>
          <w:lang w:eastAsia="cs-CZ"/>
        </w:rPr>
      </w:pPr>
      <w:r w:rsidRPr="0065446A">
        <w:rPr>
          <w:rFonts w:ascii="Times New Roman" w:hAnsi="Times New Roman"/>
          <w:sz w:val="24"/>
          <w:szCs w:val="24"/>
          <w:lang w:eastAsia="cs-CZ"/>
        </w:rPr>
        <w:t>Rostoucí moc nadnárodních společností může vést k převaze jejich moci nad trhem a státem a z toho vyplývající nerovnováze. Vznikají obavy, že tyto subjekty využijí své mocenské převahy k ničím neomezené maximalizaci vlastního užitku, což povede k devastaci ekonomického, sociálního, politického i přírodního prostředí.</w:t>
      </w:r>
    </w:p>
    <w:p w:rsidR="004A6B7B" w:rsidRDefault="004A6B7B" w:rsidP="0065446A">
      <w:pPr>
        <w:jc w:val="both"/>
        <w:rPr>
          <w:rFonts w:ascii="Times New Roman" w:hAnsi="Times New Roman"/>
          <w:sz w:val="24"/>
          <w:szCs w:val="24"/>
          <w:lang w:eastAsia="cs-CZ"/>
        </w:rPr>
      </w:pPr>
    </w:p>
    <w:p w:rsidR="004A6B7B" w:rsidRDefault="004A6B7B" w:rsidP="0065446A">
      <w:pPr>
        <w:jc w:val="both"/>
        <w:rPr>
          <w:rFonts w:ascii="Times New Roman" w:hAnsi="Times New Roman"/>
          <w:sz w:val="24"/>
          <w:szCs w:val="24"/>
          <w:lang w:eastAsia="cs-CZ"/>
        </w:rPr>
      </w:pPr>
    </w:p>
    <w:p w:rsidR="004A6B7B" w:rsidRPr="0065446A" w:rsidRDefault="004A6B7B" w:rsidP="0065446A">
      <w:pPr>
        <w:jc w:val="both"/>
        <w:rPr>
          <w:rFonts w:ascii="Times New Roman" w:hAnsi="Times New Roman"/>
          <w:sz w:val="24"/>
          <w:szCs w:val="24"/>
          <w:lang w:eastAsia="cs-CZ"/>
        </w:rPr>
      </w:pPr>
      <w:r>
        <w:rPr>
          <w:rFonts w:ascii="Times New Roman" w:hAnsi="Times New Roman"/>
          <w:sz w:val="24"/>
          <w:szCs w:val="24"/>
          <w:lang w:eastAsia="cs-CZ"/>
        </w:rPr>
        <w:t xml:space="preserve">Převzato z publikace BLAŽEK, Ladislav, ČÁSTEK, Ondřej. </w:t>
      </w:r>
      <w:r w:rsidRPr="0065446A">
        <w:rPr>
          <w:rFonts w:ascii="Times New Roman" w:hAnsi="Times New Roman"/>
          <w:i/>
          <w:sz w:val="24"/>
          <w:szCs w:val="24"/>
          <w:lang w:eastAsia="cs-CZ"/>
        </w:rPr>
        <w:t>Management II. Průvodce studiem.</w:t>
      </w:r>
      <w:r>
        <w:rPr>
          <w:rFonts w:ascii="Times New Roman" w:hAnsi="Times New Roman"/>
          <w:sz w:val="24"/>
          <w:szCs w:val="24"/>
          <w:lang w:eastAsia="cs-CZ"/>
        </w:rPr>
        <w:t xml:space="preserve"> Brno : MU ESF 2007. s. 71 až 73</w:t>
      </w:r>
    </w:p>
    <w:p w:rsidR="004A6B7B" w:rsidRDefault="004A6B7B">
      <w:bookmarkStart w:id="2" w:name="_GoBack"/>
      <w:bookmarkEnd w:id="2"/>
    </w:p>
    <w:sectPr w:rsidR="004A6B7B" w:rsidSect="002C71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7B" w:rsidRDefault="004A6B7B" w:rsidP="0065446A">
      <w:r>
        <w:separator/>
      </w:r>
    </w:p>
  </w:endnote>
  <w:endnote w:type="continuationSeparator" w:id="0">
    <w:p w:rsidR="004A6B7B" w:rsidRDefault="004A6B7B" w:rsidP="00654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7B" w:rsidRDefault="004A6B7B" w:rsidP="0065446A">
      <w:r>
        <w:separator/>
      </w:r>
    </w:p>
  </w:footnote>
  <w:footnote w:type="continuationSeparator" w:id="0">
    <w:p w:rsidR="004A6B7B" w:rsidRDefault="004A6B7B" w:rsidP="0065446A">
      <w:r>
        <w:continuationSeparator/>
      </w:r>
    </w:p>
  </w:footnote>
  <w:footnote w:id="1">
    <w:p w:rsidR="004A6B7B" w:rsidRDefault="004A6B7B" w:rsidP="0065446A">
      <w:pPr>
        <w:pStyle w:val="FootnoteText"/>
      </w:pPr>
      <w:r>
        <w:rPr>
          <w:rStyle w:val="FootnoteReference"/>
        </w:rPr>
        <w:footnoteRef/>
      </w:r>
      <w:r>
        <w:t xml:space="preserve"> </w:t>
      </w:r>
      <w:r w:rsidRPr="00BA3E80">
        <w:rPr>
          <w:caps/>
        </w:rPr>
        <w:t>Bell</w:t>
      </w:r>
      <w:r>
        <w:t xml:space="preserve">, D. </w:t>
      </w:r>
      <w:r w:rsidRPr="00BA3E80">
        <w:rPr>
          <w:i/>
        </w:rPr>
        <w:t>Kulturní rozpory kapitalismu</w:t>
      </w:r>
      <w:r>
        <w:t>. Praha : Sociologické nakladatelství, 1999. s.10.</w:t>
      </w:r>
    </w:p>
  </w:footnote>
  <w:footnote w:id="2">
    <w:p w:rsidR="004A6B7B" w:rsidRDefault="004A6B7B" w:rsidP="0065446A">
      <w:pPr>
        <w:pStyle w:val="FootnoteText"/>
      </w:pPr>
      <w:r>
        <w:rPr>
          <w:rStyle w:val="FootnoteReference"/>
        </w:rPr>
        <w:footnoteRef/>
      </w:r>
      <w:r>
        <w:t xml:space="preserve"> </w:t>
      </w:r>
      <w:r w:rsidRPr="00BA3E80">
        <w:rPr>
          <w:caps/>
        </w:rPr>
        <w:t>Küng</w:t>
      </w:r>
      <w:r>
        <w:t xml:space="preserve">, H. </w:t>
      </w:r>
      <w:r w:rsidRPr="00BA3E80">
        <w:rPr>
          <w:i/>
        </w:rPr>
        <w:t>Weltethos für Welfpolitik und Weltwirtschaft</w:t>
      </w:r>
      <w:r>
        <w:t>. München: Piper Verlag, 1997.</w:t>
      </w:r>
    </w:p>
  </w:footnote>
  <w:footnote w:id="3">
    <w:p w:rsidR="004A6B7B" w:rsidRDefault="004A6B7B" w:rsidP="0065446A">
      <w:r w:rsidRPr="00482BA4">
        <w:rPr>
          <w:rStyle w:val="FootnoteReference"/>
          <w:sz w:val="20"/>
          <w:szCs w:val="20"/>
        </w:rPr>
        <w:footnoteRef/>
      </w:r>
      <w:r w:rsidRPr="00482BA4">
        <w:t xml:space="preserve"> </w:t>
      </w:r>
      <w:r w:rsidRPr="00973A55">
        <w:rPr>
          <w:caps/>
        </w:rPr>
        <w:t>Luknič</w:t>
      </w:r>
      <w:r w:rsidRPr="00482BA4">
        <w:t xml:space="preserve">, A. </w:t>
      </w:r>
      <w:r w:rsidRPr="00973A55">
        <w:rPr>
          <w:i/>
        </w:rPr>
        <w:t>Štvrtý rozmer podnikania - etika</w:t>
      </w:r>
      <w:r w:rsidRPr="00896D22">
        <w:t>. Bratislava: Slovak Academic Press, 1994.</w:t>
      </w:r>
    </w:p>
  </w:footnote>
  <w:footnote w:id="4">
    <w:p w:rsidR="004A6B7B" w:rsidRDefault="004A6B7B" w:rsidP="0065446A">
      <w:pPr>
        <w:pStyle w:val="FootnoteText"/>
      </w:pPr>
      <w:r>
        <w:rPr>
          <w:rStyle w:val="FootnoteReference"/>
        </w:rPr>
        <w:footnoteRef/>
      </w:r>
      <w:r>
        <w:t xml:space="preserve"> </w:t>
      </w:r>
      <w:r w:rsidRPr="00973A55">
        <w:rPr>
          <w:caps/>
        </w:rPr>
        <w:t>Friedman</w:t>
      </w:r>
      <w:r>
        <w:t xml:space="preserve">, M. </w:t>
      </w:r>
      <w:r w:rsidRPr="00973A55">
        <w:rPr>
          <w:i/>
        </w:rPr>
        <w:t>The Social Responsibility of Business Is to Increase Its Profits</w:t>
      </w:r>
      <w:r>
        <w:t>. New York Times Magazíne, Sept. 1970.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E3D"/>
    <w:multiLevelType w:val="hybridMultilevel"/>
    <w:tmpl w:val="32C4E966"/>
    <w:lvl w:ilvl="0" w:tplc="931AE85A">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46A"/>
    <w:rsid w:val="002C71D7"/>
    <w:rsid w:val="00482BA4"/>
    <w:rsid w:val="004A6B7B"/>
    <w:rsid w:val="004C0FCA"/>
    <w:rsid w:val="0065446A"/>
    <w:rsid w:val="007B1196"/>
    <w:rsid w:val="00896D22"/>
    <w:rsid w:val="00973A55"/>
    <w:rsid w:val="009D11F0"/>
    <w:rsid w:val="00BA3E80"/>
    <w:rsid w:val="00C349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D7"/>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446A"/>
    <w:rPr>
      <w:sz w:val="20"/>
      <w:szCs w:val="20"/>
    </w:rPr>
  </w:style>
  <w:style w:type="character" w:customStyle="1" w:styleId="FootnoteTextChar">
    <w:name w:val="Footnote Text Char"/>
    <w:basedOn w:val="DefaultParagraphFont"/>
    <w:link w:val="FootnoteText"/>
    <w:uiPriority w:val="99"/>
    <w:semiHidden/>
    <w:locked/>
    <w:rsid w:val="0065446A"/>
    <w:rPr>
      <w:rFonts w:cs="Times New Roman"/>
      <w:sz w:val="20"/>
      <w:szCs w:val="20"/>
    </w:rPr>
  </w:style>
  <w:style w:type="character" w:styleId="FootnoteReference">
    <w:name w:val="footnote reference"/>
    <w:basedOn w:val="DefaultParagraphFont"/>
    <w:uiPriority w:val="99"/>
    <w:semiHidden/>
    <w:rsid w:val="0065446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1325</Words>
  <Characters>7824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 Ladislav</dc:creator>
  <cp:keywords/>
  <dc:description/>
  <cp:lastModifiedBy>Laďa</cp:lastModifiedBy>
  <cp:revision>2</cp:revision>
  <dcterms:created xsi:type="dcterms:W3CDTF">2015-09-08T14:03:00Z</dcterms:created>
  <dcterms:modified xsi:type="dcterms:W3CDTF">2015-09-20T11:16:00Z</dcterms:modified>
</cp:coreProperties>
</file>