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2" w:rsidRDefault="00D108A2"/>
    <w:p w:rsidR="00D108A2" w:rsidRPr="009503A3" w:rsidRDefault="00D108A2" w:rsidP="00CF62A0">
      <w:pPr>
        <w:spacing w:after="120"/>
        <w:rPr>
          <w:rFonts w:ascii="Times New Roman" w:hAnsi="Times New Roman"/>
          <w:sz w:val="24"/>
          <w:szCs w:val="24"/>
        </w:rPr>
      </w:pPr>
      <w:r w:rsidRPr="0014157C">
        <w:rPr>
          <w:rFonts w:ascii="Times New Roman" w:hAnsi="Times New Roman"/>
          <w:b/>
          <w:color w:val="0000FF"/>
          <w:sz w:val="28"/>
          <w:szCs w:val="28"/>
        </w:rPr>
        <w:t>T</w:t>
      </w:r>
      <w:r>
        <w:rPr>
          <w:rFonts w:ascii="Times New Roman" w:hAnsi="Times New Roman"/>
          <w:b/>
          <w:color w:val="0000FF"/>
          <w:sz w:val="28"/>
          <w:szCs w:val="28"/>
        </w:rPr>
        <w:t>08</w:t>
      </w:r>
      <w:r w:rsidRPr="0014157C">
        <w:rPr>
          <w:rFonts w:ascii="Times New Roman" w:hAnsi="Times New Roman"/>
          <w:b/>
          <w:sz w:val="28"/>
          <w:szCs w:val="28"/>
        </w:rPr>
        <w:t xml:space="preserve"> Řízení vztahu podniku k</w:t>
      </w:r>
      <w:r>
        <w:rPr>
          <w:rFonts w:ascii="Times New Roman" w:hAnsi="Times New Roman"/>
          <w:b/>
          <w:sz w:val="28"/>
          <w:szCs w:val="28"/>
        </w:rPr>
        <w:t xml:space="preserve"> věřitelům</w:t>
      </w:r>
      <w:r w:rsidRPr="009503A3">
        <w:rPr>
          <w:rFonts w:ascii="Times New Roman" w:hAnsi="Times New Roman"/>
          <w:sz w:val="24"/>
          <w:szCs w:val="24"/>
        </w:rPr>
        <w:t>.</w:t>
      </w:r>
    </w:p>
    <w:p w:rsidR="00D108A2" w:rsidRDefault="00D108A2"/>
    <w:p w:rsidR="00D108A2" w:rsidRDefault="00D108A2" w:rsidP="0022614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nedostatku prostředků na realizaci určitého záměru podnik zvažuje nejvhodnější variantu, jak tuto situaci řešit. Nabízí se v zásadě tři možnosti:</w:t>
      </w:r>
    </w:p>
    <w:p w:rsidR="00D108A2" w:rsidRDefault="00D108A2" w:rsidP="00E9679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navýšení kapitálu ze strany vlastníků,</w:t>
      </w:r>
    </w:p>
    <w:p w:rsidR="00D108A2" w:rsidRDefault="00D108A2" w:rsidP="00E9679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pronájem od leasingové společnosti,</w:t>
      </w:r>
    </w:p>
    <w:p w:rsidR="00D108A2" w:rsidRDefault="00D108A2" w:rsidP="00A20332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přijetí úvěru od banky.</w:t>
      </w:r>
    </w:p>
    <w:p w:rsidR="00D108A2" w:rsidRDefault="00D108A2" w:rsidP="0022614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Záměrem přijmout úvěr (a v podstatě i cestou leasingu) se podnik dostává do vztahu k další skupině stakeholderů, kterou tvoří věřitelé.</w:t>
      </w:r>
    </w:p>
    <w:p w:rsidR="00D108A2" w:rsidRDefault="00D108A2" w:rsidP="0022614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vztahu věřitel - podnik poskytuje banka podniku úvěr, tj. poskytuje dočasně své finanční prostředky podnikatelskému subjektu, který s nimi hospodaří. Úvěry jsou poskytovány účelově. </w:t>
      </w:r>
      <w:r w:rsidRPr="004E7651">
        <w:rPr>
          <w:rFonts w:ascii="Times New Roman" w:hAnsi="Times New Roman"/>
          <w:sz w:val="24"/>
          <w:szCs w:val="24"/>
        </w:rPr>
        <w:t xml:space="preserve">Účel je dán buď konkrétně, nebo obecně na určitou část podnikatelské činnosti </w:t>
      </w:r>
      <w:r>
        <w:rPr>
          <w:rFonts w:ascii="Times New Roman" w:hAnsi="Times New Roman"/>
          <w:sz w:val="24"/>
          <w:szCs w:val="24"/>
        </w:rPr>
        <w:t>podniku</w:t>
      </w:r>
      <w:r w:rsidRPr="004E7651">
        <w:rPr>
          <w:rFonts w:ascii="Times New Roman" w:hAnsi="Times New Roman"/>
          <w:sz w:val="24"/>
          <w:szCs w:val="24"/>
        </w:rPr>
        <w:t>. Konkrétním účelem může být financování určitého projektu, určitého obchodu, nákupu nového vybavení</w:t>
      </w:r>
      <w:r>
        <w:rPr>
          <w:rFonts w:ascii="Times New Roman" w:hAnsi="Times New Roman"/>
          <w:sz w:val="24"/>
          <w:szCs w:val="24"/>
        </w:rPr>
        <w:t xml:space="preserve"> atd</w:t>
      </w:r>
      <w:r w:rsidRPr="004E7651">
        <w:rPr>
          <w:rFonts w:ascii="Times New Roman" w:hAnsi="Times New Roman"/>
          <w:sz w:val="24"/>
          <w:szCs w:val="24"/>
        </w:rPr>
        <w:t>. Ostatní úvě</w:t>
      </w:r>
      <w:r>
        <w:rPr>
          <w:rFonts w:ascii="Times New Roman" w:hAnsi="Times New Roman"/>
          <w:sz w:val="24"/>
          <w:szCs w:val="24"/>
        </w:rPr>
        <w:t>ry</w:t>
      </w:r>
      <w:r w:rsidRPr="004E7651">
        <w:rPr>
          <w:rFonts w:ascii="Times New Roman" w:hAnsi="Times New Roman"/>
          <w:sz w:val="24"/>
          <w:szCs w:val="24"/>
        </w:rPr>
        <w:t xml:space="preserve"> jsou vázány účelově alespoň vymezením činností, na které lze poskytnuté prostředky použí</w:t>
      </w:r>
      <w:r>
        <w:rPr>
          <w:rFonts w:ascii="Times New Roman" w:hAnsi="Times New Roman"/>
          <w:sz w:val="24"/>
          <w:szCs w:val="24"/>
        </w:rPr>
        <w:t>t.  Může se jednat n</w:t>
      </w:r>
      <w:r w:rsidRPr="004E7651">
        <w:rPr>
          <w:rFonts w:ascii="Times New Roman" w:hAnsi="Times New Roman"/>
          <w:sz w:val="24"/>
          <w:szCs w:val="24"/>
        </w:rPr>
        <w:t>apř</w:t>
      </w:r>
      <w:r>
        <w:rPr>
          <w:rFonts w:ascii="Times New Roman" w:hAnsi="Times New Roman"/>
          <w:sz w:val="24"/>
          <w:szCs w:val="24"/>
        </w:rPr>
        <w:t>íklad</w:t>
      </w:r>
      <w:r w:rsidRPr="004E7651">
        <w:rPr>
          <w:rFonts w:ascii="Times New Roman" w:hAnsi="Times New Roman"/>
          <w:sz w:val="24"/>
          <w:szCs w:val="24"/>
        </w:rPr>
        <w:t xml:space="preserve"> provozní úvěr na nákup</w:t>
      </w:r>
      <w:r>
        <w:rPr>
          <w:rFonts w:ascii="Times New Roman" w:hAnsi="Times New Roman"/>
          <w:sz w:val="24"/>
          <w:szCs w:val="24"/>
        </w:rPr>
        <w:t xml:space="preserve"> materiálu</w:t>
      </w:r>
      <w:r w:rsidRPr="004E7651">
        <w:rPr>
          <w:rFonts w:ascii="Times New Roman" w:hAnsi="Times New Roman"/>
          <w:sz w:val="24"/>
          <w:szCs w:val="24"/>
        </w:rPr>
        <w:t xml:space="preserve"> nebo na zajištění potřebné likvidity</w:t>
      </w:r>
      <w:r>
        <w:rPr>
          <w:rFonts w:ascii="Times New Roman" w:hAnsi="Times New Roman"/>
          <w:sz w:val="24"/>
          <w:szCs w:val="24"/>
        </w:rPr>
        <w:t xml:space="preserve"> apod</w:t>
      </w:r>
      <w:r w:rsidRPr="004E7651">
        <w:rPr>
          <w:rFonts w:ascii="Times New Roman" w:hAnsi="Times New Roman"/>
          <w:sz w:val="24"/>
          <w:szCs w:val="24"/>
        </w:rPr>
        <w:t>.</w:t>
      </w:r>
    </w:p>
    <w:p w:rsidR="00D108A2" w:rsidRDefault="00D108A2" w:rsidP="00710EA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Smysluplnost poskytnutí úvěru bankou, resp. přijetí úvěru podnikem vychází z předpokladu pozitivního efektu plynoucího z této transakce. Předpokládá se, že díky hospodářské činnosti podniku budou vytvořeny finanční zdroje v takové výši, která umožní nejen splacení úvěru včetně úroků, ale navíc též odpovídající zisk pro podnik. </w:t>
      </w:r>
    </w:p>
    <w:p w:rsidR="00D108A2" w:rsidRDefault="00D108A2" w:rsidP="00710EA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tohoto vztahu se však </w:t>
      </w:r>
      <w:r w:rsidRPr="00E9679C">
        <w:rPr>
          <w:rFonts w:ascii="Times New Roman" w:hAnsi="Times New Roman"/>
          <w:b/>
          <w:bCs/>
          <w:sz w:val="24"/>
          <w:szCs w:val="24"/>
        </w:rPr>
        <w:t>banka vystavuje riziku</w:t>
      </w:r>
      <w:r w:rsidRPr="00081712">
        <w:rPr>
          <w:rFonts w:ascii="Times New Roman" w:hAnsi="Times New Roman"/>
          <w:sz w:val="24"/>
          <w:szCs w:val="24"/>
        </w:rPr>
        <w:t>, že</w:t>
      </w:r>
      <w:r>
        <w:rPr>
          <w:rFonts w:ascii="Times New Roman" w:hAnsi="Times New Roman"/>
          <w:sz w:val="24"/>
          <w:szCs w:val="24"/>
        </w:rPr>
        <w:t xml:space="preserve"> tento předpoklad nebude naplněn, tedy že</w:t>
      </w:r>
      <w:r w:rsidRPr="00081712">
        <w:rPr>
          <w:rFonts w:ascii="Times New Roman" w:hAnsi="Times New Roman"/>
          <w:sz w:val="24"/>
          <w:szCs w:val="24"/>
        </w:rPr>
        <w:t xml:space="preserve"> dlužník nebude splátky úvěru</w:t>
      </w:r>
      <w:r>
        <w:rPr>
          <w:rFonts w:ascii="Times New Roman" w:hAnsi="Times New Roman"/>
          <w:sz w:val="24"/>
          <w:szCs w:val="24"/>
        </w:rPr>
        <w:t xml:space="preserve"> včetně úroků</w:t>
      </w:r>
      <w:r w:rsidRPr="00081712">
        <w:rPr>
          <w:rFonts w:ascii="Times New Roman" w:hAnsi="Times New Roman"/>
          <w:sz w:val="24"/>
          <w:szCs w:val="24"/>
        </w:rPr>
        <w:t xml:space="preserve"> hradit řádně a včas či dokonce úvěr neuhradí vůbec a úvěrová pohledávka bude pro banku nedobytná. </w:t>
      </w:r>
      <w:r w:rsidRPr="00AD471D">
        <w:rPr>
          <w:rFonts w:ascii="Times New Roman" w:hAnsi="Times New Roman"/>
          <w:bCs/>
          <w:sz w:val="24"/>
          <w:szCs w:val="24"/>
        </w:rPr>
        <w:t>Takové riziko se nazývá úvěrovým rizikem</w:t>
      </w:r>
      <w:r w:rsidRPr="00AD471D">
        <w:rPr>
          <w:rFonts w:ascii="Times New Roman" w:hAnsi="Times New Roman"/>
          <w:sz w:val="24"/>
          <w:szCs w:val="24"/>
        </w:rPr>
        <w:t>.</w:t>
      </w:r>
      <w:r w:rsidRPr="00081712">
        <w:rPr>
          <w:rFonts w:ascii="Times New Roman" w:hAnsi="Times New Roman"/>
          <w:sz w:val="24"/>
          <w:szCs w:val="24"/>
        </w:rPr>
        <w:t xml:space="preserve"> Za účelem udržení své solventnosti a stability se banka musí proti ztrátám z úvěrového rizika chránit.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712">
        <w:rPr>
          <w:rFonts w:ascii="Times New Roman" w:hAnsi="Times New Roman"/>
          <w:sz w:val="24"/>
          <w:szCs w:val="24"/>
        </w:rPr>
        <w:t>Jednou z možností je</w:t>
      </w:r>
      <w:r>
        <w:rPr>
          <w:rFonts w:ascii="Times New Roman" w:hAnsi="Times New Roman"/>
          <w:sz w:val="24"/>
          <w:szCs w:val="24"/>
        </w:rPr>
        <w:t xml:space="preserve"> snížení či </w:t>
      </w:r>
      <w:r w:rsidRPr="00081712">
        <w:rPr>
          <w:rFonts w:ascii="Times New Roman" w:hAnsi="Times New Roman"/>
          <w:sz w:val="24"/>
          <w:szCs w:val="24"/>
        </w:rPr>
        <w:t xml:space="preserve">eliminace </w:t>
      </w:r>
      <w:r>
        <w:rPr>
          <w:rFonts w:ascii="Times New Roman" w:hAnsi="Times New Roman"/>
          <w:sz w:val="24"/>
          <w:szCs w:val="24"/>
        </w:rPr>
        <w:t>úvěrového</w:t>
      </w:r>
      <w:r w:rsidRPr="00081712">
        <w:rPr>
          <w:rFonts w:ascii="Times New Roman" w:hAnsi="Times New Roman"/>
          <w:sz w:val="24"/>
          <w:szCs w:val="24"/>
        </w:rPr>
        <w:t xml:space="preserve"> rizika</w:t>
      </w:r>
      <w:r>
        <w:rPr>
          <w:rFonts w:ascii="Times New Roman" w:hAnsi="Times New Roman"/>
          <w:sz w:val="24"/>
          <w:szCs w:val="24"/>
        </w:rPr>
        <w:t xml:space="preserve"> tím, </w:t>
      </w:r>
      <w:r w:rsidRPr="00081712">
        <w:rPr>
          <w:rFonts w:ascii="Times New Roman" w:hAnsi="Times New Roman"/>
          <w:sz w:val="24"/>
          <w:szCs w:val="24"/>
        </w:rPr>
        <w:t>že</w:t>
      </w:r>
      <w:r w:rsidRPr="00AD471D">
        <w:rPr>
          <w:rFonts w:ascii="Times New Roman" w:hAnsi="Times New Roman"/>
          <w:sz w:val="24"/>
          <w:szCs w:val="24"/>
        </w:rPr>
        <w:t xml:space="preserve"> </w:t>
      </w:r>
      <w:r w:rsidRPr="00AD471D">
        <w:rPr>
          <w:rFonts w:ascii="Times New Roman" w:hAnsi="Times New Roman"/>
          <w:bCs/>
          <w:sz w:val="24"/>
          <w:szCs w:val="24"/>
        </w:rPr>
        <w:t>banka úvěr poskytne jen takovým žadatelům</w:t>
      </w:r>
      <w:r w:rsidRPr="00081712">
        <w:rPr>
          <w:rFonts w:ascii="Times New Roman" w:hAnsi="Times New Roman"/>
          <w:sz w:val="24"/>
          <w:szCs w:val="24"/>
        </w:rPr>
        <w:t>, u kterých shledá</w:t>
      </w:r>
      <w:r>
        <w:rPr>
          <w:rFonts w:ascii="Times New Roman" w:hAnsi="Times New Roman"/>
          <w:sz w:val="24"/>
          <w:szCs w:val="24"/>
        </w:rPr>
        <w:t>, že</w:t>
      </w:r>
      <w:r w:rsidRPr="00081712">
        <w:rPr>
          <w:rFonts w:ascii="Times New Roman" w:hAnsi="Times New Roman"/>
          <w:sz w:val="24"/>
          <w:szCs w:val="24"/>
        </w:rPr>
        <w:t xml:space="preserve"> pravděpodobnost splacení poskytnutého úvěru</w:t>
      </w:r>
      <w:r>
        <w:rPr>
          <w:rFonts w:ascii="Times New Roman" w:hAnsi="Times New Roman"/>
          <w:sz w:val="24"/>
          <w:szCs w:val="24"/>
        </w:rPr>
        <w:t xml:space="preserve"> je dostatečně vysoká</w:t>
      </w:r>
      <w:r w:rsidRPr="00081712">
        <w:rPr>
          <w:rFonts w:ascii="Times New Roman" w:hAnsi="Times New Roman"/>
          <w:sz w:val="24"/>
          <w:szCs w:val="24"/>
        </w:rPr>
        <w:t>.</w:t>
      </w:r>
    </w:p>
    <w:p w:rsidR="00D108A2" w:rsidRDefault="00D108A2" w:rsidP="00710EA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přípravy úvěrové smlouvy banka proto zjišťuje bonitu klienta. </w:t>
      </w:r>
      <w:r w:rsidRPr="001D7733">
        <w:rPr>
          <w:rFonts w:ascii="Times New Roman" w:hAnsi="Times New Roman"/>
          <w:b/>
          <w:sz w:val="24"/>
          <w:szCs w:val="24"/>
        </w:rPr>
        <w:t>Bonitou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EA2">
        <w:rPr>
          <w:rFonts w:ascii="Times New Roman" w:hAnsi="Times New Roman"/>
          <w:sz w:val="24"/>
          <w:szCs w:val="24"/>
        </w:rPr>
        <w:t>se rozumí souhrnné označení pro kvalitu právních, finančních a ekonomických charakteristik klienta, které jsou důležitými indikátory jeho schopnosti a ochoty splnit závazek vůči bance</w:t>
      </w:r>
      <w:r>
        <w:rPr>
          <w:rFonts w:ascii="Times New Roman" w:hAnsi="Times New Roman"/>
          <w:sz w:val="24"/>
          <w:szCs w:val="24"/>
        </w:rPr>
        <w:t>.</w:t>
      </w:r>
    </w:p>
    <w:p w:rsidR="00D108A2" w:rsidRDefault="00D108A2" w:rsidP="00710EA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bonity uchazeče o úvěr banka zvažuje, za jakých podmínek (výše úroku, doba a způsob splácení, způsob jištění apod.) úvěr poskytne, nebo jeho poskytnutí odmítne.</w:t>
      </w:r>
    </w:p>
    <w:p w:rsidR="00D108A2" w:rsidRDefault="00D108A2" w:rsidP="007F6A0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Bonita se zkoumá v rámci </w:t>
      </w:r>
      <w:r w:rsidRPr="007F6A07">
        <w:rPr>
          <w:rFonts w:ascii="Times New Roman" w:hAnsi="Times New Roman"/>
          <w:b/>
          <w:sz w:val="24"/>
          <w:szCs w:val="24"/>
        </w:rPr>
        <w:t>úvěrové analýzy</w:t>
      </w:r>
      <w:r>
        <w:rPr>
          <w:rFonts w:ascii="Times New Roman" w:hAnsi="Times New Roman"/>
          <w:sz w:val="24"/>
          <w:szCs w:val="24"/>
        </w:rPr>
        <w:t>. Jejími hlavními součástmi jsou analýza vnějšího prostředí podniku, analýza manažerů a vlastníků podniku, analýza dosavadních zkušeností s daným klientem, finanční analýza podniku a analýza záměrů podniku a jeho předpokládaného budoucího vývoje.</w:t>
      </w:r>
    </w:p>
    <w:p w:rsidR="00D108A2" w:rsidRPr="007F6A07" w:rsidRDefault="00D108A2" w:rsidP="00AB31F7">
      <w:pPr>
        <w:spacing w:after="120"/>
        <w:rPr>
          <w:rFonts w:ascii="Times New Roman" w:hAnsi="Times New Roman"/>
          <w:b/>
          <w:iCs/>
          <w:sz w:val="24"/>
          <w:szCs w:val="24"/>
        </w:rPr>
      </w:pPr>
      <w:r w:rsidRPr="007F6A07">
        <w:rPr>
          <w:rFonts w:ascii="Times New Roman" w:hAnsi="Times New Roman"/>
          <w:b/>
          <w:iCs/>
          <w:sz w:val="24"/>
          <w:szCs w:val="24"/>
        </w:rPr>
        <w:t>Analýza vnějšího prostředí</w:t>
      </w:r>
    </w:p>
    <w:p w:rsidR="00D108A2" w:rsidRPr="00AB31F7" w:rsidRDefault="00D108A2" w:rsidP="00E43F83">
      <w:pPr>
        <w:spacing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Jde o posouzení rizika </w:t>
      </w:r>
      <w:r w:rsidRPr="001D7733">
        <w:rPr>
          <w:rFonts w:ascii="Times New Roman" w:hAnsi="Times New Roman"/>
          <w:b/>
          <w:i/>
          <w:iCs/>
          <w:sz w:val="24"/>
          <w:szCs w:val="24"/>
        </w:rPr>
        <w:t>země</w:t>
      </w:r>
      <w:r>
        <w:rPr>
          <w:rFonts w:ascii="Times New Roman" w:hAnsi="Times New Roman"/>
          <w:iCs/>
          <w:sz w:val="24"/>
          <w:szCs w:val="24"/>
        </w:rPr>
        <w:t xml:space="preserve">, kde podnik sídlí a kde vykonává svoji podnikatelskou činnost. Platí pravidlo, že podnik nemůže dosáhnout lepšího ratingu než daná země. Jedním z důležitých faktorů je stabilita. </w:t>
      </w:r>
      <w:r w:rsidRPr="00AB31F7">
        <w:rPr>
          <w:rFonts w:ascii="Times New Roman" w:hAnsi="Times New Roman"/>
          <w:sz w:val="24"/>
          <w:szCs w:val="24"/>
        </w:rPr>
        <w:t>V případě častých ekonomických zněm a změn daňových a legislativních pravidel nelze s</w:t>
      </w:r>
      <w:r>
        <w:rPr>
          <w:rFonts w:ascii="Times New Roman" w:hAnsi="Times New Roman"/>
          <w:sz w:val="24"/>
          <w:szCs w:val="24"/>
        </w:rPr>
        <w:t xml:space="preserve"> potřebnou </w:t>
      </w:r>
      <w:r w:rsidRPr="00AB31F7">
        <w:rPr>
          <w:rFonts w:ascii="Times New Roman" w:hAnsi="Times New Roman"/>
          <w:sz w:val="24"/>
          <w:szCs w:val="24"/>
        </w:rPr>
        <w:t>pravděpodobností vývoj podniku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F7">
        <w:rPr>
          <w:rFonts w:ascii="Times New Roman" w:hAnsi="Times New Roman"/>
          <w:sz w:val="24"/>
          <w:szCs w:val="24"/>
        </w:rPr>
        <w:t>předvídat a</w:t>
      </w:r>
      <w:r>
        <w:rPr>
          <w:rFonts w:ascii="Times New Roman" w:hAnsi="Times New Roman"/>
          <w:sz w:val="24"/>
          <w:szCs w:val="24"/>
        </w:rPr>
        <w:t xml:space="preserve"> tím pádem ani</w:t>
      </w:r>
      <w:r w:rsidRPr="00AB31F7">
        <w:rPr>
          <w:rFonts w:ascii="Times New Roman" w:hAnsi="Times New Roman"/>
          <w:sz w:val="24"/>
          <w:szCs w:val="24"/>
        </w:rPr>
        <w:t xml:space="preserve"> jeho schopnost splácet úvěr. V tomto případě by se s prodlužující dobou, na kterou jsou prostředky bankou poskytnuty, bonita klienta</w:t>
      </w:r>
      <w:r w:rsidRPr="007A5937">
        <w:rPr>
          <w:rFonts w:ascii="Times New Roman" w:hAnsi="Times New Roman"/>
          <w:sz w:val="24"/>
          <w:szCs w:val="24"/>
        </w:rPr>
        <w:t xml:space="preserve"> </w:t>
      </w:r>
      <w:r w:rsidRPr="00AB31F7">
        <w:rPr>
          <w:rFonts w:ascii="Times New Roman" w:hAnsi="Times New Roman"/>
          <w:sz w:val="24"/>
          <w:szCs w:val="24"/>
        </w:rPr>
        <w:t>výrazně snižovala</w:t>
      </w:r>
      <w:r>
        <w:rPr>
          <w:rFonts w:ascii="Times New Roman" w:hAnsi="Times New Roman"/>
          <w:sz w:val="24"/>
          <w:szCs w:val="24"/>
        </w:rPr>
        <w:t>.</w:t>
      </w:r>
    </w:p>
    <w:p w:rsidR="00D108A2" w:rsidRDefault="00D108A2" w:rsidP="00BE050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3F83">
        <w:rPr>
          <w:rFonts w:ascii="Times New Roman" w:hAnsi="Times New Roman"/>
          <w:sz w:val="24"/>
          <w:szCs w:val="24"/>
        </w:rPr>
        <w:t xml:space="preserve">Další </w:t>
      </w:r>
      <w:r>
        <w:rPr>
          <w:rFonts w:ascii="Times New Roman" w:hAnsi="Times New Roman"/>
          <w:sz w:val="24"/>
          <w:szCs w:val="24"/>
        </w:rPr>
        <w:t>oblas</w:t>
      </w:r>
      <w:r w:rsidRPr="00E43F83">
        <w:rPr>
          <w:rFonts w:ascii="Times New Roman" w:hAnsi="Times New Roman"/>
          <w:sz w:val="24"/>
          <w:szCs w:val="24"/>
        </w:rPr>
        <w:t xml:space="preserve">tí </w:t>
      </w:r>
      <w:r>
        <w:rPr>
          <w:rFonts w:ascii="Times New Roman" w:hAnsi="Times New Roman"/>
          <w:sz w:val="24"/>
          <w:szCs w:val="24"/>
        </w:rPr>
        <w:t xml:space="preserve">hodnocení </w:t>
      </w:r>
      <w:r w:rsidRPr="00E43F83">
        <w:rPr>
          <w:rFonts w:ascii="Times New Roman" w:hAnsi="Times New Roman"/>
          <w:sz w:val="24"/>
          <w:szCs w:val="24"/>
        </w:rPr>
        <w:t xml:space="preserve">vnějšího prostředí je </w:t>
      </w:r>
      <w:r w:rsidRPr="00E43F83">
        <w:rPr>
          <w:rFonts w:ascii="Times New Roman" w:hAnsi="Times New Roman"/>
          <w:b/>
          <w:i/>
          <w:iCs/>
          <w:sz w:val="24"/>
          <w:szCs w:val="24"/>
        </w:rPr>
        <w:t>odvětví</w:t>
      </w:r>
      <w:r w:rsidRPr="00E43F83">
        <w:rPr>
          <w:rFonts w:ascii="Times New Roman" w:hAnsi="Times New Roman"/>
          <w:sz w:val="24"/>
          <w:szCs w:val="24"/>
        </w:rPr>
        <w:t xml:space="preserve">, v kterém </w:t>
      </w:r>
      <w:r>
        <w:rPr>
          <w:rFonts w:ascii="Times New Roman" w:hAnsi="Times New Roman"/>
          <w:sz w:val="24"/>
          <w:szCs w:val="24"/>
        </w:rPr>
        <w:t>podnik</w:t>
      </w:r>
      <w:r w:rsidRPr="00E43F83">
        <w:rPr>
          <w:rFonts w:ascii="Times New Roman" w:hAnsi="Times New Roman"/>
          <w:sz w:val="24"/>
          <w:szCs w:val="24"/>
        </w:rPr>
        <w:t xml:space="preserve"> působí. Zde se posuzuje stav celého odvětví v rámci dané ekonomiky a jeho budoucí vývoj. Důležitým faktorem u analýzy odvětví je i vazba na hospodářský cyklus. Podle tohoto vztahu pak rozlišujeme odvětví cyklické, anticyklické a neutrální. Neutrální odvětví bývají v čase více stabilní, jejich vývoj se tak odhaduje lépe</w:t>
      </w:r>
      <w:r>
        <w:rPr>
          <w:rFonts w:ascii="Times New Roman" w:hAnsi="Times New Roman"/>
          <w:sz w:val="24"/>
          <w:szCs w:val="24"/>
        </w:rPr>
        <w:t>.</w:t>
      </w:r>
    </w:p>
    <w:p w:rsidR="00D108A2" w:rsidRDefault="00D108A2" w:rsidP="00FB3FC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3F83">
        <w:rPr>
          <w:rFonts w:ascii="Times New Roman" w:hAnsi="Times New Roman"/>
          <w:sz w:val="24"/>
          <w:szCs w:val="24"/>
        </w:rPr>
        <w:t>V rámci analýzy odvětví</w:t>
      </w:r>
      <w:r>
        <w:rPr>
          <w:rFonts w:ascii="Times New Roman" w:hAnsi="Times New Roman"/>
          <w:sz w:val="24"/>
          <w:szCs w:val="24"/>
        </w:rPr>
        <w:t xml:space="preserve"> pak jde o analýzu </w:t>
      </w:r>
      <w:r w:rsidRPr="00BE050D">
        <w:rPr>
          <w:rFonts w:ascii="Times New Roman" w:hAnsi="Times New Roman"/>
          <w:b/>
          <w:i/>
          <w:iCs/>
          <w:sz w:val="24"/>
          <w:szCs w:val="24"/>
        </w:rPr>
        <w:t>postavení a podílu podniku na trhu</w:t>
      </w:r>
      <w:r w:rsidRPr="00E43F83">
        <w:rPr>
          <w:rFonts w:ascii="Times New Roman" w:hAnsi="Times New Roman"/>
          <w:sz w:val="24"/>
          <w:szCs w:val="24"/>
        </w:rPr>
        <w:t xml:space="preserve">. Zde se zkoumá </w:t>
      </w:r>
      <w:r>
        <w:rPr>
          <w:rFonts w:ascii="Times New Roman" w:hAnsi="Times New Roman"/>
          <w:sz w:val="24"/>
          <w:szCs w:val="24"/>
        </w:rPr>
        <w:t xml:space="preserve">dosavadní </w:t>
      </w:r>
      <w:r w:rsidRPr="00E43F83">
        <w:rPr>
          <w:rFonts w:ascii="Times New Roman" w:hAnsi="Times New Roman"/>
          <w:sz w:val="24"/>
          <w:szCs w:val="24"/>
        </w:rPr>
        <w:t>vývoj</w:t>
      </w:r>
      <w:r>
        <w:rPr>
          <w:rFonts w:ascii="Times New Roman" w:hAnsi="Times New Roman"/>
          <w:sz w:val="24"/>
          <w:szCs w:val="24"/>
        </w:rPr>
        <w:t xml:space="preserve"> podniku</w:t>
      </w:r>
      <w:r w:rsidRPr="00E43F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včetně analýzy </w:t>
      </w:r>
      <w:r w:rsidRPr="00E43F83">
        <w:rPr>
          <w:rFonts w:ascii="Times New Roman" w:hAnsi="Times New Roman"/>
          <w:sz w:val="24"/>
          <w:szCs w:val="24"/>
        </w:rPr>
        <w:t>naplnění záměrů</w:t>
      </w:r>
      <w:r>
        <w:rPr>
          <w:rFonts w:ascii="Times New Roman" w:hAnsi="Times New Roman"/>
          <w:sz w:val="24"/>
          <w:szCs w:val="24"/>
        </w:rPr>
        <w:t>, které si podnik</w:t>
      </w:r>
      <w:r w:rsidRPr="00E43F83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E43F83">
        <w:rPr>
          <w:rFonts w:ascii="Times New Roman" w:hAnsi="Times New Roman"/>
          <w:sz w:val="24"/>
          <w:szCs w:val="24"/>
        </w:rPr>
        <w:t>minulosti</w:t>
      </w:r>
      <w:r>
        <w:rPr>
          <w:rFonts w:ascii="Times New Roman" w:hAnsi="Times New Roman"/>
          <w:sz w:val="24"/>
          <w:szCs w:val="24"/>
        </w:rPr>
        <w:t xml:space="preserve"> předsevzal</w:t>
      </w:r>
      <w:r w:rsidRPr="00E43F83">
        <w:rPr>
          <w:rFonts w:ascii="Times New Roman" w:hAnsi="Times New Roman"/>
          <w:sz w:val="24"/>
          <w:szCs w:val="24"/>
        </w:rPr>
        <w:t xml:space="preserve">. </w:t>
      </w:r>
      <w:r w:rsidRPr="00BE050D">
        <w:rPr>
          <w:rFonts w:ascii="Times New Roman" w:hAnsi="Times New Roman"/>
          <w:sz w:val="24"/>
          <w:szCs w:val="24"/>
        </w:rPr>
        <w:t xml:space="preserve">Kromě konkurence se hodnotí i </w:t>
      </w:r>
      <w:r w:rsidRPr="0043505E">
        <w:rPr>
          <w:rFonts w:ascii="Times New Roman" w:hAnsi="Times New Roman"/>
          <w:b/>
          <w:i/>
          <w:iCs/>
          <w:sz w:val="24"/>
          <w:szCs w:val="24"/>
        </w:rPr>
        <w:t>odběratelsko-dodavatelské vztahy</w:t>
      </w:r>
      <w:r>
        <w:rPr>
          <w:rFonts w:ascii="Times New Roman" w:hAnsi="Times New Roman"/>
          <w:iCs/>
          <w:sz w:val="24"/>
          <w:szCs w:val="24"/>
        </w:rPr>
        <w:t xml:space="preserve"> podniku</w:t>
      </w:r>
      <w:r w:rsidRPr="00BE050D">
        <w:rPr>
          <w:rFonts w:ascii="Times New Roman" w:hAnsi="Times New Roman"/>
          <w:sz w:val="24"/>
          <w:szCs w:val="24"/>
        </w:rPr>
        <w:t>. Hodnotí se především počet odběratelů, počet dodavatelů a snadnost či obtížnost jejich nahrazení v případě ukončení spolupráce</w:t>
      </w:r>
      <w:r>
        <w:rPr>
          <w:rFonts w:ascii="Times New Roman" w:hAnsi="Times New Roman"/>
          <w:sz w:val="24"/>
          <w:szCs w:val="24"/>
        </w:rPr>
        <w:t>, i další okolnosti ovlivňující vyjednávací sílu podniku</w:t>
      </w:r>
      <w:r w:rsidRPr="00BE050D">
        <w:rPr>
          <w:rFonts w:ascii="Times New Roman" w:hAnsi="Times New Roman"/>
          <w:sz w:val="24"/>
          <w:szCs w:val="24"/>
        </w:rPr>
        <w:t>.</w:t>
      </w:r>
    </w:p>
    <w:p w:rsidR="00D108A2" w:rsidRDefault="00D108A2" w:rsidP="00DA386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 xml:space="preserve">Poslední </w:t>
      </w:r>
      <w:r>
        <w:rPr>
          <w:rFonts w:ascii="Times New Roman" w:hAnsi="Times New Roman"/>
          <w:sz w:val="24"/>
          <w:szCs w:val="24"/>
        </w:rPr>
        <w:t xml:space="preserve">z hlavních </w:t>
      </w:r>
      <w:r w:rsidRPr="00FB3FC2">
        <w:rPr>
          <w:rFonts w:ascii="Times New Roman" w:hAnsi="Times New Roman"/>
          <w:sz w:val="24"/>
          <w:szCs w:val="24"/>
        </w:rPr>
        <w:t>oblastí</w:t>
      </w:r>
      <w:r>
        <w:rPr>
          <w:rFonts w:ascii="Times New Roman" w:hAnsi="Times New Roman"/>
          <w:sz w:val="24"/>
          <w:szCs w:val="24"/>
        </w:rPr>
        <w:t xml:space="preserve"> analýzy</w:t>
      </w:r>
      <w:r w:rsidRPr="00FB3FC2">
        <w:rPr>
          <w:rFonts w:ascii="Times New Roman" w:hAnsi="Times New Roman"/>
          <w:sz w:val="24"/>
          <w:szCs w:val="24"/>
        </w:rPr>
        <w:t xml:space="preserve"> je </w:t>
      </w:r>
      <w:r w:rsidRPr="00FB3FC2">
        <w:rPr>
          <w:rFonts w:ascii="Times New Roman" w:hAnsi="Times New Roman"/>
          <w:b/>
          <w:i/>
          <w:iCs/>
          <w:sz w:val="24"/>
          <w:szCs w:val="24"/>
        </w:rPr>
        <w:t>kvalita produkce</w:t>
      </w:r>
      <w:r w:rsidRPr="00FB3FC2">
        <w:rPr>
          <w:rFonts w:ascii="Times New Roman" w:hAnsi="Times New Roman"/>
          <w:sz w:val="24"/>
          <w:szCs w:val="24"/>
        </w:rPr>
        <w:t>. V této části se posuzuje zejména kvalita produkce vzhledem ke kvalitě produkce konkurence. Analyzuje se zde i technologická vybavenost klienta, výše výrobních nákladů a jeho připravenost na potřebné inovace.</w:t>
      </w:r>
    </w:p>
    <w:p w:rsidR="00D108A2" w:rsidRPr="00C453B0" w:rsidRDefault="00D108A2" w:rsidP="007F6A07">
      <w:pPr>
        <w:spacing w:after="120"/>
        <w:rPr>
          <w:rFonts w:ascii="Times New Roman" w:hAnsi="Times New Roman"/>
          <w:b/>
          <w:sz w:val="24"/>
          <w:szCs w:val="24"/>
        </w:rPr>
      </w:pPr>
      <w:r w:rsidRPr="00C453B0">
        <w:rPr>
          <w:rFonts w:ascii="Times New Roman" w:hAnsi="Times New Roman"/>
          <w:b/>
          <w:sz w:val="24"/>
          <w:szCs w:val="24"/>
        </w:rPr>
        <w:t>Analýza manažerů a vlastníků</w:t>
      </w:r>
    </w:p>
    <w:p w:rsidR="00D108A2" w:rsidRDefault="00D108A2" w:rsidP="005A155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F6A07">
        <w:rPr>
          <w:rFonts w:ascii="Times New Roman" w:hAnsi="Times New Roman"/>
          <w:sz w:val="24"/>
          <w:szCs w:val="24"/>
        </w:rPr>
        <w:t>Banka v této oblasti hodnotí kvalifikaci</w:t>
      </w:r>
      <w:r>
        <w:rPr>
          <w:rFonts w:ascii="Times New Roman" w:hAnsi="Times New Roman"/>
          <w:sz w:val="24"/>
          <w:szCs w:val="24"/>
        </w:rPr>
        <w:t xml:space="preserve"> manažerů a vlastníků</w:t>
      </w:r>
      <w:r w:rsidRPr="007F6A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jejich </w:t>
      </w:r>
      <w:r w:rsidRPr="007F6A07">
        <w:rPr>
          <w:rFonts w:ascii="Times New Roman" w:hAnsi="Times New Roman"/>
          <w:sz w:val="24"/>
          <w:szCs w:val="24"/>
        </w:rPr>
        <w:t xml:space="preserve">zkušenosti, dobu strávenou v </w:t>
      </w:r>
      <w:r>
        <w:rPr>
          <w:rFonts w:ascii="Times New Roman" w:hAnsi="Times New Roman"/>
          <w:sz w:val="24"/>
          <w:szCs w:val="24"/>
        </w:rPr>
        <w:t>daném</w:t>
      </w:r>
      <w:r w:rsidRPr="007F6A07">
        <w:rPr>
          <w:rFonts w:ascii="Times New Roman" w:hAnsi="Times New Roman"/>
          <w:sz w:val="24"/>
          <w:szCs w:val="24"/>
        </w:rPr>
        <w:t xml:space="preserve"> oboru apod. Mimo jiné hodnotí management</w:t>
      </w:r>
      <w:r>
        <w:rPr>
          <w:rFonts w:ascii="Times New Roman" w:hAnsi="Times New Roman"/>
          <w:sz w:val="24"/>
          <w:szCs w:val="24"/>
        </w:rPr>
        <w:t xml:space="preserve"> a vlastníky</w:t>
      </w:r>
      <w:r w:rsidRPr="007F6A07">
        <w:rPr>
          <w:rFonts w:ascii="Times New Roman" w:hAnsi="Times New Roman"/>
          <w:sz w:val="24"/>
          <w:szCs w:val="24"/>
        </w:rPr>
        <w:t xml:space="preserve"> i z hlediska jeho složení věkového, jeho stabilitu či nahraditelnost. Hodnocení probíhá ve větší míře subjektivním ohodnocením pracovníkem banky na základě pohovorů s jednotlivými osobami. Pracovník banky může vycházet i ze zkušeností banky z předchozích jednání a spolupráce. Cílem tohoto hodnocení je především posoudit </w:t>
      </w:r>
      <w:r>
        <w:rPr>
          <w:rFonts w:ascii="Times New Roman" w:hAnsi="Times New Roman"/>
          <w:sz w:val="24"/>
          <w:szCs w:val="24"/>
        </w:rPr>
        <w:t xml:space="preserve">schopnost a zejména </w:t>
      </w:r>
      <w:r w:rsidRPr="007F6A07">
        <w:rPr>
          <w:rFonts w:ascii="Times New Roman" w:hAnsi="Times New Roman"/>
          <w:sz w:val="24"/>
          <w:szCs w:val="24"/>
        </w:rPr>
        <w:t>ochotu managementu a vlastníků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A07">
        <w:rPr>
          <w:rFonts w:ascii="Times New Roman" w:hAnsi="Times New Roman"/>
          <w:sz w:val="24"/>
          <w:szCs w:val="24"/>
        </w:rPr>
        <w:t>své závazky vůči bance řádně plnit.</w:t>
      </w:r>
    </w:p>
    <w:p w:rsidR="00D108A2" w:rsidRPr="005A1553" w:rsidRDefault="00D108A2" w:rsidP="005A155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A1553">
        <w:rPr>
          <w:rFonts w:ascii="Times New Roman" w:hAnsi="Times New Roman"/>
          <w:b/>
          <w:sz w:val="24"/>
          <w:szCs w:val="24"/>
        </w:rPr>
        <w:t>Analýza zkušeností s klientem</w:t>
      </w:r>
    </w:p>
    <w:p w:rsidR="00D108A2" w:rsidRDefault="00D108A2" w:rsidP="005A155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Jedná se o analýzu</w:t>
      </w:r>
      <w:r w:rsidRPr="005A1553">
        <w:rPr>
          <w:rFonts w:ascii="Times New Roman" w:hAnsi="Times New Roman"/>
          <w:sz w:val="24"/>
          <w:szCs w:val="24"/>
        </w:rPr>
        <w:t xml:space="preserve"> vzá</w:t>
      </w:r>
      <w:r>
        <w:rPr>
          <w:rFonts w:ascii="Times New Roman" w:hAnsi="Times New Roman"/>
          <w:sz w:val="24"/>
          <w:szCs w:val="24"/>
        </w:rPr>
        <w:t>jemné</w:t>
      </w:r>
      <w:r w:rsidRPr="005A1553">
        <w:rPr>
          <w:rFonts w:ascii="Times New Roman" w:hAnsi="Times New Roman"/>
          <w:sz w:val="24"/>
          <w:szCs w:val="24"/>
        </w:rPr>
        <w:t xml:space="preserve"> spoluprá</w:t>
      </w:r>
      <w:r>
        <w:rPr>
          <w:rFonts w:ascii="Times New Roman" w:hAnsi="Times New Roman"/>
          <w:sz w:val="24"/>
          <w:szCs w:val="24"/>
        </w:rPr>
        <w:t>ce</w:t>
      </w:r>
      <w:r w:rsidRPr="005A1553">
        <w:rPr>
          <w:rFonts w:ascii="Times New Roman" w:hAnsi="Times New Roman"/>
          <w:sz w:val="24"/>
          <w:szCs w:val="24"/>
        </w:rPr>
        <w:t xml:space="preserve"> a chování</w:t>
      </w:r>
      <w:r>
        <w:rPr>
          <w:rFonts w:ascii="Times New Roman" w:hAnsi="Times New Roman"/>
          <w:sz w:val="24"/>
          <w:szCs w:val="24"/>
        </w:rPr>
        <w:t xml:space="preserve"> podniku</w:t>
      </w:r>
      <w:r w:rsidRPr="005A1553">
        <w:rPr>
          <w:rFonts w:ascii="Times New Roman" w:hAnsi="Times New Roman"/>
          <w:sz w:val="24"/>
          <w:szCs w:val="24"/>
        </w:rPr>
        <w:t xml:space="preserve"> vůči bance v</w:t>
      </w:r>
      <w:r>
        <w:rPr>
          <w:rFonts w:ascii="Times New Roman" w:hAnsi="Times New Roman"/>
          <w:sz w:val="24"/>
          <w:szCs w:val="24"/>
        </w:rPr>
        <w:t> </w:t>
      </w:r>
      <w:r w:rsidRPr="005A1553">
        <w:rPr>
          <w:rFonts w:ascii="Times New Roman" w:hAnsi="Times New Roman"/>
          <w:sz w:val="24"/>
          <w:szCs w:val="24"/>
        </w:rPr>
        <w:t>minulosti</w:t>
      </w:r>
      <w:r>
        <w:rPr>
          <w:rFonts w:ascii="Times New Roman" w:hAnsi="Times New Roman"/>
          <w:sz w:val="24"/>
          <w:szCs w:val="24"/>
        </w:rPr>
        <w:t>,</w:t>
      </w:r>
      <w:r w:rsidRPr="005A1553">
        <w:rPr>
          <w:rFonts w:ascii="Times New Roman" w:hAnsi="Times New Roman"/>
          <w:sz w:val="24"/>
          <w:szCs w:val="24"/>
        </w:rPr>
        <w:t xml:space="preserve"> včetně plnění všech vzniklých závazků. Důležitými faktory jsou délka vztahu s klientem, intenzita tohoto vztahu, platební morálka klienta, vývoj na běžném účtu klienta apod. </w:t>
      </w:r>
    </w:p>
    <w:p w:rsidR="00D108A2" w:rsidRDefault="00D108A2" w:rsidP="00C453B0">
      <w:pPr>
        <w:jc w:val="both"/>
        <w:rPr>
          <w:rFonts w:ascii="Times New Roman" w:hAnsi="Times New Roman"/>
          <w:sz w:val="24"/>
          <w:szCs w:val="24"/>
        </w:rPr>
      </w:pPr>
      <w:r w:rsidRPr="005A1553">
        <w:rPr>
          <w:rFonts w:ascii="Times New Roman" w:hAnsi="Times New Roman"/>
          <w:sz w:val="24"/>
          <w:szCs w:val="24"/>
        </w:rPr>
        <w:t>Druhotným zdrojem jsou zprostředkované zkušenosti jiných finančních institucí s tímto klientem. Dříve si předávaly banky svoje zkušenosti s určitým klientem přímo. V dnešní době jsou zřízeny tzv. registry, které shromažďují informace o klientech z členských institucí. V případě právnických osob je v České republice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553">
        <w:rPr>
          <w:rFonts w:ascii="Times New Roman" w:hAnsi="Times New Roman"/>
          <w:sz w:val="24"/>
          <w:szCs w:val="24"/>
        </w:rPr>
        <w:t>nejvýznamnější Centrální registr úvěrů.</w:t>
      </w:r>
    </w:p>
    <w:p w:rsidR="00D108A2" w:rsidRDefault="00D108A2" w:rsidP="001D7733">
      <w:pPr>
        <w:spacing w:after="240"/>
        <w:rPr>
          <w:rFonts w:ascii="Times New Roman" w:hAnsi="Times New Roman"/>
          <w:sz w:val="24"/>
          <w:szCs w:val="24"/>
        </w:rPr>
      </w:pPr>
      <w:hyperlink r:id="rId5" w:history="1">
        <w:r w:rsidRPr="00036D73">
          <w:rPr>
            <w:rStyle w:val="Hyperlink"/>
            <w:rFonts w:ascii="Times New Roman" w:hAnsi="Times New Roman"/>
            <w:sz w:val="24"/>
            <w:szCs w:val="24"/>
          </w:rPr>
          <w:t>https://www.cnb.cz/cs/dohled_financni_trh/centralni_registr_uveru/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108A2" w:rsidRPr="00456A35" w:rsidRDefault="00D108A2" w:rsidP="00456A35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56A35">
        <w:rPr>
          <w:rFonts w:ascii="Times New Roman" w:hAnsi="Times New Roman"/>
          <w:b/>
          <w:sz w:val="24"/>
          <w:szCs w:val="24"/>
        </w:rPr>
        <w:t>Finanční analýza podniku</w:t>
      </w:r>
    </w:p>
    <w:p w:rsidR="00D108A2" w:rsidRDefault="00D108A2" w:rsidP="00456A3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456A35">
        <w:rPr>
          <w:rFonts w:ascii="Times New Roman" w:hAnsi="Times New Roman"/>
          <w:sz w:val="24"/>
          <w:szCs w:val="24"/>
        </w:rPr>
        <w:t>ýchodiskem jsou ukazatele technické</w:t>
      </w:r>
      <w:r>
        <w:rPr>
          <w:rFonts w:ascii="Times New Roman" w:hAnsi="Times New Roman"/>
          <w:sz w:val="24"/>
          <w:szCs w:val="24"/>
        </w:rPr>
        <w:t xml:space="preserve"> finanční</w:t>
      </w:r>
      <w:r w:rsidRPr="00456A35">
        <w:rPr>
          <w:rFonts w:ascii="Times New Roman" w:hAnsi="Times New Roman"/>
          <w:sz w:val="24"/>
          <w:szCs w:val="24"/>
        </w:rPr>
        <w:t xml:space="preserve"> analýzy, </w:t>
      </w:r>
      <w:r>
        <w:rPr>
          <w:rFonts w:ascii="Times New Roman" w:hAnsi="Times New Roman"/>
          <w:sz w:val="24"/>
          <w:szCs w:val="24"/>
        </w:rPr>
        <w:t>pomocí nichž lze</w:t>
      </w:r>
      <w:r w:rsidRPr="00456A35">
        <w:rPr>
          <w:rFonts w:ascii="Times New Roman" w:hAnsi="Times New Roman"/>
          <w:sz w:val="24"/>
          <w:szCs w:val="24"/>
        </w:rPr>
        <w:t xml:space="preserve"> podnik analyzovat na základě dostupných účetních výkazů. </w:t>
      </w:r>
      <w:r>
        <w:rPr>
          <w:rFonts w:ascii="Times New Roman" w:hAnsi="Times New Roman"/>
          <w:sz w:val="24"/>
          <w:szCs w:val="24"/>
        </w:rPr>
        <w:t>Z</w:t>
      </w:r>
      <w:r w:rsidRPr="00456A35">
        <w:rPr>
          <w:rFonts w:ascii="Times New Roman" w:hAnsi="Times New Roman"/>
          <w:sz w:val="24"/>
          <w:szCs w:val="24"/>
        </w:rPr>
        <w:t>ákladní účetní dokumenty, z</w:t>
      </w:r>
      <w:r>
        <w:rPr>
          <w:rFonts w:ascii="Times New Roman" w:hAnsi="Times New Roman"/>
          <w:sz w:val="24"/>
          <w:szCs w:val="24"/>
        </w:rPr>
        <w:t>e</w:t>
      </w:r>
      <w:r w:rsidRPr="00456A35">
        <w:rPr>
          <w:rFonts w:ascii="Times New Roman" w:hAnsi="Times New Roman"/>
          <w:sz w:val="24"/>
          <w:szCs w:val="24"/>
        </w:rPr>
        <w:t xml:space="preserve"> kterých technická finanční analýza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A35">
        <w:rPr>
          <w:rFonts w:ascii="Times New Roman" w:hAnsi="Times New Roman"/>
          <w:sz w:val="24"/>
          <w:szCs w:val="24"/>
        </w:rPr>
        <w:t>čerpá, jsou rozvaha, výkaz zisku a ztráty a výkaz cashflow.</w:t>
      </w:r>
    </w:p>
    <w:p w:rsidR="00D108A2" w:rsidRDefault="00D108A2" w:rsidP="0067374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finanční analýzy jde zejména o uplatnění ukazatelů rentability, aktivity, zadluženosti a likvidity. Tyto ukazatele umožňují</w:t>
      </w:r>
    </w:p>
    <w:p w:rsidR="00D108A2" w:rsidRDefault="00D108A2" w:rsidP="0067374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73742">
        <w:rPr>
          <w:rFonts w:ascii="Times New Roman" w:hAnsi="Times New Roman"/>
          <w:sz w:val="24"/>
          <w:szCs w:val="24"/>
        </w:rPr>
        <w:t>porovnávat srovnatelné údaje mezi jednotlivými účetními obdobími</w:t>
      </w:r>
      <w:r>
        <w:rPr>
          <w:rFonts w:ascii="Times New Roman" w:hAnsi="Times New Roman"/>
          <w:sz w:val="24"/>
          <w:szCs w:val="24"/>
        </w:rPr>
        <w:t>,</w:t>
      </w:r>
    </w:p>
    <w:p w:rsidR="00D108A2" w:rsidRDefault="00D108A2" w:rsidP="00673742">
      <w:pPr>
        <w:numPr>
          <w:ilvl w:val="0"/>
          <w:numId w:val="1"/>
        </w:numPr>
        <w:ind w:left="335" w:hanging="51"/>
        <w:jc w:val="both"/>
        <w:rPr>
          <w:rFonts w:ascii="Times New Roman" w:hAnsi="Times New Roman"/>
          <w:sz w:val="24"/>
          <w:szCs w:val="24"/>
        </w:rPr>
      </w:pPr>
      <w:r w:rsidRPr="00673742">
        <w:rPr>
          <w:rFonts w:ascii="Times New Roman" w:hAnsi="Times New Roman"/>
          <w:sz w:val="24"/>
          <w:szCs w:val="24"/>
        </w:rPr>
        <w:t>identifikovat trendy</w:t>
      </w:r>
      <w:r>
        <w:rPr>
          <w:rFonts w:ascii="Times New Roman" w:hAnsi="Times New Roman"/>
          <w:sz w:val="24"/>
          <w:szCs w:val="24"/>
        </w:rPr>
        <w:t>,</w:t>
      </w:r>
    </w:p>
    <w:p w:rsidR="00D108A2" w:rsidRDefault="00D108A2" w:rsidP="00673742">
      <w:pPr>
        <w:numPr>
          <w:ilvl w:val="0"/>
          <w:numId w:val="1"/>
        </w:numPr>
        <w:ind w:left="335" w:hanging="51"/>
        <w:jc w:val="both"/>
        <w:rPr>
          <w:rFonts w:ascii="Times New Roman" w:hAnsi="Times New Roman"/>
          <w:sz w:val="24"/>
          <w:szCs w:val="24"/>
        </w:rPr>
      </w:pPr>
      <w:r w:rsidRPr="00673742">
        <w:rPr>
          <w:rFonts w:ascii="Times New Roman" w:hAnsi="Times New Roman"/>
          <w:sz w:val="24"/>
          <w:szCs w:val="24"/>
        </w:rPr>
        <w:t>zajišťovat, testovat a interpretovat vzájemné vztahy mezi poměrovými ukazateli</w:t>
      </w:r>
      <w:r>
        <w:rPr>
          <w:rFonts w:ascii="Times New Roman" w:hAnsi="Times New Roman"/>
          <w:sz w:val="24"/>
          <w:szCs w:val="24"/>
        </w:rPr>
        <w:t>,</w:t>
      </w:r>
    </w:p>
    <w:p w:rsidR="00D108A2" w:rsidRDefault="00D108A2" w:rsidP="00673742">
      <w:pPr>
        <w:numPr>
          <w:ilvl w:val="0"/>
          <w:numId w:val="1"/>
        </w:numPr>
        <w:ind w:left="335" w:hanging="51"/>
        <w:jc w:val="both"/>
        <w:rPr>
          <w:rFonts w:ascii="Times New Roman" w:hAnsi="Times New Roman"/>
          <w:sz w:val="24"/>
          <w:szCs w:val="24"/>
        </w:rPr>
      </w:pPr>
      <w:r w:rsidRPr="00673742">
        <w:rPr>
          <w:rFonts w:ascii="Times New Roman" w:hAnsi="Times New Roman"/>
          <w:sz w:val="24"/>
          <w:szCs w:val="24"/>
        </w:rPr>
        <w:t>identifikovat specifické vazby v rámci podniku</w:t>
      </w:r>
      <w:r>
        <w:rPr>
          <w:rFonts w:ascii="Times New Roman" w:hAnsi="Times New Roman"/>
          <w:sz w:val="24"/>
          <w:szCs w:val="24"/>
        </w:rPr>
        <w:t>,</w:t>
      </w:r>
    </w:p>
    <w:p w:rsidR="00D108A2" w:rsidRDefault="00D108A2" w:rsidP="00673742">
      <w:pPr>
        <w:numPr>
          <w:ilvl w:val="0"/>
          <w:numId w:val="1"/>
        </w:numPr>
        <w:ind w:left="335" w:hanging="51"/>
        <w:jc w:val="both"/>
        <w:rPr>
          <w:rFonts w:ascii="Times New Roman" w:hAnsi="Times New Roman"/>
          <w:sz w:val="24"/>
          <w:szCs w:val="24"/>
        </w:rPr>
      </w:pPr>
      <w:r w:rsidRPr="00673742">
        <w:rPr>
          <w:rFonts w:ascii="Times New Roman" w:hAnsi="Times New Roman"/>
          <w:sz w:val="24"/>
          <w:szCs w:val="24"/>
        </w:rPr>
        <w:t>odhadnout míru likvidity, úvěrové zatížení, objem tržeb a ziskovou marž</w:t>
      </w:r>
      <w:r>
        <w:rPr>
          <w:rFonts w:ascii="Times New Roman" w:hAnsi="Times New Roman"/>
          <w:sz w:val="24"/>
          <w:szCs w:val="24"/>
        </w:rPr>
        <w:t>i,</w:t>
      </w:r>
    </w:p>
    <w:p w:rsidR="00D108A2" w:rsidRDefault="00D108A2" w:rsidP="00673742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673742">
        <w:rPr>
          <w:rFonts w:ascii="Times New Roman" w:hAnsi="Times New Roman"/>
          <w:sz w:val="24"/>
          <w:szCs w:val="24"/>
        </w:rPr>
        <w:t>identifikovat zvláštnosti daného podniku.</w:t>
      </w:r>
    </w:p>
    <w:p w:rsidR="00D108A2" w:rsidRPr="00673742" w:rsidRDefault="00D108A2" w:rsidP="00673742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73742">
        <w:rPr>
          <w:rFonts w:ascii="Times New Roman" w:hAnsi="Times New Roman"/>
          <w:b/>
          <w:sz w:val="24"/>
          <w:szCs w:val="24"/>
        </w:rPr>
        <w:t>Analýza záměrů podniku</w:t>
      </w:r>
    </w:p>
    <w:p w:rsidR="00D108A2" w:rsidRDefault="00D108A2" w:rsidP="006737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Pomocí této analýzy </w:t>
      </w:r>
      <w:r w:rsidRPr="00673742">
        <w:rPr>
          <w:rFonts w:ascii="Times New Roman" w:hAnsi="Times New Roman"/>
          <w:sz w:val="24"/>
          <w:szCs w:val="24"/>
        </w:rPr>
        <w:t xml:space="preserve">se posuzují cíle </w:t>
      </w:r>
      <w:r>
        <w:rPr>
          <w:rFonts w:ascii="Times New Roman" w:hAnsi="Times New Roman"/>
          <w:sz w:val="24"/>
          <w:szCs w:val="24"/>
        </w:rPr>
        <w:t>podniku</w:t>
      </w:r>
      <w:r w:rsidRPr="00673742">
        <w:rPr>
          <w:rFonts w:ascii="Times New Roman" w:hAnsi="Times New Roman"/>
          <w:sz w:val="24"/>
          <w:szCs w:val="24"/>
        </w:rPr>
        <w:t xml:space="preserve"> z hlediska jejich reálnosti a smysluplnosti. Příliš velké a nereálné cíle vedou k neúspěchům podniku, které mohou v krajním případě zapříčinit </w:t>
      </w:r>
      <w:r>
        <w:rPr>
          <w:rFonts w:ascii="Times New Roman" w:hAnsi="Times New Roman"/>
          <w:sz w:val="24"/>
          <w:szCs w:val="24"/>
        </w:rPr>
        <w:t xml:space="preserve">i jeho </w:t>
      </w:r>
      <w:r w:rsidRPr="00673742">
        <w:rPr>
          <w:rFonts w:ascii="Times New Roman" w:hAnsi="Times New Roman"/>
          <w:sz w:val="24"/>
          <w:szCs w:val="24"/>
        </w:rPr>
        <w:t xml:space="preserve">bankrot. </w:t>
      </w:r>
      <w:r w:rsidRPr="00DA386B">
        <w:rPr>
          <w:rFonts w:ascii="Times New Roman" w:hAnsi="Times New Roman"/>
          <w:sz w:val="24"/>
          <w:szCs w:val="24"/>
        </w:rPr>
        <w:t>V případě nereálných cílů by</w:t>
      </w:r>
      <w:r>
        <w:rPr>
          <w:rFonts w:ascii="Times New Roman" w:hAnsi="Times New Roman"/>
          <w:sz w:val="24"/>
          <w:szCs w:val="24"/>
        </w:rPr>
        <w:t xml:space="preserve"> tedy</w:t>
      </w:r>
      <w:r w:rsidRPr="00DA386B">
        <w:rPr>
          <w:rFonts w:ascii="Times New Roman" w:hAnsi="Times New Roman"/>
          <w:sz w:val="24"/>
          <w:szCs w:val="24"/>
        </w:rPr>
        <w:t xml:space="preserve"> banka neměla </w:t>
      </w:r>
      <w:r>
        <w:rPr>
          <w:rFonts w:ascii="Times New Roman" w:hAnsi="Times New Roman"/>
          <w:sz w:val="24"/>
          <w:szCs w:val="24"/>
        </w:rPr>
        <w:t>podniku</w:t>
      </w:r>
      <w:r w:rsidRPr="00DA386B">
        <w:rPr>
          <w:rFonts w:ascii="Times New Roman" w:hAnsi="Times New Roman"/>
          <w:sz w:val="24"/>
          <w:szCs w:val="24"/>
        </w:rPr>
        <w:t xml:space="preserve"> finanční prostředky půjčovat, popř. by mu měla pomoci příliš nereálné cíle zreálnit. </w:t>
      </w:r>
      <w:r>
        <w:rPr>
          <w:rFonts w:ascii="Times New Roman" w:hAnsi="Times New Roman"/>
          <w:sz w:val="24"/>
          <w:szCs w:val="24"/>
        </w:rPr>
        <w:t>Banka proto projednává podnikatelský plán, resp. jinak nazvaný dokument zpracovaný podnikem, ve kterém podnik blíže specifikuje a zdůvodňuje svůj záměr.</w:t>
      </w:r>
    </w:p>
    <w:p w:rsidR="00D108A2" w:rsidRDefault="00D108A2" w:rsidP="00E967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</w:t>
      </w:r>
    </w:p>
    <w:p w:rsidR="00D108A2" w:rsidRDefault="00D108A2" w:rsidP="00081712">
      <w:pPr>
        <w:rPr>
          <w:rFonts w:ascii="Times New Roman" w:hAnsi="Times New Roman"/>
          <w:sz w:val="24"/>
          <w:szCs w:val="24"/>
        </w:rPr>
      </w:pPr>
    </w:p>
    <w:p w:rsidR="00D108A2" w:rsidRDefault="00D108A2" w:rsidP="008828B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výše uvedeného může pramenit dojem, že banka ve vztahu k podniku disponuje podstatně vyšší vyjednávací silou, že je tím subjektem, který suverénně rozhoduje komu úvěr poskytne a komu ne, zatímco podnik je v roli prosebníka. </w:t>
      </w:r>
    </w:p>
    <w:p w:rsidR="00D108A2" w:rsidRDefault="00D108A2" w:rsidP="008828B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dojem je však zavádějící a vzniká tím, že banka nese v daném vztahu podstatně vyšší riziko a proto je musí snižovat cestou prověřování a výběru zájemců o úvěr. Tím se její situace například diametrálně liší od prodejce spotřebního zboží v maloobchodě, který v podstatě žádné riziko nenese a snaží se výlučně o maximalizaci prodeje, aniž by ho při tom bonita jeho zákazníků</w:t>
      </w:r>
      <w:r w:rsidRPr="00AD7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musela zajímat.</w:t>
      </w:r>
    </w:p>
    <w:p w:rsidR="00D108A2" w:rsidRDefault="00D108A2" w:rsidP="008828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analýze vztahu mezi podnikem a bankou je totiž třeba brát v úvahu, že na finančním trhu, stejně tak jako na jakémkoli jiném, platí zákon nabídky a poptávky a nelze přitom říci, že by zde obecně převažoval převis poptávky nad nabídkou.  Zatímco podnik s mimořádně nízkou bonitou se „prosebníkem“ o úvěr může skutečně stát, vysoce bonitní společnosti disponují velkou vyjednávací silou a jsou pro banky velmi žádoucím partnerem.    </w:t>
      </w:r>
    </w:p>
    <w:p w:rsidR="00D108A2" w:rsidRDefault="00D108A2" w:rsidP="00081712">
      <w:pPr>
        <w:rPr>
          <w:rFonts w:ascii="Times New Roman" w:hAnsi="Times New Roman"/>
          <w:sz w:val="24"/>
          <w:szCs w:val="24"/>
        </w:rPr>
      </w:pPr>
    </w:p>
    <w:p w:rsidR="00D108A2" w:rsidRDefault="00D108A2" w:rsidP="00081712">
      <w:pPr>
        <w:rPr>
          <w:rFonts w:ascii="Times New Roman" w:hAnsi="Times New Roman"/>
          <w:sz w:val="24"/>
          <w:szCs w:val="24"/>
        </w:rPr>
      </w:pPr>
    </w:p>
    <w:p w:rsidR="00D108A2" w:rsidRDefault="00D108A2" w:rsidP="00081712">
      <w:pPr>
        <w:rPr>
          <w:rFonts w:ascii="Times New Roman" w:hAnsi="Times New Roman"/>
          <w:sz w:val="24"/>
          <w:szCs w:val="24"/>
        </w:rPr>
      </w:pPr>
    </w:p>
    <w:p w:rsidR="00D108A2" w:rsidRDefault="00D108A2" w:rsidP="000817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Zpracováno částečně s využitím diplomové práce KLUSÁKOVÁ, Pavla. </w:t>
      </w:r>
      <w:r w:rsidRPr="00BE050D">
        <w:rPr>
          <w:rFonts w:ascii="Times New Roman" w:hAnsi="Times New Roman"/>
          <w:i/>
          <w:sz w:val="24"/>
          <w:szCs w:val="24"/>
        </w:rPr>
        <w:t>Hodnocení bonity klientů</w:t>
      </w:r>
      <w:r>
        <w:rPr>
          <w:rFonts w:ascii="Times New Roman" w:hAnsi="Times New Roman"/>
          <w:sz w:val="24"/>
          <w:szCs w:val="24"/>
        </w:rPr>
        <w:t>. Brno : Masarykova univerzita, Ekonomicko-správní fakulta, 2012.</w:t>
      </w:r>
    </w:p>
    <w:p w:rsidR="00D108A2" w:rsidRDefault="00D108A2" w:rsidP="00081712">
      <w:pPr>
        <w:rPr>
          <w:rFonts w:ascii="Times New Roman" w:hAnsi="Times New Roman"/>
          <w:sz w:val="24"/>
          <w:szCs w:val="24"/>
        </w:rPr>
      </w:pPr>
    </w:p>
    <w:p w:rsidR="00D108A2" w:rsidRDefault="00D108A2" w:rsidP="00081712">
      <w:pPr>
        <w:rPr>
          <w:rFonts w:ascii="Times New Roman" w:hAnsi="Times New Roman"/>
          <w:sz w:val="24"/>
          <w:szCs w:val="24"/>
        </w:rPr>
      </w:pPr>
    </w:p>
    <w:p w:rsidR="00D108A2" w:rsidRDefault="00D108A2" w:rsidP="00081712">
      <w:pPr>
        <w:rPr>
          <w:rFonts w:ascii="Times New Roman" w:hAnsi="Times New Roman"/>
          <w:sz w:val="24"/>
          <w:szCs w:val="24"/>
        </w:rPr>
      </w:pPr>
    </w:p>
    <w:p w:rsidR="00D108A2" w:rsidRDefault="00D108A2" w:rsidP="0085677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Literatura</w:t>
      </w:r>
    </w:p>
    <w:p w:rsidR="00D108A2" w:rsidRPr="007A5937" w:rsidRDefault="00D108A2" w:rsidP="00856772">
      <w:pPr>
        <w:spacing w:after="120"/>
        <w:rPr>
          <w:rFonts w:ascii="Times New Roman" w:hAnsi="Times New Roman"/>
          <w:sz w:val="24"/>
          <w:szCs w:val="24"/>
        </w:rPr>
      </w:pPr>
      <w:r w:rsidRPr="007A5937">
        <w:rPr>
          <w:rFonts w:ascii="Times New Roman" w:hAnsi="Times New Roman"/>
          <w:sz w:val="24"/>
          <w:szCs w:val="24"/>
        </w:rPr>
        <w:t xml:space="preserve">DVOŘÁK, Petr. </w:t>
      </w:r>
      <w:r w:rsidRPr="007A5937">
        <w:rPr>
          <w:rFonts w:ascii="Times New Roman" w:hAnsi="Times New Roman"/>
          <w:i/>
          <w:iCs/>
          <w:sz w:val="24"/>
          <w:szCs w:val="24"/>
        </w:rPr>
        <w:t>Komerční bankovnictví pro bankéře a klienty</w:t>
      </w:r>
      <w:r w:rsidRPr="007A5937">
        <w:rPr>
          <w:rFonts w:ascii="Times New Roman" w:hAnsi="Times New Roman"/>
          <w:sz w:val="24"/>
          <w:szCs w:val="24"/>
        </w:rPr>
        <w:t>. Praha: Linde, 1999. 475 s. ISBN 80-7201-141-3</w:t>
      </w:r>
    </w:p>
    <w:p w:rsidR="00D108A2" w:rsidRPr="007A5937" w:rsidRDefault="00D108A2" w:rsidP="00856772">
      <w:pPr>
        <w:spacing w:after="120"/>
        <w:rPr>
          <w:rFonts w:ascii="Times New Roman" w:hAnsi="Times New Roman"/>
          <w:sz w:val="24"/>
          <w:szCs w:val="24"/>
        </w:rPr>
      </w:pPr>
      <w:r w:rsidRPr="007A5937">
        <w:rPr>
          <w:rFonts w:ascii="Times New Roman" w:hAnsi="Times New Roman"/>
          <w:sz w:val="24"/>
          <w:szCs w:val="24"/>
        </w:rPr>
        <w:t xml:space="preserve">JÍLEK, Josef. </w:t>
      </w:r>
      <w:r w:rsidRPr="007A5937">
        <w:rPr>
          <w:rFonts w:ascii="Times New Roman" w:hAnsi="Times New Roman"/>
          <w:i/>
          <w:iCs/>
          <w:sz w:val="24"/>
          <w:szCs w:val="24"/>
        </w:rPr>
        <w:t>Finanční rizika</w:t>
      </w:r>
      <w:r w:rsidRPr="007A5937">
        <w:rPr>
          <w:rFonts w:ascii="Times New Roman" w:hAnsi="Times New Roman"/>
          <w:sz w:val="24"/>
          <w:szCs w:val="24"/>
        </w:rPr>
        <w:t xml:space="preserve">. 1. vyd. Praha: Grada, 2000. 635 s. ISBN: 80-7169-579-3.  </w:t>
      </w:r>
    </w:p>
    <w:p w:rsidR="00D108A2" w:rsidRPr="007A5937" w:rsidRDefault="00D108A2" w:rsidP="00856772">
      <w:pPr>
        <w:spacing w:after="120"/>
        <w:rPr>
          <w:rFonts w:ascii="Times New Roman" w:hAnsi="Times New Roman"/>
          <w:sz w:val="24"/>
          <w:szCs w:val="24"/>
        </w:rPr>
      </w:pPr>
      <w:r w:rsidRPr="007A5937">
        <w:rPr>
          <w:rFonts w:ascii="Times New Roman" w:hAnsi="Times New Roman"/>
          <w:sz w:val="24"/>
          <w:szCs w:val="24"/>
        </w:rPr>
        <w:t xml:space="preserve">KAŠPAROVSKÁ, Vlasta. </w:t>
      </w:r>
      <w:r w:rsidRPr="007A5937">
        <w:rPr>
          <w:rFonts w:ascii="Times New Roman" w:hAnsi="Times New Roman"/>
          <w:i/>
          <w:iCs/>
          <w:sz w:val="24"/>
          <w:szCs w:val="24"/>
        </w:rPr>
        <w:t>Řízení obchodních bank: vybrané kapitoly</w:t>
      </w:r>
      <w:r w:rsidRPr="007A5937">
        <w:rPr>
          <w:rFonts w:ascii="Times New Roman" w:hAnsi="Times New Roman"/>
          <w:sz w:val="24"/>
          <w:szCs w:val="24"/>
        </w:rPr>
        <w:t>. Vyd. 1. Praha: C. H. Beck, 2006.</w:t>
      </w:r>
      <w:r>
        <w:rPr>
          <w:rFonts w:ascii="Times New Roman" w:hAnsi="Times New Roman"/>
          <w:sz w:val="24"/>
          <w:szCs w:val="24"/>
        </w:rPr>
        <w:t xml:space="preserve"> 339 s. ISBN 8071793817.</w:t>
      </w:r>
      <w:r w:rsidRPr="007A5937">
        <w:rPr>
          <w:rFonts w:ascii="Times New Roman" w:hAnsi="Times New Roman"/>
          <w:sz w:val="24"/>
          <w:szCs w:val="24"/>
        </w:rPr>
        <w:t xml:space="preserve">  </w:t>
      </w:r>
    </w:p>
    <w:sectPr w:rsidR="00D108A2" w:rsidRPr="007A5937" w:rsidSect="001D1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5768"/>
    <w:multiLevelType w:val="hybridMultilevel"/>
    <w:tmpl w:val="FBDAA194"/>
    <w:lvl w:ilvl="0" w:tplc="B33A605C">
      <w:start w:val="1"/>
      <w:numFmt w:val="bullet"/>
      <w:lvlText w:val=""/>
      <w:lvlJc w:val="left"/>
      <w:pPr>
        <w:tabs>
          <w:tab w:val="num" w:pos="53"/>
        </w:tabs>
        <w:ind w:left="337" w:hanging="53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501ECF"/>
    <w:multiLevelType w:val="hybridMultilevel"/>
    <w:tmpl w:val="3BA239FA"/>
    <w:lvl w:ilvl="0" w:tplc="97B20AD0">
      <w:start w:val="1"/>
      <w:numFmt w:val="bullet"/>
      <w:lvlText w:val=""/>
      <w:lvlJc w:val="left"/>
      <w:pPr>
        <w:tabs>
          <w:tab w:val="num" w:pos="284"/>
        </w:tabs>
        <w:ind w:left="568" w:hanging="284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D362B"/>
    <w:multiLevelType w:val="hybridMultilevel"/>
    <w:tmpl w:val="911083DE"/>
    <w:lvl w:ilvl="0" w:tplc="97B20AD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784E0E"/>
    <w:multiLevelType w:val="multilevel"/>
    <w:tmpl w:val="FBDAA194"/>
    <w:lvl w:ilvl="0">
      <w:start w:val="1"/>
      <w:numFmt w:val="bullet"/>
      <w:lvlText w:val=""/>
      <w:lvlJc w:val="left"/>
      <w:pPr>
        <w:tabs>
          <w:tab w:val="num" w:pos="53"/>
        </w:tabs>
        <w:ind w:left="337" w:hanging="5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2A0"/>
    <w:rsid w:val="00036D73"/>
    <w:rsid w:val="00062A11"/>
    <w:rsid w:val="00081712"/>
    <w:rsid w:val="000D3F2D"/>
    <w:rsid w:val="000E6109"/>
    <w:rsid w:val="0014157C"/>
    <w:rsid w:val="001D154A"/>
    <w:rsid w:val="001D7733"/>
    <w:rsid w:val="0022614E"/>
    <w:rsid w:val="00292AC1"/>
    <w:rsid w:val="003A2E07"/>
    <w:rsid w:val="003C56BE"/>
    <w:rsid w:val="0043505E"/>
    <w:rsid w:val="00456A35"/>
    <w:rsid w:val="004E7651"/>
    <w:rsid w:val="0051319C"/>
    <w:rsid w:val="005A1553"/>
    <w:rsid w:val="005F0AAF"/>
    <w:rsid w:val="00633AE9"/>
    <w:rsid w:val="00673742"/>
    <w:rsid w:val="006A2344"/>
    <w:rsid w:val="00710EA2"/>
    <w:rsid w:val="007739D6"/>
    <w:rsid w:val="00774EED"/>
    <w:rsid w:val="007A5937"/>
    <w:rsid w:val="007B6480"/>
    <w:rsid w:val="007F6A07"/>
    <w:rsid w:val="00845FDB"/>
    <w:rsid w:val="00856772"/>
    <w:rsid w:val="008828BF"/>
    <w:rsid w:val="00922280"/>
    <w:rsid w:val="009503A3"/>
    <w:rsid w:val="009F3CEC"/>
    <w:rsid w:val="00A03225"/>
    <w:rsid w:val="00A20332"/>
    <w:rsid w:val="00AB31F7"/>
    <w:rsid w:val="00AD471D"/>
    <w:rsid w:val="00AD7A59"/>
    <w:rsid w:val="00B45936"/>
    <w:rsid w:val="00BE050D"/>
    <w:rsid w:val="00BE385F"/>
    <w:rsid w:val="00C349D9"/>
    <w:rsid w:val="00C453B0"/>
    <w:rsid w:val="00C902F9"/>
    <w:rsid w:val="00CC31D8"/>
    <w:rsid w:val="00CE53AB"/>
    <w:rsid w:val="00CF62A0"/>
    <w:rsid w:val="00D108A2"/>
    <w:rsid w:val="00D108EC"/>
    <w:rsid w:val="00DA386B"/>
    <w:rsid w:val="00DC03AE"/>
    <w:rsid w:val="00E43F83"/>
    <w:rsid w:val="00E9679C"/>
    <w:rsid w:val="00F0453B"/>
    <w:rsid w:val="00F7265A"/>
    <w:rsid w:val="00FB3FC2"/>
    <w:rsid w:val="00FC5E26"/>
    <w:rsid w:val="00FD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A0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265A"/>
    <w:rPr>
      <w:rFonts w:cs="Times New Roman"/>
      <w:color w:val="0000FF"/>
      <w:u w:val="single"/>
    </w:rPr>
  </w:style>
  <w:style w:type="paragraph" w:customStyle="1" w:styleId="Mjnormln">
    <w:name w:val="Můj normální"/>
    <w:link w:val="MjnormlnChar1"/>
    <w:uiPriority w:val="99"/>
    <w:rsid w:val="005F0AAF"/>
    <w:pPr>
      <w:spacing w:after="240" w:line="288" w:lineRule="auto"/>
      <w:jc w:val="both"/>
    </w:pPr>
    <w:rPr>
      <w:rFonts w:eastAsia="Times New Roman"/>
    </w:rPr>
  </w:style>
  <w:style w:type="character" w:customStyle="1" w:styleId="MjnormlnChar1">
    <w:name w:val="Můj normální Char1"/>
    <w:link w:val="Mjnormln"/>
    <w:uiPriority w:val="99"/>
    <w:locked/>
    <w:rsid w:val="005F0AAF"/>
    <w:rPr>
      <w:rFonts w:eastAsia="Times New Roman"/>
      <w:sz w:val="22"/>
      <w:lang w:val="cs-CZ" w:eastAsia="cs-CZ"/>
    </w:rPr>
  </w:style>
  <w:style w:type="paragraph" w:customStyle="1" w:styleId="Default">
    <w:name w:val="Default"/>
    <w:uiPriority w:val="99"/>
    <w:rsid w:val="006737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D773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157">
                  <w:marLeft w:val="0"/>
                  <w:marRight w:val="0"/>
                  <w:marTop w:val="0"/>
                  <w:marBottom w:val="0"/>
                  <w:divBdr>
                    <w:top w:val="single" w:sz="4" w:space="0" w:color="ECECEC"/>
                    <w:left w:val="single" w:sz="4" w:space="0" w:color="ECECEC"/>
                    <w:bottom w:val="single" w:sz="4" w:space="0" w:color="ECECEC"/>
                    <w:right w:val="single" w:sz="4" w:space="0" w:color="ECECEC"/>
                  </w:divBdr>
                  <w:divsChild>
                    <w:div w:id="9696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5174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5166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2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156">
                  <w:marLeft w:val="0"/>
                  <w:marRight w:val="0"/>
                  <w:marTop w:val="0"/>
                  <w:marBottom w:val="0"/>
                  <w:divBdr>
                    <w:top w:val="single" w:sz="4" w:space="0" w:color="ECECEC"/>
                    <w:left w:val="single" w:sz="4" w:space="0" w:color="ECECEC"/>
                    <w:bottom w:val="single" w:sz="4" w:space="0" w:color="ECECEC"/>
                    <w:right w:val="single" w:sz="4" w:space="0" w:color="ECECEC"/>
                  </w:divBdr>
                  <w:divsChild>
                    <w:div w:id="9696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5161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517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2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nb.cz/cs/dohled_financni_trh/centralni_registr_uve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434</TotalTime>
  <Pages>3</Pages>
  <Words>1231</Words>
  <Characters>7265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 Ladislav</dc:creator>
  <cp:keywords/>
  <dc:description/>
  <cp:lastModifiedBy>Laďa</cp:lastModifiedBy>
  <cp:revision>17</cp:revision>
  <dcterms:created xsi:type="dcterms:W3CDTF">2015-09-11T14:09:00Z</dcterms:created>
  <dcterms:modified xsi:type="dcterms:W3CDTF">2015-09-20T09:35:00Z</dcterms:modified>
</cp:coreProperties>
</file>