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ATP-CTP 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(Lze slíbit)- (Možné slíbit)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</w:t>
      </w:r>
      <w:r w:rsidR="00B20B4B">
        <w:rPr>
          <w:rFonts w:asciiTheme="minorHAnsi" w:hAnsiTheme="minorHAnsi"/>
          <w:sz w:val="22"/>
          <w:szCs w:val="22"/>
          <w:lang w:val="cs-CZ"/>
        </w:rPr>
        <w:t>0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B20B4B">
        <w:rPr>
          <w:rFonts w:asciiTheme="minorHAnsi" w:hAnsiTheme="minorHAnsi"/>
          <w:sz w:val="22"/>
          <w:szCs w:val="22"/>
          <w:lang w:val="cs-CZ"/>
        </w:rPr>
        <w:t>8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  <w:r>
        <w:rPr>
          <w:rFonts w:asciiTheme="minorHAnsi" w:hAnsiTheme="minorHAnsi"/>
          <w:sz w:val="22"/>
          <w:szCs w:val="22"/>
          <w:lang w:val="cs-CZ"/>
        </w:rPr>
        <w:t>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vysvětlení existuje doprovodném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týkající se </w:t>
      </w:r>
      <w:r w:rsidR="00513B69">
        <w:rPr>
          <w:rFonts w:asciiTheme="minorHAnsi" w:hAnsiTheme="minorHAnsi"/>
          <w:sz w:val="22"/>
          <w:szCs w:val="22"/>
          <w:lang w:val="cs-CZ"/>
        </w:rPr>
        <w:t>ATP_CTP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MS Dynamics NAV 2016 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používaných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>parametrů :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:rsidTr="003C0A7A">
        <w:tc>
          <w:tcPr>
            <w:tcW w:w="3256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Typ doby používaný při ATP-CTP</w:t>
            </w:r>
          </w:p>
        </w:tc>
        <w:tc>
          <w:tcPr>
            <w:tcW w:w="2785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Počet dnů</w:t>
            </w:r>
          </w:p>
        </w:tc>
        <w:tc>
          <w:tcPr>
            <w:tcW w:w="3021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vyskladnění (Modrý)</w:t>
            </w:r>
          </w:p>
        </w:tc>
        <w:tc>
          <w:tcPr>
            <w:tcW w:w="2785" w:type="dxa"/>
          </w:tcPr>
          <w:p w:rsidR="001B3222" w:rsidRDefault="007B64CE" w:rsidP="007B64C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1B3222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zaskladnění (Modrý)</w:t>
            </w:r>
          </w:p>
        </w:tc>
        <w:tc>
          <w:tcPr>
            <w:tcW w:w="2785" w:type="dxa"/>
          </w:tcPr>
          <w:p w:rsidR="001B3222" w:rsidRDefault="007B64CE" w:rsidP="007B64C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</w:t>
            </w:r>
            <w:r w:rsidR="001B3222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Výpočet průběžné doby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4D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Bezpečná průběžná doba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dodávky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zákazníka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Kompenzace (čas)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Nastavení příslibu</w:t>
            </w:r>
          </w:p>
        </w:tc>
      </w:tr>
    </w:tbl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Výpočet průběžné doby 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>Do tohoto pole zadejte vzorec data, kdy bude nutné dané zboží doplnit. Program toto pole použije k výpočtu dat v polích na řádcích prodejních objednávek a návrhů prodejních objednávek. Výpočet vypadá následovn</w:t>
      </w:r>
      <w:r>
        <w:rPr>
          <w:rFonts w:asciiTheme="minorHAnsi" w:hAnsiTheme="minorHAnsi"/>
          <w:sz w:val="22"/>
          <w:szCs w:val="22"/>
          <w:lang w:val="cs-CZ"/>
        </w:rPr>
        <w:t>ě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>Na řádku prodejní objednávky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B3222">
        <w:rPr>
          <w:rFonts w:asciiTheme="minorHAnsi" w:hAnsiTheme="minorHAnsi"/>
          <w:sz w:val="22"/>
          <w:szCs w:val="22"/>
          <w:lang w:val="cs-CZ"/>
        </w:rPr>
        <w:t xml:space="preserve">: </w:t>
      </w:r>
      <w:hyperlink r:id="rId9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datum objednávky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 xml:space="preserve"> + výpočet průběžné doby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= </w:t>
      </w:r>
      <w:hyperlink r:id="rId10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plánované datum příjmu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>.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Bezpečná průběžná doba </w:t>
      </w:r>
    </w:p>
    <w:p w:rsidR="001B3222" w:rsidRDefault="001B3222" w:rsidP="001B3222">
      <w:pPr>
        <w:pStyle w:val="Normlnweb"/>
        <w:ind w:left="360"/>
      </w:pPr>
      <w:r>
        <w:t>Do tohoto pole můžete zadat vzorec data, který určí bezpečnou průběžnou dobu, jež se má v případě prodlev při výrobě nebo v průběžné době doplnění použít jako přechodné období. Při výpočtech na řádcích objednávek a návrhů objednávek přičte program bezpečnou průběžnou dobu k dané průběžné době. To platí pro dopředně i zpětně plánované objednávky. Pole s daty na objednávce (nebo v návrhu objednávky), která budou tímto ovlivněna, jsou tato:</w:t>
      </w:r>
    </w:p>
    <w:p w:rsidR="001B3222" w:rsidRPr="001B3222" w:rsidRDefault="001B3222" w:rsidP="001B3222">
      <w:pPr>
        <w:pStyle w:val="Normlnweb"/>
        <w:ind w:left="360"/>
        <w:rPr>
          <w:rFonts w:asciiTheme="minorHAnsi" w:eastAsiaTheme="minorHAnsi" w:hAnsiTheme="minorHAnsi"/>
          <w:b/>
          <w:sz w:val="22"/>
          <w:szCs w:val="22"/>
          <w:lang w:eastAsia="zh-CN"/>
        </w:rPr>
      </w:pPr>
      <w:r>
        <w:t xml:space="preserve">Na řádku výrobní zakázky: </w:t>
      </w:r>
      <w:hyperlink r:id="rId11" w:tgtFrame="_parent" w:history="1">
        <w:r w:rsidRPr="001B3222">
          <w:rPr>
            <w:rFonts w:asciiTheme="minorHAnsi" w:eastAsiaTheme="minorHAnsi" w:hAnsiTheme="minorHAnsi"/>
            <w:b/>
            <w:sz w:val="22"/>
            <w:szCs w:val="22"/>
            <w:lang w:eastAsia="zh-CN"/>
          </w:rPr>
          <w:t>koncové datum</w:t>
        </w:r>
      </w:hyperlink>
      <w:r>
        <w:t xml:space="preserve"> + bezpečná průběžná doba + </w:t>
      </w:r>
      <w:hyperlink r:id="rId12" w:tgtFrame="_parent" w:history="1">
        <w:r w:rsidRPr="001B3222">
          <w:rPr>
            <w:rFonts w:asciiTheme="minorHAnsi" w:eastAsiaTheme="minorHAnsi" w:hAnsiTheme="minorHAnsi"/>
            <w:b/>
            <w:sz w:val="22"/>
            <w:szCs w:val="22"/>
            <w:lang w:eastAsia="zh-CN"/>
          </w:rPr>
          <w:t>doba zaskladnění</w:t>
        </w:r>
      </w:hyperlink>
      <w:r w:rsidRPr="001B3222">
        <w:rPr>
          <w:rFonts w:asciiTheme="minorHAnsi" w:eastAsiaTheme="minorHAnsi" w:hAnsiTheme="minorHAnsi"/>
          <w:b/>
          <w:sz w:val="22"/>
          <w:szCs w:val="22"/>
          <w:lang w:eastAsia="zh-CN"/>
        </w:rPr>
        <w:t xml:space="preserve"> = </w:t>
      </w:r>
      <w:hyperlink r:id="rId13" w:tgtFrame="_parent" w:history="1">
        <w:r w:rsidRPr="001B3222">
          <w:rPr>
            <w:rFonts w:asciiTheme="minorHAnsi" w:eastAsiaTheme="minorHAnsi" w:hAnsiTheme="minorHAnsi"/>
            <w:b/>
            <w:sz w:val="22"/>
            <w:szCs w:val="22"/>
            <w:lang w:eastAsia="zh-CN"/>
          </w:rPr>
          <w:t>datum splatnosti</w:t>
        </w:r>
      </w:hyperlink>
      <w:r w:rsidRPr="001B3222">
        <w:rPr>
          <w:rFonts w:asciiTheme="minorHAnsi" w:eastAsiaTheme="minorHAnsi" w:hAnsiTheme="minorHAnsi"/>
          <w:b/>
          <w:sz w:val="22"/>
          <w:szCs w:val="22"/>
          <w:lang w:eastAsia="zh-CN"/>
        </w:rPr>
        <w:t>.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počet kusů zboží 1928-S a dolaďte jeho množství s pomocí deníku zboží na 142 kusů na skladě (s použití řádku deníku typu prodej.  </w:t>
      </w:r>
    </w:p>
    <w:p w:rsidR="00F54EEF" w:rsidRPr="001B3222" w:rsidRDefault="00F54EEF" w:rsidP="00F54EEF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F54EEF">
        <w:rPr>
          <w:rFonts w:asciiTheme="minorHAnsi" w:hAnsiTheme="minorHAnsi"/>
          <w:b/>
          <w:sz w:val="28"/>
          <w:szCs w:val="28"/>
          <w:lang w:val="cs-CZ"/>
        </w:rPr>
        <w:t>Kompenzace</w:t>
      </w:r>
      <w:r w:rsidR="00EE45C6" w:rsidRPr="00F54EEF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1B3222" w:rsidRDefault="00F54EEF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F54EEF">
        <w:rPr>
          <w:rFonts w:asciiTheme="minorHAnsi" w:hAnsiTheme="minorHAnsi"/>
          <w:sz w:val="22"/>
          <w:szCs w:val="22"/>
          <w:lang w:val="cs-CZ"/>
        </w:rPr>
        <w:t>Toto pole obsahuje údaj o časovém období, po které musí program čekat, než může vydat novou nákupní objednávku, výrobní zakázku nebo objednávku transferu. Toto období začíná aktuálním datem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Nastavení lokace </w:t>
      </w:r>
      <w:r w:rsidRPr="00A84A25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>
        <w:rPr>
          <w:rFonts w:asciiTheme="minorHAnsi" w:hAnsiTheme="minorHAnsi"/>
          <w:sz w:val="22"/>
          <w:szCs w:val="22"/>
          <w:lang w:val="cs-CZ"/>
        </w:rPr>
        <w:t xml:space="preserve"> (Záložka sklad) </w:t>
      </w:r>
    </w:p>
    <w:p w:rsidR="00313ECC" w:rsidRDefault="00E3065E" w:rsidP="00E3065E">
      <w:pPr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127C91" wp14:editId="095392F9">
            <wp:extent cx="5667375" cy="894837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501" cy="894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84A73" w:rsidRPr="00E3065E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služeb dopravců u </w:t>
      </w:r>
      <w:r w:rsidR="00DD4A3D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</w:t>
      </w:r>
      <w:r w:rsidR="00DD4A3D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F671F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 xml:space="preserve">0000, nastavení lokace u tohoto zákazníka a nastavení času dodávky, který ovšem v našem případě se do pole Doba dodávky dostane automaticky, protože Kód služby dopravce =Standard má dobu dodávky dva dny.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24EFEB" wp14:editId="3D40EABD">
            <wp:extent cx="5760720" cy="905204"/>
            <wp:effectExtent l="19050" t="19050" r="1143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2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Pr="000D66C3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b/>
          <w:sz w:val="22"/>
          <w:szCs w:val="22"/>
          <w:lang w:val="cs-CZ"/>
        </w:rPr>
      </w:pPr>
      <w:r w:rsidRPr="000D66C3">
        <w:rPr>
          <w:rFonts w:asciiTheme="minorHAnsi" w:hAnsiTheme="minorHAnsi"/>
          <w:b/>
          <w:sz w:val="22"/>
          <w:szCs w:val="22"/>
          <w:lang w:val="cs-CZ"/>
        </w:rPr>
        <w:t xml:space="preserve">Správa-&gt;Nastavení aplikace-&gt;Prodej-&gt;Úkoly-&gt;Nastavení příslibu objednávek </w:t>
      </w:r>
    </w:p>
    <w:p w:rsidR="00F54EEF" w:rsidRPr="00F54EEF" w:rsidRDefault="00F54EEF" w:rsidP="00F54EEF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3B7B31D" wp14:editId="4511EA95">
            <wp:extent cx="2133333" cy="933333"/>
            <wp:effectExtent l="19050" t="19050" r="19685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3FAEB3" wp14:editId="32953052">
            <wp:extent cx="5752381" cy="140000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Kde Kompenzace (čas) </w:t>
      </w:r>
      <w:r w:rsidRPr="00E3065E">
        <w:rPr>
          <w:rFonts w:asciiTheme="minorHAnsi" w:hAnsiTheme="minorHAnsi"/>
          <w:sz w:val="22"/>
          <w:szCs w:val="22"/>
          <w:lang w:val="cs-CZ"/>
        </w:rPr>
        <w:t>obsahuje údaj o časovém období, po které musí program čekat, než může vydat novou nákupní objednávku, výrobní zakázku nebo objednávku transferu. Toto období začíná aktuálním datem</w:t>
      </w:r>
      <w:r w:rsidR="00F54EEF">
        <w:rPr>
          <w:rFonts w:asciiTheme="minorHAnsi" w:hAnsiTheme="minorHAnsi"/>
          <w:sz w:val="22"/>
          <w:szCs w:val="22"/>
          <w:lang w:val="cs-CZ"/>
        </w:rPr>
        <w:t xml:space="preserve"> (viz také vysvětlení v úvodu příkladu) </w:t>
      </w:r>
      <w:r w:rsid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časů na kartě vybraného zboží (1928-S).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B9896FF" wp14:editId="77E55E98">
            <wp:extent cx="4048125" cy="783786"/>
            <wp:effectExtent l="19050" t="19050" r="9525" b="165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7621" cy="783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E1D8B67" wp14:editId="703B26B3">
            <wp:extent cx="3105149" cy="1640205"/>
            <wp:effectExtent l="19050" t="19050" r="19685" b="171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1864" cy="16437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Prodejní objednávka (zde </w:t>
      </w:r>
      <w:r w:rsidR="00C43621">
        <w:rPr>
          <w:rFonts w:asciiTheme="minorHAnsi" w:hAnsiTheme="minorHAnsi"/>
          <w:sz w:val="22"/>
          <w:szCs w:val="22"/>
          <w:lang w:val="cs-CZ"/>
        </w:rPr>
        <w:t xml:space="preserve">je vidět </w:t>
      </w:r>
      <w:r>
        <w:rPr>
          <w:rFonts w:asciiTheme="minorHAnsi" w:hAnsiTheme="minorHAnsi"/>
          <w:sz w:val="22"/>
          <w:szCs w:val="22"/>
          <w:lang w:val="cs-CZ"/>
        </w:rPr>
        <w:t xml:space="preserve">jenom </w:t>
      </w:r>
      <w:r w:rsidR="00E60E14">
        <w:rPr>
          <w:rFonts w:asciiTheme="minorHAnsi" w:hAnsiTheme="minorHAnsi"/>
          <w:sz w:val="22"/>
          <w:szCs w:val="22"/>
          <w:lang w:val="cs-CZ"/>
        </w:rPr>
        <w:t xml:space="preserve">její </w:t>
      </w:r>
      <w:r>
        <w:rPr>
          <w:rFonts w:asciiTheme="minorHAnsi" w:hAnsiTheme="minorHAnsi"/>
          <w:sz w:val="22"/>
          <w:szCs w:val="22"/>
          <w:lang w:val="cs-CZ"/>
        </w:rPr>
        <w:t xml:space="preserve">řádek) . V hlavičce je </w:t>
      </w:r>
      <w:r w:rsidR="00C43621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ákazník=10000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.Pracovní datum v příkladu je </w:t>
      </w:r>
      <w:r w:rsidR="00930F5C" w:rsidRPr="00C43621">
        <w:rPr>
          <w:rFonts w:asciiTheme="minorHAnsi" w:hAnsiTheme="minorHAnsi"/>
          <w:b/>
          <w:sz w:val="22"/>
          <w:szCs w:val="22"/>
          <w:lang w:val="cs-CZ"/>
        </w:rPr>
        <w:t>4</w:t>
      </w:r>
      <w:r w:rsidR="00B6072C" w:rsidRPr="00C43621">
        <w:rPr>
          <w:rFonts w:asciiTheme="minorHAnsi" w:hAnsiTheme="minorHAnsi"/>
          <w:b/>
          <w:sz w:val="22"/>
          <w:szCs w:val="22"/>
          <w:lang w:val="cs-CZ"/>
        </w:rPr>
        <w:t>.5.2017</w:t>
      </w:r>
      <w:r w:rsidR="00B6072C">
        <w:rPr>
          <w:rFonts w:asciiTheme="minorHAnsi" w:hAnsiTheme="minorHAnsi"/>
          <w:sz w:val="22"/>
          <w:szCs w:val="22"/>
          <w:lang w:val="cs-CZ"/>
        </w:rPr>
        <w:t>. V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 databázi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studentů může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být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toto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pracovní datum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jiné.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Abychom unifikovali alespoň částečně naše výsledky, nastavte si pracovní datum na </w:t>
      </w:r>
      <w:r w:rsidR="007B64CE" w:rsidRPr="007B64CE">
        <w:rPr>
          <w:rFonts w:asciiTheme="minorHAnsi" w:hAnsiTheme="minorHAnsi"/>
          <w:b/>
          <w:sz w:val="22"/>
          <w:szCs w:val="22"/>
          <w:lang w:val="cs-CZ"/>
        </w:rPr>
        <w:t>4</w:t>
      </w:r>
      <w:r w:rsidR="00B20B4B" w:rsidRPr="00C43621">
        <w:rPr>
          <w:rFonts w:asciiTheme="minorHAnsi" w:hAnsiTheme="minorHAnsi"/>
          <w:b/>
          <w:sz w:val="22"/>
          <w:szCs w:val="22"/>
          <w:lang w:val="cs-CZ"/>
        </w:rPr>
        <w:t>.5.2017!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6072C" w:rsidRDefault="00B6072C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noProof/>
          <w:lang w:val="cs-CZ" w:eastAsia="cs-CZ"/>
        </w:rPr>
        <w:drawing>
          <wp:inline distT="0" distB="0" distL="0" distR="0" wp14:anchorId="0CC477A1" wp14:editId="57483117">
            <wp:extent cx="5760720" cy="787613"/>
            <wp:effectExtent l="19050" t="19050" r="11430" b="1270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6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6072C" w:rsidRPr="00F54EEF" w:rsidRDefault="00B6072C" w:rsidP="00B6072C">
      <w:pPr>
        <w:jc w:val="left"/>
        <w:rPr>
          <w:rFonts w:asciiTheme="minorHAnsi" w:hAnsiTheme="minorHAnsi"/>
          <w:sz w:val="24"/>
          <w:lang w:val="cs-CZ"/>
        </w:rPr>
      </w:pPr>
      <w:r w:rsidRPr="00F54EEF">
        <w:rPr>
          <w:rFonts w:asciiTheme="minorHAnsi" w:hAnsiTheme="minorHAnsi"/>
          <w:sz w:val="24"/>
          <w:lang w:val="cs-CZ"/>
        </w:rPr>
        <w:t xml:space="preserve">Vzhledem k tomu, že máme 1928-S na skladě </w:t>
      </w:r>
      <w:r w:rsidR="00B20B4B" w:rsidRPr="00F54EEF">
        <w:rPr>
          <w:rFonts w:asciiTheme="minorHAnsi" w:hAnsiTheme="minorHAnsi"/>
          <w:sz w:val="24"/>
          <w:lang w:val="cs-CZ"/>
        </w:rPr>
        <w:t xml:space="preserve">na </w:t>
      </w:r>
      <w:r w:rsidRPr="00F54EEF">
        <w:rPr>
          <w:rFonts w:asciiTheme="minorHAnsi" w:hAnsiTheme="minorHAnsi"/>
          <w:sz w:val="24"/>
          <w:lang w:val="cs-CZ"/>
        </w:rPr>
        <w:t xml:space="preserve">lokace </w:t>
      </w:r>
      <w:r w:rsidRPr="00F54EEF">
        <w:rPr>
          <w:rFonts w:asciiTheme="minorHAnsi" w:hAnsiTheme="minorHAnsi"/>
          <w:b/>
          <w:color w:val="0070C0"/>
          <w:sz w:val="24"/>
          <w:lang w:val="cs-CZ"/>
        </w:rPr>
        <w:t>Modrý</w:t>
      </w:r>
      <w:r w:rsidRPr="00F54EEF">
        <w:rPr>
          <w:rFonts w:asciiTheme="minorHAnsi" w:hAnsiTheme="minorHAnsi"/>
          <w:sz w:val="24"/>
          <w:lang w:val="cs-CZ"/>
        </w:rPr>
        <w:t xml:space="preserve">, tak ve výpočtu figuruje </w:t>
      </w:r>
      <w:r w:rsidR="00B20B4B" w:rsidRPr="00F54EEF">
        <w:rPr>
          <w:rFonts w:asciiTheme="minorHAnsi" w:hAnsiTheme="minorHAnsi"/>
          <w:sz w:val="24"/>
          <w:lang w:val="cs-CZ"/>
        </w:rPr>
        <w:t>D</w:t>
      </w:r>
      <w:r w:rsidRPr="00F54EEF">
        <w:rPr>
          <w:rFonts w:asciiTheme="minorHAnsi" w:hAnsiTheme="minorHAnsi"/>
          <w:sz w:val="24"/>
          <w:lang w:val="cs-CZ"/>
        </w:rPr>
        <w:t xml:space="preserve">oba dodávky </w:t>
      </w:r>
      <w:r w:rsidR="007A117D" w:rsidRPr="00F54EEF">
        <w:rPr>
          <w:rFonts w:asciiTheme="minorHAnsi" w:hAnsiTheme="minorHAnsi"/>
          <w:sz w:val="24"/>
          <w:lang w:val="cs-CZ"/>
        </w:rPr>
        <w:t>(</w:t>
      </w:r>
      <w:r w:rsidR="007A117D" w:rsidRPr="00F54EEF">
        <w:rPr>
          <w:rFonts w:asciiTheme="minorHAnsi" w:hAnsiTheme="minorHAnsi"/>
          <w:sz w:val="24"/>
        </w:rPr>
        <w:t xml:space="preserve">Shipment </w:t>
      </w:r>
      <w:r w:rsidR="00B20B4B" w:rsidRPr="00F54EEF">
        <w:rPr>
          <w:rFonts w:asciiTheme="minorHAnsi" w:hAnsiTheme="minorHAnsi"/>
          <w:sz w:val="24"/>
        </w:rPr>
        <w:t>T</w:t>
      </w:r>
      <w:r w:rsidR="007A117D" w:rsidRPr="00F54EEF">
        <w:rPr>
          <w:rFonts w:asciiTheme="minorHAnsi" w:hAnsiTheme="minorHAnsi"/>
          <w:sz w:val="24"/>
        </w:rPr>
        <w:t>ime</w:t>
      </w:r>
      <w:r w:rsidR="007A117D" w:rsidRPr="00F54EEF">
        <w:rPr>
          <w:rFonts w:asciiTheme="minorHAnsi" w:hAnsiTheme="minorHAnsi"/>
          <w:sz w:val="24"/>
          <w:lang w:val="cs-CZ"/>
        </w:rPr>
        <w:t xml:space="preserve"> daný externím dodavatelem Fedex)</w:t>
      </w:r>
      <w:r w:rsidR="00B20B4B" w:rsidRPr="00F54EEF">
        <w:rPr>
          <w:rFonts w:asciiTheme="minorHAnsi" w:hAnsiTheme="minorHAnsi"/>
          <w:sz w:val="24"/>
          <w:lang w:val="cs-CZ"/>
        </w:rPr>
        <w:t xml:space="preserve"> nastavená na kartě lokace </w:t>
      </w:r>
      <w:r w:rsidRPr="00F54EEF">
        <w:rPr>
          <w:rFonts w:asciiTheme="minorHAnsi" w:hAnsiTheme="minorHAnsi"/>
          <w:sz w:val="24"/>
          <w:lang w:val="cs-CZ"/>
        </w:rPr>
        <w:t>2D (</w:t>
      </w:r>
      <w:r w:rsidR="00FF76EF" w:rsidRPr="00F54EEF">
        <w:rPr>
          <w:rFonts w:asciiTheme="minorHAnsi" w:hAnsiTheme="minorHAnsi"/>
          <w:sz w:val="24"/>
          <w:lang w:val="cs-CZ"/>
        </w:rPr>
        <w:t>6</w:t>
      </w:r>
      <w:r w:rsidRPr="00F54EEF">
        <w:rPr>
          <w:rFonts w:asciiTheme="minorHAnsi" w:hAnsiTheme="minorHAnsi"/>
          <w:sz w:val="24"/>
          <w:lang w:val="cs-CZ"/>
        </w:rPr>
        <w:t>.5.-</w:t>
      </w:r>
      <w:r w:rsidR="00930F5C">
        <w:rPr>
          <w:rFonts w:asciiTheme="minorHAnsi" w:hAnsiTheme="minorHAnsi"/>
          <w:sz w:val="24"/>
          <w:lang w:val="cs-CZ"/>
        </w:rPr>
        <w:t>&gt;</w:t>
      </w:r>
      <w:r w:rsidR="00FF76EF" w:rsidRPr="00F54EEF">
        <w:rPr>
          <w:rFonts w:asciiTheme="minorHAnsi" w:hAnsiTheme="minorHAnsi"/>
          <w:sz w:val="24"/>
          <w:lang w:val="cs-CZ"/>
        </w:rPr>
        <w:t>8</w:t>
      </w:r>
      <w:r w:rsidRPr="00F54EEF">
        <w:rPr>
          <w:rFonts w:asciiTheme="minorHAnsi" w:hAnsiTheme="minorHAnsi"/>
          <w:sz w:val="24"/>
          <w:lang w:val="cs-CZ"/>
        </w:rPr>
        <w:t xml:space="preserve">.5.) a </w:t>
      </w:r>
      <w:r w:rsidR="00B20B4B" w:rsidRPr="00F54EEF">
        <w:rPr>
          <w:rFonts w:asciiTheme="minorHAnsi" w:hAnsiTheme="minorHAnsi"/>
          <w:sz w:val="24"/>
          <w:lang w:val="cs-CZ"/>
        </w:rPr>
        <w:t>D</w:t>
      </w:r>
      <w:r w:rsidRPr="00F54EEF">
        <w:rPr>
          <w:rFonts w:asciiTheme="minorHAnsi" w:hAnsiTheme="minorHAnsi"/>
          <w:sz w:val="24"/>
          <w:lang w:val="cs-CZ"/>
        </w:rPr>
        <w:t xml:space="preserve">oba vyskladnění z lokace </w:t>
      </w:r>
      <w:r w:rsidRPr="00F54EEF">
        <w:rPr>
          <w:rFonts w:asciiTheme="minorHAnsi" w:hAnsiTheme="minorHAnsi"/>
          <w:b/>
          <w:color w:val="0070C0"/>
          <w:sz w:val="24"/>
          <w:lang w:val="cs-CZ"/>
        </w:rPr>
        <w:t>Modrý</w:t>
      </w:r>
      <w:r w:rsidR="007A117D" w:rsidRPr="00F54EEF">
        <w:rPr>
          <w:rFonts w:asciiTheme="minorHAnsi" w:hAnsiTheme="minorHAnsi"/>
          <w:b/>
          <w:sz w:val="24"/>
          <w:lang w:val="cs-CZ"/>
        </w:rPr>
        <w:t xml:space="preserve"> (</w:t>
      </w:r>
      <w:r w:rsidR="007A117D" w:rsidRPr="00F54EEF">
        <w:rPr>
          <w:rFonts w:asciiTheme="minorHAnsi" w:hAnsiTheme="minorHAnsi"/>
          <w:sz w:val="24"/>
        </w:rPr>
        <w:t>outbound warehouse handling time</w:t>
      </w:r>
      <w:r w:rsidR="007A117D" w:rsidRPr="00F54EEF">
        <w:rPr>
          <w:rFonts w:asciiTheme="minorHAnsi" w:hAnsiTheme="minorHAnsi"/>
          <w:b/>
          <w:sz w:val="24"/>
          <w:lang w:val="cs-CZ"/>
        </w:rPr>
        <w:t>)</w:t>
      </w:r>
      <w:r w:rsidRPr="00F54EEF">
        <w:rPr>
          <w:rFonts w:asciiTheme="minorHAnsi" w:hAnsiTheme="minorHAnsi"/>
          <w:sz w:val="24"/>
          <w:lang w:val="cs-CZ"/>
        </w:rPr>
        <w:t xml:space="preserve">, kterou jsme nastavili na </w:t>
      </w:r>
      <w:r w:rsidR="00FF76EF" w:rsidRPr="00F54EEF">
        <w:rPr>
          <w:rFonts w:asciiTheme="minorHAnsi" w:hAnsiTheme="minorHAnsi"/>
          <w:sz w:val="24"/>
          <w:lang w:val="cs-CZ"/>
        </w:rPr>
        <w:t>2</w:t>
      </w:r>
      <w:r w:rsidRPr="00F54EEF">
        <w:rPr>
          <w:rFonts w:asciiTheme="minorHAnsi" w:hAnsiTheme="minorHAnsi"/>
          <w:sz w:val="24"/>
          <w:lang w:val="cs-CZ"/>
        </w:rPr>
        <w:t>D (</w:t>
      </w:r>
      <w:r w:rsidR="00FF76EF" w:rsidRPr="00F54EEF">
        <w:rPr>
          <w:rFonts w:asciiTheme="minorHAnsi" w:hAnsiTheme="minorHAnsi"/>
          <w:sz w:val="24"/>
          <w:lang w:val="cs-CZ"/>
        </w:rPr>
        <w:t>4</w:t>
      </w:r>
      <w:r w:rsidRPr="00F54EEF">
        <w:rPr>
          <w:rFonts w:asciiTheme="minorHAnsi" w:hAnsiTheme="minorHAnsi"/>
          <w:sz w:val="24"/>
          <w:lang w:val="cs-CZ"/>
        </w:rPr>
        <w:t>.5.-</w:t>
      </w:r>
      <w:r w:rsidR="00930F5C">
        <w:rPr>
          <w:rFonts w:asciiTheme="minorHAnsi" w:hAnsiTheme="minorHAnsi"/>
          <w:sz w:val="24"/>
          <w:lang w:val="cs-CZ"/>
        </w:rPr>
        <w:t>&gt;</w:t>
      </w:r>
      <w:r w:rsidR="00FF76EF" w:rsidRPr="00F54EEF">
        <w:rPr>
          <w:rFonts w:asciiTheme="minorHAnsi" w:hAnsiTheme="minorHAnsi"/>
          <w:sz w:val="24"/>
          <w:lang w:val="cs-CZ"/>
        </w:rPr>
        <w:t>6</w:t>
      </w:r>
      <w:r w:rsidRPr="00F54EEF">
        <w:rPr>
          <w:rFonts w:asciiTheme="minorHAnsi" w:hAnsiTheme="minorHAnsi"/>
          <w:sz w:val="24"/>
          <w:lang w:val="cs-CZ"/>
        </w:rPr>
        <w:t>.5.)</w:t>
      </w:r>
    </w:p>
    <w:p w:rsidR="00B20B4B" w:rsidRDefault="00B20B4B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6072C" w:rsidRPr="00B6072C" w:rsidRDefault="00B6072C" w:rsidP="00B6072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menu </w:t>
      </w:r>
      <w:r w:rsidR="000C6541">
        <w:rPr>
          <w:rFonts w:asciiTheme="minorHAnsi" w:hAnsiTheme="minorHAnsi"/>
          <w:sz w:val="22"/>
          <w:szCs w:val="22"/>
          <w:lang w:val="cs-CZ"/>
        </w:rPr>
        <w:t>Prod</w:t>
      </w:r>
      <w:r w:rsidR="007A117D">
        <w:rPr>
          <w:rFonts w:asciiTheme="minorHAnsi" w:hAnsiTheme="minorHAnsi"/>
          <w:sz w:val="22"/>
          <w:szCs w:val="22"/>
          <w:lang w:val="cs-CZ"/>
        </w:rPr>
        <w:t>ejní objednávky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je v </w:t>
      </w:r>
      <w:r w:rsidR="00B20B4B">
        <w:rPr>
          <w:rFonts w:asciiTheme="minorHAnsi" w:hAnsiTheme="minorHAnsi"/>
          <w:sz w:val="22"/>
          <w:szCs w:val="22"/>
          <w:lang w:val="cs-CZ"/>
        </w:rPr>
        <w:t>s</w:t>
      </w:r>
      <w:r>
        <w:rPr>
          <w:rFonts w:asciiTheme="minorHAnsi" w:hAnsiTheme="minorHAnsi"/>
          <w:sz w:val="22"/>
          <w:szCs w:val="22"/>
          <w:lang w:val="cs-CZ"/>
        </w:rPr>
        <w:t>ekci =Akce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 využijeme </w:t>
      </w:r>
      <w:r w:rsidRPr="007A117D">
        <w:rPr>
          <w:rFonts w:asciiTheme="minorHAnsi" w:hAnsiTheme="minorHAnsi"/>
          <w:b/>
          <w:sz w:val="22"/>
          <w:szCs w:val="22"/>
          <w:lang w:val="cs-CZ"/>
        </w:rPr>
        <w:t>Příslib vyřízení objednávky</w:t>
      </w:r>
      <w:r>
        <w:rPr>
          <w:rFonts w:asciiTheme="minorHAnsi" w:hAnsiTheme="minorHAnsi"/>
          <w:sz w:val="22"/>
          <w:szCs w:val="22"/>
          <w:lang w:val="cs-CZ"/>
        </w:rPr>
        <w:t>. Vyberte možnost Lze Slíbit</w:t>
      </w:r>
      <w:r w:rsidRPr="00B6072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>
        <w:rPr>
          <w:rFonts w:asciiTheme="minorHAnsi" w:hAnsiTheme="minorHAnsi"/>
          <w:sz w:val="22"/>
          <w:szCs w:val="22"/>
          <w:lang w:val="cs-CZ"/>
        </w:rPr>
        <w:t>(</w:t>
      </w:r>
      <w:r w:rsidR="000C6541" w:rsidRPr="00A84A25">
        <w:rPr>
          <w:rFonts w:asciiTheme="minorHAnsi" w:hAnsiTheme="minorHAnsi"/>
          <w:b/>
          <w:sz w:val="22"/>
          <w:szCs w:val="22"/>
          <w:lang w:val="cs-CZ"/>
        </w:rPr>
        <w:t>ATP</w:t>
      </w:r>
      <w:r w:rsidR="00B20B4B">
        <w:rPr>
          <w:rFonts w:asciiTheme="minorHAnsi" w:hAnsiTheme="minorHAnsi"/>
          <w:sz w:val="22"/>
          <w:szCs w:val="22"/>
          <w:lang w:val="cs-CZ"/>
        </w:rPr>
        <w:t>=</w:t>
      </w:r>
      <w:r w:rsidR="007A117D" w:rsidRPr="00C43621">
        <w:rPr>
          <w:rFonts w:asciiTheme="minorHAnsi" w:hAnsiTheme="minorHAnsi"/>
          <w:b/>
          <w:sz w:val="22"/>
          <w:szCs w:val="22"/>
        </w:rPr>
        <w:t>A</w:t>
      </w:r>
      <w:r w:rsidR="007A117D" w:rsidRPr="00A84A25">
        <w:rPr>
          <w:rFonts w:asciiTheme="minorHAnsi" w:hAnsiTheme="minorHAnsi"/>
          <w:sz w:val="22"/>
          <w:szCs w:val="22"/>
        </w:rPr>
        <w:t>vailab</w:t>
      </w:r>
      <w:r w:rsidR="00A84A25">
        <w:rPr>
          <w:rFonts w:asciiTheme="minorHAnsi" w:hAnsiTheme="minorHAnsi"/>
          <w:sz w:val="22"/>
          <w:szCs w:val="22"/>
        </w:rPr>
        <w:t>l</w:t>
      </w:r>
      <w:r w:rsidR="007A117D" w:rsidRPr="00A84A25">
        <w:rPr>
          <w:rFonts w:asciiTheme="minorHAnsi" w:hAnsiTheme="minorHAnsi"/>
          <w:sz w:val="22"/>
          <w:szCs w:val="22"/>
        </w:rPr>
        <w:t>e-</w:t>
      </w:r>
      <w:r w:rsidR="007A117D" w:rsidRPr="00C43621">
        <w:rPr>
          <w:rFonts w:asciiTheme="minorHAnsi" w:hAnsiTheme="minorHAnsi"/>
          <w:b/>
          <w:sz w:val="22"/>
          <w:szCs w:val="22"/>
        </w:rPr>
        <w:t>T</w:t>
      </w:r>
      <w:r w:rsidR="007A117D" w:rsidRPr="00A84A25">
        <w:rPr>
          <w:rFonts w:asciiTheme="minorHAnsi" w:hAnsiTheme="minorHAnsi"/>
          <w:sz w:val="22"/>
          <w:szCs w:val="22"/>
        </w:rPr>
        <w:t>o-</w:t>
      </w:r>
      <w:r w:rsidR="007A117D" w:rsidRPr="00C43621">
        <w:rPr>
          <w:rFonts w:asciiTheme="minorHAnsi" w:hAnsiTheme="minorHAnsi"/>
          <w:b/>
          <w:sz w:val="22"/>
          <w:szCs w:val="22"/>
        </w:rPr>
        <w:t>P</w:t>
      </w:r>
      <w:r w:rsidR="007A117D" w:rsidRPr="00A84A25">
        <w:rPr>
          <w:rFonts w:asciiTheme="minorHAnsi" w:hAnsiTheme="minorHAnsi"/>
          <w:sz w:val="22"/>
          <w:szCs w:val="22"/>
        </w:rPr>
        <w:t>romise</w:t>
      </w:r>
      <w:r w:rsidR="007A117D">
        <w:rPr>
          <w:rFonts w:asciiTheme="minorHAnsi" w:hAnsiTheme="minorHAnsi"/>
          <w:sz w:val="22"/>
          <w:szCs w:val="22"/>
          <w:lang w:val="cs-CZ"/>
        </w:rPr>
        <w:t>)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dále se provede </w:t>
      </w:r>
      <w:r w:rsidR="000C6541">
        <w:rPr>
          <w:rFonts w:asciiTheme="minorHAnsi" w:hAnsiTheme="minorHAnsi"/>
          <w:sz w:val="22"/>
          <w:szCs w:val="22"/>
          <w:lang w:val="cs-CZ"/>
        </w:rPr>
        <w:t>výpoč</w:t>
      </w:r>
      <w:r w:rsidR="007A117D">
        <w:rPr>
          <w:rFonts w:asciiTheme="minorHAnsi" w:hAnsiTheme="minorHAnsi"/>
          <w:sz w:val="22"/>
          <w:szCs w:val="22"/>
          <w:lang w:val="cs-CZ"/>
        </w:rPr>
        <w:t>e</w:t>
      </w:r>
      <w:r w:rsidR="00042E7A">
        <w:rPr>
          <w:rFonts w:asciiTheme="minorHAnsi" w:hAnsiTheme="minorHAnsi"/>
          <w:sz w:val="22"/>
          <w:szCs w:val="22"/>
          <w:lang w:val="cs-CZ"/>
        </w:rPr>
        <w:t>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s pomocí ikony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 w:rsidRPr="007A117D">
        <w:rPr>
          <w:rFonts w:asciiTheme="minorHAnsi" w:hAnsiTheme="minorHAnsi"/>
          <w:b/>
          <w:sz w:val="22"/>
          <w:szCs w:val="22"/>
          <w:lang w:val="cs-CZ"/>
        </w:rPr>
        <w:t>Přijmout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7A117D">
        <w:rPr>
          <w:rFonts w:asciiTheme="minorHAnsi" w:hAnsiTheme="minorHAnsi"/>
          <w:sz w:val="22"/>
          <w:szCs w:val="22"/>
          <w:lang w:val="cs-CZ"/>
        </w:rPr>
        <w:t>Takto v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ypočítaná data modifikují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stávající 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prodejní řádek. V našem případě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ale </w:t>
      </w:r>
      <w:r w:rsidR="000C6541">
        <w:rPr>
          <w:rFonts w:asciiTheme="minorHAnsi" w:hAnsiTheme="minorHAnsi"/>
          <w:sz w:val="22"/>
          <w:szCs w:val="22"/>
          <w:lang w:val="cs-CZ"/>
        </w:rPr>
        <w:t>k modifikaci nedojde</w:t>
      </w:r>
      <w:r w:rsidR="00C43621">
        <w:rPr>
          <w:rFonts w:asciiTheme="minorHAnsi" w:hAnsiTheme="minorHAnsi"/>
          <w:sz w:val="22"/>
          <w:szCs w:val="22"/>
          <w:lang w:val="cs-CZ"/>
        </w:rPr>
        <w:t>, což znamená, že  nepočítáme s možností dokoupit 1928-S,</w:t>
      </w:r>
    </w:p>
    <w:p w:rsidR="00B6072C" w:rsidRDefault="00FF76EF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D522F6" wp14:editId="6AD4C5C1">
            <wp:extent cx="5143500" cy="1670572"/>
            <wp:effectExtent l="19050" t="19050" r="19050" b="2540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4906" cy="16742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0C6541" w:rsidRDefault="000C654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Změ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níme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proto </w:t>
      </w:r>
      <w:r>
        <w:rPr>
          <w:rFonts w:asciiTheme="minorHAnsi" w:hAnsiTheme="minorHAnsi"/>
          <w:sz w:val="22"/>
          <w:szCs w:val="22"/>
          <w:lang w:val="cs-CZ"/>
        </w:rPr>
        <w:t xml:space="preserve">požadovaný počet v řádku prodejní objednávky tak, aby byla potřeba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zboží </w:t>
      </w:r>
      <w:r>
        <w:rPr>
          <w:rFonts w:asciiTheme="minorHAnsi" w:hAnsiTheme="minorHAnsi"/>
          <w:sz w:val="22"/>
          <w:szCs w:val="22"/>
          <w:lang w:val="cs-CZ"/>
        </w:rPr>
        <w:t xml:space="preserve">větší než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je jeho </w:t>
      </w:r>
      <w:r>
        <w:rPr>
          <w:rFonts w:asciiTheme="minorHAnsi" w:hAnsiTheme="minorHAnsi"/>
          <w:sz w:val="22"/>
          <w:szCs w:val="22"/>
          <w:lang w:val="cs-CZ"/>
        </w:rPr>
        <w:t>stav na skladě a bylo by potřeba rozdíl mezi požadavkem a stavem skladu dokoupit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(doplnit)</w:t>
      </w:r>
      <w:r>
        <w:rPr>
          <w:rFonts w:asciiTheme="minorHAnsi" w:hAnsiTheme="minorHAnsi"/>
          <w:sz w:val="22"/>
          <w:szCs w:val="22"/>
          <w:lang w:val="cs-CZ"/>
        </w:rPr>
        <w:t xml:space="preserve">. Navrhujeme nový požadavek zvýšit na 170 ks. </w:t>
      </w: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E3065E" w:rsidRDefault="000C6541" w:rsidP="000C654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Proveďte bod 6 ještě jednou, ale před tím vymažte původně vypočítaný řádek </w:t>
      </w:r>
      <w:r w:rsidR="00042E7A">
        <w:rPr>
          <w:rFonts w:asciiTheme="minorHAnsi" w:hAnsiTheme="minorHAnsi"/>
          <w:sz w:val="22"/>
          <w:szCs w:val="22"/>
          <w:lang w:val="cs-CZ"/>
        </w:rPr>
        <w:t xml:space="preserve">(a zavřete okno) </w:t>
      </w:r>
      <w:r>
        <w:rPr>
          <w:rFonts w:asciiTheme="minorHAnsi" w:hAnsiTheme="minorHAnsi"/>
          <w:sz w:val="22"/>
          <w:szCs w:val="22"/>
          <w:lang w:val="cs-CZ"/>
        </w:rPr>
        <w:t xml:space="preserve">a vyberte možnost </w:t>
      </w:r>
      <w:r w:rsidRPr="00AC3547">
        <w:rPr>
          <w:rFonts w:asciiTheme="minorHAnsi" w:hAnsiTheme="minorHAnsi"/>
          <w:b/>
          <w:sz w:val="22"/>
          <w:szCs w:val="22"/>
          <w:lang w:val="cs-CZ"/>
        </w:rPr>
        <w:t>Možné slíbit</w:t>
      </w:r>
      <w:r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A84A25" w:rsidRPr="00A84A25">
        <w:rPr>
          <w:rFonts w:asciiTheme="minorHAnsi" w:hAnsiTheme="minorHAnsi"/>
          <w:b/>
          <w:sz w:val="22"/>
          <w:szCs w:val="22"/>
          <w:lang w:val="cs-CZ"/>
        </w:rPr>
        <w:t>CTP</w:t>
      </w:r>
      <w:r w:rsidR="00A84A25">
        <w:rPr>
          <w:rFonts w:asciiTheme="minorHAnsi" w:hAnsiTheme="minorHAnsi"/>
          <w:sz w:val="22"/>
          <w:szCs w:val="22"/>
          <w:lang w:val="cs-CZ"/>
        </w:rPr>
        <w:t>=</w:t>
      </w:r>
      <w:r w:rsidRPr="00C43621">
        <w:rPr>
          <w:rFonts w:asciiTheme="minorHAnsi" w:hAnsiTheme="minorHAnsi"/>
          <w:b/>
          <w:sz w:val="22"/>
          <w:szCs w:val="22"/>
          <w:lang w:val="en-US"/>
        </w:rPr>
        <w:t>C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apable-</w:t>
      </w:r>
      <w:r w:rsidR="00AC3547" w:rsidRPr="00C43621">
        <w:rPr>
          <w:rFonts w:asciiTheme="minorHAnsi" w:hAnsiTheme="minorHAnsi"/>
          <w:b/>
          <w:sz w:val="22"/>
          <w:szCs w:val="22"/>
          <w:lang w:val="en-US"/>
        </w:rPr>
        <w:t>T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o-</w:t>
      </w:r>
      <w:r w:rsidR="00AC3547" w:rsidRPr="00C43621">
        <w:rPr>
          <w:rFonts w:asciiTheme="minorHAnsi" w:hAnsiTheme="minorHAnsi"/>
          <w:b/>
          <w:sz w:val="22"/>
          <w:szCs w:val="22"/>
          <w:lang w:val="en-US"/>
        </w:rPr>
        <w:t>P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romise</w:t>
      </w:r>
      <w:r>
        <w:rPr>
          <w:rFonts w:asciiTheme="minorHAnsi" w:hAnsiTheme="minorHAnsi"/>
          <w:sz w:val="22"/>
          <w:szCs w:val="22"/>
          <w:lang w:val="cs-CZ"/>
        </w:rPr>
        <w:t xml:space="preserve">).  </w:t>
      </w:r>
      <w:r w:rsidRP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Systém naplánuje nákup zbylého množství (v našem příkladu je to </w:t>
      </w:r>
      <w:r w:rsidR="00042E7A">
        <w:rPr>
          <w:rFonts w:asciiTheme="minorHAnsi" w:hAnsiTheme="minorHAnsi"/>
          <w:sz w:val="22"/>
          <w:szCs w:val="22"/>
          <w:lang w:val="cs-CZ"/>
        </w:rPr>
        <w:t>152</w:t>
      </w:r>
      <w:r>
        <w:rPr>
          <w:rFonts w:asciiTheme="minorHAnsi" w:hAnsiTheme="minorHAnsi"/>
          <w:sz w:val="22"/>
          <w:szCs w:val="22"/>
          <w:lang w:val="cs-CZ"/>
        </w:rPr>
        <w:t xml:space="preserve"> ks).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Ve Vašem, případě to může být jiné množství podle stavu dat ve Vaší lokální databázi. </w:t>
      </w:r>
      <w:r>
        <w:rPr>
          <w:rFonts w:asciiTheme="minorHAnsi" w:hAnsiTheme="minorHAnsi"/>
          <w:sz w:val="22"/>
          <w:szCs w:val="22"/>
          <w:lang w:val="cs-CZ"/>
        </w:rPr>
        <w:t>Ve výpočtu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budou </w:t>
      </w:r>
      <w:r>
        <w:rPr>
          <w:rFonts w:asciiTheme="minorHAnsi" w:hAnsiTheme="minorHAnsi"/>
          <w:sz w:val="22"/>
          <w:szCs w:val="22"/>
          <w:lang w:val="cs-CZ"/>
        </w:rPr>
        <w:t>figur</w:t>
      </w:r>
      <w:r w:rsidR="005543E9">
        <w:rPr>
          <w:rFonts w:asciiTheme="minorHAnsi" w:hAnsiTheme="minorHAnsi"/>
          <w:sz w:val="22"/>
          <w:szCs w:val="22"/>
          <w:lang w:val="cs-CZ"/>
        </w:rPr>
        <w:t>ovat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ještě další námi nastavené parametry jako je </w:t>
      </w:r>
      <w:r w:rsidR="00AC3547">
        <w:rPr>
          <w:rFonts w:asciiTheme="minorHAnsi" w:hAnsiTheme="minorHAnsi"/>
          <w:sz w:val="22"/>
          <w:szCs w:val="22"/>
          <w:lang w:val="cs-CZ"/>
        </w:rPr>
        <w:t>D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oba naskladnění </w:t>
      </w:r>
      <w:r w:rsidR="00AC3547">
        <w:rPr>
          <w:rFonts w:asciiTheme="minorHAnsi" w:hAnsiTheme="minorHAnsi"/>
          <w:sz w:val="22"/>
          <w:szCs w:val="22"/>
          <w:lang w:val="cs-CZ"/>
        </w:rPr>
        <w:t>(</w:t>
      </w:r>
      <w:r w:rsidR="00AC3547" w:rsidRPr="00A84A25">
        <w:rPr>
          <w:rFonts w:asciiTheme="minorHAnsi" w:hAnsiTheme="minorHAnsi"/>
          <w:sz w:val="22"/>
          <w:szCs w:val="22"/>
        </w:rPr>
        <w:t>Inbound warehouse handling time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)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=2D a obě průběžné doby (4D a 2D). 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Po osvěžení paměti jde o data v polích 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Výpočet průběžn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é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 xml:space="preserve"> dob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y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 xml:space="preserve">Bezpečná 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průběžn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á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 xml:space="preserve"> dobu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V případě využití algoritmu </w:t>
      </w:r>
      <w:r w:rsidR="00AC3547" w:rsidRPr="00A84A25">
        <w:rPr>
          <w:rFonts w:asciiTheme="minorHAnsi" w:hAnsiTheme="minorHAnsi"/>
          <w:b/>
          <w:sz w:val="22"/>
          <w:szCs w:val="22"/>
          <w:lang w:val="cs-CZ"/>
        </w:rPr>
        <w:t>CTP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j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de o výpočet typu 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WHAT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–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IF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FF76EF" w:rsidRDefault="000C6541" w:rsidP="000C6541">
      <w:pPr>
        <w:ind w:left="360"/>
        <w:jc w:val="left"/>
        <w:rPr>
          <w:noProof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10594">
        <w:rPr>
          <w:noProof/>
          <w:lang w:val="cs-CZ" w:eastAsia="cs-CZ"/>
        </w:rPr>
        <w:drawing>
          <wp:inline distT="0" distB="0" distL="0" distR="0" wp14:anchorId="087922A2" wp14:editId="4F75B7A9">
            <wp:extent cx="5543550" cy="1485074"/>
            <wp:effectExtent l="19050" t="19050" r="19050" b="203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1717" cy="14845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3E9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Čas mezi datem objednávky,</w:t>
      </w:r>
      <w:r w:rsidR="007B64CE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což je  4</w:t>
      </w:r>
      <w:r w:rsidR="005543E9">
        <w:rPr>
          <w:rFonts w:asciiTheme="minorHAnsi" w:hAnsiTheme="minorHAnsi"/>
          <w:sz w:val="22"/>
          <w:szCs w:val="22"/>
          <w:lang w:val="cs-CZ"/>
        </w:rPr>
        <w:t>.5.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(</w:t>
      </w:r>
      <w:r w:rsidR="00A84A25">
        <w:rPr>
          <w:rFonts w:asciiTheme="minorHAnsi" w:hAnsiTheme="minorHAnsi"/>
          <w:sz w:val="22"/>
          <w:szCs w:val="22"/>
          <w:lang w:val="cs-CZ"/>
        </w:rPr>
        <w:t>z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hlavič</w:t>
      </w:r>
      <w:r w:rsidR="00A84A25">
        <w:rPr>
          <w:rFonts w:asciiTheme="minorHAnsi" w:hAnsiTheme="minorHAnsi"/>
          <w:sz w:val="22"/>
          <w:szCs w:val="22"/>
          <w:lang w:val="cs-CZ"/>
        </w:rPr>
        <w:t>ky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dokladu) </w:t>
      </w:r>
      <w:r w:rsidR="005543E9" w:rsidRPr="00327D62">
        <w:rPr>
          <w:rFonts w:asciiTheme="minorHAnsi" w:hAnsiTheme="minorHAnsi"/>
          <w:b/>
          <w:sz w:val="22"/>
          <w:szCs w:val="22"/>
          <w:lang w:val="cs-CZ"/>
        </w:rPr>
        <w:t>-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11</w:t>
      </w:r>
      <w:r w:rsidR="005543E9">
        <w:rPr>
          <w:rFonts w:asciiTheme="minorHAnsi" w:hAnsiTheme="minorHAnsi"/>
          <w:sz w:val="22"/>
          <w:szCs w:val="22"/>
          <w:lang w:val="cs-CZ"/>
        </w:rPr>
        <w:t>.5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(plánované datum dodávky)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7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dnů </w:t>
      </w:r>
      <w:r w:rsidR="00AC3547">
        <w:rPr>
          <w:rFonts w:asciiTheme="minorHAnsi" w:hAnsiTheme="minorHAnsi"/>
          <w:sz w:val="22"/>
          <w:szCs w:val="22"/>
          <w:lang w:val="cs-CZ"/>
        </w:rPr>
        <w:t>=</w:t>
      </w:r>
      <w:r w:rsidR="00A84A2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F76EF">
        <w:rPr>
          <w:rFonts w:asciiTheme="minorHAnsi" w:hAnsiTheme="minorHAnsi"/>
          <w:sz w:val="22"/>
          <w:szCs w:val="22"/>
          <w:lang w:val="cs-CZ"/>
        </w:rPr>
        <w:t>průběžná doba)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+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2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(bezpečná průběžná doba) +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1</w:t>
      </w:r>
      <w:r w:rsidR="00FF76EF">
        <w:rPr>
          <w:rFonts w:asciiTheme="minorHAnsi" w:hAnsiTheme="minorHAnsi"/>
          <w:sz w:val="22"/>
          <w:szCs w:val="22"/>
          <w:lang w:val="cs-CZ"/>
        </w:rPr>
        <w:t>D (čas naskladnění</w:t>
      </w:r>
      <w:r w:rsidR="005543E9">
        <w:rPr>
          <w:rFonts w:asciiTheme="minorHAnsi" w:hAnsiTheme="minorHAnsi"/>
          <w:sz w:val="22"/>
          <w:szCs w:val="22"/>
          <w:lang w:val="cs-CZ"/>
        </w:rPr>
        <w:t>). Datum nejbližší dodávk</w:t>
      </w:r>
      <w:r w:rsidR="00A84A25">
        <w:rPr>
          <w:rFonts w:asciiTheme="minorHAnsi" w:hAnsiTheme="minorHAnsi"/>
          <w:sz w:val="22"/>
          <w:szCs w:val="22"/>
          <w:lang w:val="cs-CZ"/>
        </w:rPr>
        <w:t>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>
        <w:rPr>
          <w:rFonts w:asciiTheme="minorHAnsi" w:hAnsiTheme="minorHAnsi"/>
          <w:sz w:val="22"/>
          <w:szCs w:val="22"/>
          <w:lang w:val="cs-CZ"/>
        </w:rPr>
        <w:t xml:space="preserve">nastavena na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7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.5.  kde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perioda </w:t>
      </w:r>
      <w:r>
        <w:rPr>
          <w:rFonts w:asciiTheme="minorHAnsi" w:hAnsiTheme="minorHAnsi"/>
          <w:sz w:val="22"/>
          <w:szCs w:val="22"/>
          <w:lang w:val="cs-CZ"/>
        </w:rPr>
        <w:t>7</w:t>
      </w:r>
      <w:r w:rsidR="005543E9">
        <w:rPr>
          <w:rFonts w:asciiTheme="minorHAnsi" w:hAnsiTheme="minorHAnsi"/>
          <w:sz w:val="22"/>
          <w:szCs w:val="22"/>
          <w:lang w:val="cs-CZ"/>
        </w:rPr>
        <w:t>.5-</w:t>
      </w:r>
      <w:r>
        <w:rPr>
          <w:rFonts w:asciiTheme="minorHAnsi" w:hAnsiTheme="minorHAnsi"/>
          <w:sz w:val="22"/>
          <w:szCs w:val="22"/>
          <w:lang w:val="cs-CZ"/>
        </w:rPr>
        <w:t>11</w:t>
      </w:r>
      <w:r w:rsidR="005543E9">
        <w:rPr>
          <w:rFonts w:asciiTheme="minorHAnsi" w:hAnsiTheme="minorHAnsi"/>
          <w:sz w:val="22"/>
          <w:szCs w:val="22"/>
          <w:lang w:val="cs-CZ"/>
        </w:rPr>
        <w:t>.5. reprezentuje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206D">
        <w:rPr>
          <w:rFonts w:asciiTheme="minorHAnsi" w:hAnsiTheme="minorHAnsi"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dny (2 dny </w:t>
      </w:r>
      <w:r w:rsidR="00AC3547">
        <w:rPr>
          <w:rFonts w:asciiTheme="minorHAnsi" w:hAnsiTheme="minorHAnsi"/>
          <w:sz w:val="22"/>
          <w:szCs w:val="22"/>
          <w:lang w:val="cs-CZ"/>
        </w:rPr>
        <w:t>doba dodávky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84A25">
        <w:rPr>
          <w:rFonts w:asciiTheme="minorHAnsi" w:hAnsiTheme="minorHAnsi"/>
          <w:sz w:val="22"/>
          <w:szCs w:val="22"/>
          <w:lang w:val="cs-CZ"/>
        </w:rPr>
        <w:t xml:space="preserve">2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dny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na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vyskladnění). Když tento výpočet ikonou 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Přijmout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akceptujeme</w:t>
      </w:r>
      <w:r w:rsidR="00A84A25">
        <w:rPr>
          <w:rFonts w:asciiTheme="minorHAnsi" w:hAnsiTheme="minorHAnsi"/>
          <w:sz w:val="22"/>
          <w:szCs w:val="22"/>
          <w:lang w:val="cs-CZ"/>
        </w:rPr>
        <w:t>, pak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dostaneme v prodejním řádku </w:t>
      </w:r>
      <w:r w:rsidR="00B20B4B">
        <w:rPr>
          <w:rFonts w:asciiTheme="minorHAnsi" w:hAnsiTheme="minorHAnsi"/>
          <w:sz w:val="22"/>
          <w:szCs w:val="22"/>
          <w:lang w:val="cs-CZ"/>
        </w:rPr>
        <w:t>(řádek je rozdělený na dvě části kvůli množství zobrazovaných údajů)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F10594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54F1BE0" wp14:editId="1CB66E98">
            <wp:extent cx="5760915" cy="990600"/>
            <wp:effectExtent l="19050" t="19050" r="1143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206D" w:rsidRPr="00042E7A" w:rsidRDefault="00C5609A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 w:rsidRPr="00042E7A">
        <w:rPr>
          <w:rFonts w:asciiTheme="minorHAnsi" w:hAnsiTheme="minorHAnsi"/>
          <w:szCs w:val="20"/>
          <w:lang w:val="cs-CZ"/>
        </w:rPr>
        <w:t>Kde standard</w:t>
      </w:r>
      <w:r w:rsidR="00B20B4B" w:rsidRPr="00042E7A">
        <w:rPr>
          <w:rFonts w:asciiTheme="minorHAnsi" w:hAnsiTheme="minorHAnsi"/>
          <w:szCs w:val="20"/>
          <w:lang w:val="cs-CZ"/>
        </w:rPr>
        <w:t>u</w:t>
      </w:r>
      <w:r w:rsidRPr="00042E7A">
        <w:rPr>
          <w:rFonts w:asciiTheme="minorHAnsi" w:hAnsiTheme="minorHAnsi"/>
          <w:szCs w:val="20"/>
          <w:lang w:val="cs-CZ"/>
        </w:rPr>
        <w:t xml:space="preserve"> máme 2 dny </w:t>
      </w:r>
      <w:r w:rsidR="00B20B4B" w:rsidRPr="00042E7A">
        <w:rPr>
          <w:rFonts w:asciiTheme="minorHAnsi" w:hAnsiTheme="minorHAnsi"/>
          <w:szCs w:val="20"/>
          <w:lang w:val="cs-CZ"/>
        </w:rPr>
        <w:t xml:space="preserve">doba dodávky-zboží je na cestě </w:t>
      </w:r>
      <w:r w:rsidRPr="00042E7A">
        <w:rPr>
          <w:rFonts w:asciiTheme="minorHAnsi" w:hAnsiTheme="minorHAnsi"/>
          <w:szCs w:val="20"/>
          <w:lang w:val="cs-CZ"/>
        </w:rPr>
        <w:t>(</w:t>
      </w:r>
      <w:r w:rsidR="00F10594" w:rsidRPr="00042E7A">
        <w:rPr>
          <w:rFonts w:asciiTheme="minorHAnsi" w:hAnsiTheme="minorHAnsi"/>
          <w:szCs w:val="20"/>
          <w:lang w:val="cs-CZ"/>
        </w:rPr>
        <w:t>7</w:t>
      </w:r>
      <w:r w:rsidRPr="00042E7A">
        <w:rPr>
          <w:rFonts w:asciiTheme="minorHAnsi" w:hAnsiTheme="minorHAnsi"/>
          <w:szCs w:val="20"/>
          <w:lang w:val="cs-CZ"/>
        </w:rPr>
        <w:t>.5-</w:t>
      </w:r>
      <w:r w:rsidR="00F10594" w:rsidRPr="00042E7A">
        <w:rPr>
          <w:rFonts w:asciiTheme="minorHAnsi" w:hAnsiTheme="minorHAnsi"/>
          <w:szCs w:val="20"/>
          <w:lang w:val="cs-CZ"/>
        </w:rPr>
        <w:t>9</w:t>
      </w:r>
      <w:r w:rsidRPr="00042E7A">
        <w:rPr>
          <w:rFonts w:asciiTheme="minorHAnsi" w:hAnsiTheme="minorHAnsi"/>
          <w:szCs w:val="20"/>
          <w:lang w:val="cs-CZ"/>
        </w:rPr>
        <w:t xml:space="preserve">.5) a </w:t>
      </w:r>
      <w:r w:rsidR="00CF206D" w:rsidRPr="00042E7A">
        <w:rPr>
          <w:rFonts w:asciiTheme="minorHAnsi" w:hAnsiTheme="minorHAnsi"/>
          <w:szCs w:val="20"/>
          <w:lang w:val="cs-CZ"/>
        </w:rPr>
        <w:t xml:space="preserve">dva  </w:t>
      </w:r>
      <w:r w:rsidRPr="00042E7A">
        <w:rPr>
          <w:rFonts w:asciiTheme="minorHAnsi" w:hAnsiTheme="minorHAnsi"/>
          <w:szCs w:val="20"/>
          <w:lang w:val="cs-CZ"/>
        </w:rPr>
        <w:t>dn</w:t>
      </w:r>
      <w:r w:rsidR="00CF206D" w:rsidRPr="00042E7A">
        <w:rPr>
          <w:rFonts w:asciiTheme="minorHAnsi" w:hAnsiTheme="minorHAnsi"/>
          <w:szCs w:val="20"/>
          <w:lang w:val="cs-CZ"/>
        </w:rPr>
        <w:t xml:space="preserve">y </w:t>
      </w:r>
      <w:r w:rsidRPr="00042E7A">
        <w:rPr>
          <w:rFonts w:asciiTheme="minorHAnsi" w:hAnsiTheme="minorHAnsi"/>
          <w:szCs w:val="20"/>
          <w:lang w:val="cs-CZ"/>
        </w:rPr>
        <w:t xml:space="preserve"> na vyskladnění  (</w:t>
      </w:r>
      <w:r w:rsidR="00F10594" w:rsidRPr="00042E7A">
        <w:rPr>
          <w:rFonts w:asciiTheme="minorHAnsi" w:hAnsiTheme="minorHAnsi"/>
          <w:szCs w:val="20"/>
          <w:lang w:val="cs-CZ"/>
        </w:rPr>
        <w:t>9</w:t>
      </w:r>
      <w:r w:rsidRPr="00042E7A">
        <w:rPr>
          <w:rFonts w:asciiTheme="minorHAnsi" w:hAnsiTheme="minorHAnsi"/>
          <w:szCs w:val="20"/>
          <w:lang w:val="cs-CZ"/>
        </w:rPr>
        <w:t>.5.-</w:t>
      </w:r>
      <w:r w:rsidR="00F10594" w:rsidRPr="00042E7A">
        <w:rPr>
          <w:rFonts w:asciiTheme="minorHAnsi" w:hAnsiTheme="minorHAnsi"/>
          <w:szCs w:val="20"/>
          <w:lang w:val="cs-CZ"/>
        </w:rPr>
        <w:t>11</w:t>
      </w:r>
      <w:r w:rsidRPr="00042E7A">
        <w:rPr>
          <w:rFonts w:asciiTheme="minorHAnsi" w:hAnsiTheme="minorHAnsi"/>
          <w:szCs w:val="20"/>
          <w:lang w:val="cs-CZ"/>
        </w:rPr>
        <w:t>.5).</w:t>
      </w:r>
      <w:r w:rsidR="00B20B4B" w:rsidRPr="00042E7A">
        <w:rPr>
          <w:rFonts w:asciiTheme="minorHAnsi" w:hAnsiTheme="minorHAnsi"/>
          <w:szCs w:val="20"/>
          <w:lang w:val="cs-CZ"/>
        </w:rPr>
        <w:t xml:space="preserve"> </w:t>
      </w:r>
      <w:r w:rsidR="00CF206D" w:rsidRPr="00042E7A">
        <w:rPr>
          <w:rFonts w:asciiTheme="minorHAnsi" w:hAnsiTheme="minorHAnsi"/>
          <w:szCs w:val="20"/>
          <w:lang w:val="cs-CZ"/>
        </w:rPr>
        <w:t>J</w:t>
      </w:r>
      <w:r w:rsidRPr="00042E7A">
        <w:rPr>
          <w:rFonts w:asciiTheme="minorHAnsi" w:hAnsiTheme="minorHAnsi"/>
          <w:szCs w:val="20"/>
          <w:lang w:val="cs-CZ"/>
        </w:rPr>
        <w:t xml:space="preserve">ak je </w:t>
      </w:r>
      <w:r w:rsidR="00CF206D" w:rsidRPr="00042E7A">
        <w:rPr>
          <w:rFonts w:asciiTheme="minorHAnsi" w:hAnsiTheme="minorHAnsi"/>
          <w:szCs w:val="20"/>
          <w:lang w:val="cs-CZ"/>
        </w:rPr>
        <w:t xml:space="preserve">dále </w:t>
      </w:r>
      <w:r w:rsidRPr="00042E7A">
        <w:rPr>
          <w:rFonts w:asciiTheme="minorHAnsi" w:hAnsiTheme="minorHAnsi"/>
          <w:szCs w:val="20"/>
          <w:lang w:val="cs-CZ"/>
        </w:rPr>
        <w:t xml:space="preserve">vidět systém zarezervoval </w:t>
      </w:r>
      <w:r w:rsidR="00F10594" w:rsidRPr="00042E7A">
        <w:rPr>
          <w:rFonts w:asciiTheme="minorHAnsi" w:hAnsiTheme="minorHAnsi"/>
          <w:szCs w:val="20"/>
          <w:lang w:val="cs-CZ"/>
        </w:rPr>
        <w:t>152</w:t>
      </w:r>
      <w:r w:rsidRPr="00042E7A">
        <w:rPr>
          <w:rFonts w:asciiTheme="minorHAnsi" w:hAnsiTheme="minorHAnsi"/>
          <w:szCs w:val="20"/>
          <w:lang w:val="cs-CZ"/>
        </w:rPr>
        <w:t xml:space="preserve"> kusů</w:t>
      </w:r>
      <w:r w:rsidR="00CF206D" w:rsidRPr="00042E7A">
        <w:rPr>
          <w:rFonts w:asciiTheme="minorHAnsi" w:hAnsiTheme="minorHAnsi"/>
          <w:szCs w:val="20"/>
          <w:lang w:val="cs-CZ"/>
        </w:rPr>
        <w:t>, k</w:t>
      </w:r>
      <w:r w:rsidRPr="00042E7A">
        <w:rPr>
          <w:rFonts w:asciiTheme="minorHAnsi" w:hAnsiTheme="minorHAnsi"/>
          <w:szCs w:val="20"/>
          <w:lang w:val="cs-CZ"/>
        </w:rPr>
        <w:t>teré zatím scháze</w:t>
      </w:r>
      <w:r w:rsidR="00B20B4B" w:rsidRPr="00042E7A">
        <w:rPr>
          <w:rFonts w:asciiTheme="minorHAnsi" w:hAnsiTheme="minorHAnsi"/>
          <w:szCs w:val="20"/>
          <w:lang w:val="cs-CZ"/>
        </w:rPr>
        <w:t>ly</w:t>
      </w:r>
      <w:r w:rsidRPr="00042E7A">
        <w:rPr>
          <w:rFonts w:asciiTheme="minorHAnsi" w:hAnsiTheme="minorHAnsi"/>
          <w:szCs w:val="20"/>
          <w:lang w:val="cs-CZ"/>
        </w:rPr>
        <w:t xml:space="preserve"> pro kompletní </w:t>
      </w:r>
      <w:r w:rsidR="00B20B4B" w:rsidRPr="00042E7A">
        <w:rPr>
          <w:rFonts w:asciiTheme="minorHAnsi" w:hAnsiTheme="minorHAnsi"/>
          <w:szCs w:val="20"/>
          <w:lang w:val="cs-CZ"/>
        </w:rPr>
        <w:t xml:space="preserve">vykrytí našeho požadavku </w:t>
      </w:r>
      <w:r w:rsidRPr="00042E7A">
        <w:rPr>
          <w:rFonts w:asciiTheme="minorHAnsi" w:hAnsiTheme="minorHAnsi"/>
          <w:szCs w:val="20"/>
          <w:lang w:val="cs-CZ"/>
        </w:rPr>
        <w:t xml:space="preserve">na 170 ks. </w:t>
      </w:r>
      <w:r w:rsidR="00484B41" w:rsidRPr="00042E7A">
        <w:rPr>
          <w:rFonts w:asciiTheme="minorHAnsi" w:hAnsiTheme="minorHAnsi"/>
          <w:szCs w:val="20"/>
          <w:lang w:val="cs-CZ"/>
        </w:rPr>
        <w:t xml:space="preserve">Protože když v našem případě zadáváme 170 ks do řádků prodejní objednávky, tak dostaneme varování, že máme pouze 18 ks na lokaci Modrý a je potřeby dokoupit 152 ks </w:t>
      </w:r>
    </w:p>
    <w:p w:rsidR="009E5C29" w:rsidRDefault="009E5C2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 w:rsidRPr="00042E7A">
        <w:rPr>
          <w:rFonts w:asciiTheme="minorHAnsi" w:hAnsiTheme="minorHAnsi"/>
          <w:szCs w:val="20"/>
          <w:lang w:val="cs-CZ"/>
        </w:rPr>
        <w:t>Použijte v</w:t>
      </w:r>
      <w:r w:rsidR="007B64CE">
        <w:rPr>
          <w:rFonts w:asciiTheme="minorHAnsi" w:hAnsiTheme="minorHAnsi"/>
          <w:szCs w:val="20"/>
          <w:lang w:val="cs-CZ"/>
        </w:rPr>
        <w:t xml:space="preserve"> řádku ikonu Funkce-&gt;Sledování zakázky-&gt;Zobrazit Řádek požadavků-&gt;Navigace-&gt;Zobrazit sešit   -&gt;Provést hlášené akce a vytvoří se Nákupní objednávka. </w:t>
      </w:r>
      <w:bookmarkStart w:id="0" w:name="_GoBack"/>
      <w:bookmarkEnd w:id="0"/>
    </w:p>
    <w:p w:rsidR="007B64CE" w:rsidRDefault="007B64CE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7B64CE" w:rsidRPr="00042E7A" w:rsidRDefault="007B64CE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rFonts w:asciiTheme="minorHAnsi" w:hAnsiTheme="minorHAnsi"/>
          <w:szCs w:val="20"/>
          <w:lang w:val="cs-CZ"/>
        </w:rPr>
        <w:t xml:space="preserve">Jiný varianta vedoucí ke stejnému výsledku je v PO na horní liště je sekce Plán -&gt;ikona Plánování -&gt;Sledování zakázky </w:t>
      </w:r>
      <w:r>
        <w:rPr>
          <w:rFonts w:asciiTheme="minorHAnsi" w:hAnsiTheme="minorHAnsi"/>
          <w:szCs w:val="20"/>
          <w:lang w:val="cs-CZ"/>
        </w:rPr>
        <w:t>Zobrazit Řádek požadavků-&gt;Navigace-&gt;Zobrazit sešit   -&gt;</w:t>
      </w:r>
      <w:r>
        <w:rPr>
          <w:rFonts w:asciiTheme="minorHAnsi" w:hAnsiTheme="minorHAnsi"/>
          <w:szCs w:val="20"/>
          <w:lang w:val="cs-CZ"/>
        </w:rPr>
        <w:t xml:space="preserve">Provést hlášení akce </w:t>
      </w:r>
      <w:r>
        <w:rPr>
          <w:rFonts w:asciiTheme="minorHAnsi" w:hAnsiTheme="minorHAnsi"/>
          <w:szCs w:val="20"/>
          <w:lang w:val="cs-CZ"/>
        </w:rPr>
        <w:t>a vytvoří se Nákupní objednávka.</w:t>
      </w:r>
    </w:p>
    <w:p w:rsidR="00B46D02" w:rsidRDefault="00B46D02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7066BF" wp14:editId="68EFC145">
            <wp:extent cx="5760720" cy="731880"/>
            <wp:effectExtent l="19050" t="19050" r="11430" b="1143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D02" w:rsidRPr="00E3065E" w:rsidRDefault="003B7178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ab/>
      </w:r>
      <w:r w:rsidR="00B46D02">
        <w:rPr>
          <w:rFonts w:asciiTheme="minorHAnsi" w:hAnsiTheme="minorHAnsi"/>
          <w:sz w:val="22"/>
          <w:szCs w:val="22"/>
          <w:lang w:val="cs-CZ"/>
        </w:rPr>
        <w:t>Od</w:t>
      </w:r>
      <w:r w:rsidR="00042E7A">
        <w:rPr>
          <w:rFonts w:asciiTheme="minorHAnsi" w:hAnsiTheme="minorHAnsi"/>
          <w:sz w:val="22"/>
          <w:szCs w:val="22"/>
          <w:lang w:val="cs-CZ"/>
        </w:rPr>
        <w:t>t</w:t>
      </w:r>
      <w:r w:rsidR="00B46D02">
        <w:rPr>
          <w:rFonts w:asciiTheme="minorHAnsi" w:hAnsiTheme="minorHAnsi"/>
          <w:sz w:val="22"/>
          <w:szCs w:val="22"/>
          <w:lang w:val="cs-CZ"/>
        </w:rPr>
        <w:t xml:space="preserve">ud zobrazíme Sešit a z vytvořeného řádku vytvoříte Nákupní objednávku </w:t>
      </w:r>
      <w:r w:rsidR="00B46D02">
        <w:rPr>
          <w:noProof/>
          <w:lang w:val="cs-CZ" w:eastAsia="cs-CZ"/>
        </w:rPr>
        <w:drawing>
          <wp:inline distT="0" distB="0" distL="0" distR="0" wp14:anchorId="55482A83" wp14:editId="4C93C273">
            <wp:extent cx="5772150" cy="866775"/>
            <wp:effectExtent l="19050" t="19050" r="19050" b="285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94932" cy="8701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42E7A">
        <w:rPr>
          <w:rFonts w:asciiTheme="minorHAnsi" w:hAnsiTheme="minorHAnsi"/>
          <w:sz w:val="22"/>
          <w:szCs w:val="22"/>
          <w:lang w:val="cs-CZ"/>
        </w:rPr>
        <w:t xml:space="preserve"> </w:t>
      </w:r>
    </w:p>
    <w:sectPr w:rsidR="00B46D02" w:rsidRPr="00E3065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6D" w:rsidRDefault="00A50C6D" w:rsidP="00FF3E89">
      <w:pPr>
        <w:spacing w:after="0"/>
      </w:pPr>
      <w:r>
        <w:separator/>
      </w:r>
    </w:p>
  </w:endnote>
  <w:endnote w:type="continuationSeparator" w:id="0">
    <w:p w:rsidR="00A50C6D" w:rsidRDefault="00A50C6D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CE" w:rsidRPr="007B64CE">
          <w:rPr>
            <w:noProof/>
            <w:lang w:val="cs-CZ"/>
          </w:rPr>
          <w:t>5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6D" w:rsidRDefault="00A50C6D" w:rsidP="00FF3E89">
      <w:pPr>
        <w:spacing w:after="0"/>
      </w:pPr>
      <w:r>
        <w:separator/>
      </w:r>
    </w:p>
  </w:footnote>
  <w:footnote w:type="continuationSeparator" w:id="0">
    <w:p w:rsidR="00A50C6D" w:rsidRDefault="00A50C6D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sDAztDA2MDaxNDRW0lEKTi0uzszPAykwqwUAy4iINywAAAA="/>
  </w:docVars>
  <w:rsids>
    <w:rsidRoot w:val="00FF3E89"/>
    <w:rsid w:val="00042E7A"/>
    <w:rsid w:val="00062C1F"/>
    <w:rsid w:val="00084A73"/>
    <w:rsid w:val="000C6541"/>
    <w:rsid w:val="000D66C3"/>
    <w:rsid w:val="00111CE1"/>
    <w:rsid w:val="00127D19"/>
    <w:rsid w:val="00127F9C"/>
    <w:rsid w:val="001B3222"/>
    <w:rsid w:val="001D6B52"/>
    <w:rsid w:val="00235DAF"/>
    <w:rsid w:val="00236357"/>
    <w:rsid w:val="00313ECC"/>
    <w:rsid w:val="00321CF3"/>
    <w:rsid w:val="00327D62"/>
    <w:rsid w:val="00352C9E"/>
    <w:rsid w:val="003A4267"/>
    <w:rsid w:val="003A6CF3"/>
    <w:rsid w:val="003B7178"/>
    <w:rsid w:val="00413997"/>
    <w:rsid w:val="00484B41"/>
    <w:rsid w:val="004A65E3"/>
    <w:rsid w:val="005035DC"/>
    <w:rsid w:val="00513B69"/>
    <w:rsid w:val="00540F1B"/>
    <w:rsid w:val="005543E9"/>
    <w:rsid w:val="00597605"/>
    <w:rsid w:val="005E07D5"/>
    <w:rsid w:val="005F671F"/>
    <w:rsid w:val="00637A86"/>
    <w:rsid w:val="00652ACE"/>
    <w:rsid w:val="00656DB3"/>
    <w:rsid w:val="007A117D"/>
    <w:rsid w:val="007B64CE"/>
    <w:rsid w:val="008300D8"/>
    <w:rsid w:val="0085020D"/>
    <w:rsid w:val="008957F2"/>
    <w:rsid w:val="008C398A"/>
    <w:rsid w:val="0092101D"/>
    <w:rsid w:val="00930F5C"/>
    <w:rsid w:val="00941126"/>
    <w:rsid w:val="00947E92"/>
    <w:rsid w:val="0099185A"/>
    <w:rsid w:val="009E5C29"/>
    <w:rsid w:val="00A24A2A"/>
    <w:rsid w:val="00A34C20"/>
    <w:rsid w:val="00A50C6D"/>
    <w:rsid w:val="00A84A25"/>
    <w:rsid w:val="00AC3547"/>
    <w:rsid w:val="00AF7AA4"/>
    <w:rsid w:val="00B10498"/>
    <w:rsid w:val="00B1330E"/>
    <w:rsid w:val="00B20B4B"/>
    <w:rsid w:val="00B46D02"/>
    <w:rsid w:val="00B6072C"/>
    <w:rsid w:val="00BC5141"/>
    <w:rsid w:val="00BD3ABC"/>
    <w:rsid w:val="00C43621"/>
    <w:rsid w:val="00C5609A"/>
    <w:rsid w:val="00C81066"/>
    <w:rsid w:val="00CF206D"/>
    <w:rsid w:val="00DC166F"/>
    <w:rsid w:val="00DD1D5E"/>
    <w:rsid w:val="00DD4A3D"/>
    <w:rsid w:val="00E23673"/>
    <w:rsid w:val="00E3065E"/>
    <w:rsid w:val="00E60E14"/>
    <w:rsid w:val="00EE45C6"/>
    <w:rsid w:val="00F10594"/>
    <w:rsid w:val="00F54EEF"/>
    <w:rsid w:val="00F76CA0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ynav.econ.muni.cz:49000/main.aspx?lang=cs-CZ&amp;content=T_5406_47.htm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dynav.econ.muni.cz:49000/main.aspx?lang=cs-CZ&amp;content=T_313_5791.htm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ynav.econ.muni.cz:49000/main.aspx?lang=cs-CZ&amp;content=T_5406_50.htm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://dynav.econ.muni.cz:49000/main.aspx?lang=cs-CZ&amp;content=T_38_19.htm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dynav.econ.muni.cz:49000/main.aspx?lang=cs-CZ&amp;content=T_39_5794.htm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13F7-604E-4D9C-A572-A7A3AD19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19</cp:revision>
  <dcterms:created xsi:type="dcterms:W3CDTF">2018-10-19T07:45:00Z</dcterms:created>
  <dcterms:modified xsi:type="dcterms:W3CDTF">2018-10-29T08:35:00Z</dcterms:modified>
</cp:coreProperties>
</file>