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CA" w:rsidRDefault="00B86931" w:rsidP="00B86931">
      <w:pPr>
        <w:pStyle w:val="Nadpis1"/>
      </w:pPr>
      <w:proofErr w:type="spellStart"/>
      <w:r>
        <w:t>Termpaper</w:t>
      </w:r>
      <w:proofErr w:type="spellEnd"/>
      <w:r>
        <w:t xml:space="preserve"> 3</w:t>
      </w:r>
    </w:p>
    <w:p w:rsidR="00B86931" w:rsidRDefault="00B86931" w:rsidP="00B86931">
      <w:pPr>
        <w:pStyle w:val="Nadpis2"/>
      </w:pPr>
      <w:r>
        <w:t xml:space="preserve">Příklad 1 </w:t>
      </w:r>
    </w:p>
    <w:p w:rsidR="00B86931" w:rsidRDefault="00B86931" w:rsidP="00B86931">
      <w:r>
        <w:t>Petr měl přislíbený výdělek o 5 000 korun vyšší než Mar</w:t>
      </w:r>
      <w:r w:rsidR="0043379F">
        <w:t>tin, ale nakonec si oba vydělali</w:t>
      </w:r>
      <w:r>
        <w:t xml:space="preserve"> stejně. Přitom </w:t>
      </w:r>
      <w:r w:rsidR="0043379F">
        <w:t xml:space="preserve">Petr si vydělal o polovinu </w:t>
      </w:r>
      <w:proofErr w:type="gramStart"/>
      <w:r w:rsidR="0043379F">
        <w:t>více než</w:t>
      </w:r>
      <w:proofErr w:type="gramEnd"/>
      <w:r w:rsidR="0043379F">
        <w:t xml:space="preserve"> měl přislíbeno</w:t>
      </w:r>
      <w:r>
        <w:t xml:space="preserve"> a Martin dokonce dvojnásobek toho, co měl přislíbeno. Vypočítejte, kolik korun si vydělal dohromady Petr s Martinem?</w:t>
      </w:r>
    </w:p>
    <w:p w:rsidR="00B86931" w:rsidRDefault="00B86931" w:rsidP="00B86931">
      <w:pPr>
        <w:pStyle w:val="Nadpis2"/>
      </w:pPr>
      <w:r>
        <w:t xml:space="preserve">Příklad 2 </w:t>
      </w:r>
    </w:p>
    <w:p w:rsidR="00710DB8" w:rsidRDefault="00710DB8" w:rsidP="00B86931">
      <w:r>
        <w:t>Zakreslete graf zisku jisté firmy v závislosti na čase podle následujících údajů, které máte k dispozici</w:t>
      </w:r>
    </w:p>
    <w:p w:rsidR="00710DB8" w:rsidRDefault="00710DB8" w:rsidP="00710DB8">
      <w:pPr>
        <w:pStyle w:val="Odstavecseseznamem"/>
        <w:numPr>
          <w:ilvl w:val="0"/>
          <w:numId w:val="1"/>
        </w:numPr>
      </w:pPr>
      <w:r>
        <w:t>Firma fungovala mezi léty 2000 a 2018</w:t>
      </w:r>
      <w:r w:rsidR="0043379F">
        <w:t xml:space="preserve"> a od 1. l</w:t>
      </w:r>
      <w:r w:rsidR="00D2028E">
        <w:t xml:space="preserve">edna </w:t>
      </w:r>
      <w:r>
        <w:t>2010 na rok přerušila svoji činnost</w:t>
      </w:r>
    </w:p>
    <w:p w:rsidR="00710DB8" w:rsidRDefault="00710DB8" w:rsidP="00710DB8">
      <w:pPr>
        <w:pStyle w:val="Odstavecseseznamem"/>
        <w:numPr>
          <w:ilvl w:val="0"/>
          <w:numId w:val="1"/>
        </w:numPr>
      </w:pPr>
      <w:r>
        <w:t xml:space="preserve">Její zisk </w:t>
      </w:r>
      <w:r w:rsidR="00D2028E">
        <w:t xml:space="preserve">se pohyboval od 0 korun do 46 mil. korun. </w:t>
      </w:r>
      <w:bookmarkStart w:id="0" w:name="_GoBack"/>
      <w:bookmarkEnd w:id="0"/>
    </w:p>
    <w:p w:rsidR="00D2028E" w:rsidRDefault="00D2028E" w:rsidP="00710DB8">
      <w:pPr>
        <w:pStyle w:val="Odstavecseseznamem"/>
        <w:numPr>
          <w:ilvl w:val="0"/>
          <w:numId w:val="1"/>
        </w:numPr>
      </w:pPr>
      <w:r>
        <w:t>Od roku 2000 do roku 2004 její zisk neustále rostl, od roku 2004 do roku 2006 klesal, od roku 2006 do roku 2014 se držel na stejné hodnotě</w:t>
      </w:r>
      <w:r w:rsidR="0043379F">
        <w:t xml:space="preserve"> mimo přerušení </w:t>
      </w:r>
      <w:proofErr w:type="spellStart"/>
      <w:r w:rsidR="0043379F">
        <w:t>činosti</w:t>
      </w:r>
      <w:proofErr w:type="spellEnd"/>
      <w:r>
        <w:t>, od roku 2014 do 2018 opět rostl</w:t>
      </w:r>
      <w:r w:rsidR="001A107B">
        <w:t>,</w:t>
      </w:r>
      <w:r>
        <w:t xml:space="preserve"> avšak nepřekročil hodnotu zisku z roku </w:t>
      </w:r>
      <w:r w:rsidR="00D70AE5">
        <w:t>2004</w:t>
      </w:r>
    </w:p>
    <w:p w:rsidR="00D70AE5" w:rsidRDefault="00D70AE5" w:rsidP="00D70AE5">
      <w:r>
        <w:t>Popište nakreslený graf pomocí matematick</w:t>
      </w:r>
      <w:r w:rsidR="0043379F">
        <w:t>é terminologie</w:t>
      </w:r>
      <w:r>
        <w:t>.</w:t>
      </w:r>
    </w:p>
    <w:p w:rsidR="00D70AE5" w:rsidRDefault="00D70AE5" w:rsidP="00D70AE5">
      <w:pPr>
        <w:pStyle w:val="Nadpis3"/>
      </w:pPr>
      <w:r>
        <w:t>Příklad 3</w:t>
      </w:r>
    </w:p>
    <w:p w:rsidR="00D70AE5" w:rsidRDefault="00D70AE5" w:rsidP="001A1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plánu jsou 3 akce: asanace budov na náměstí, výstavba stře</w:t>
      </w:r>
      <w:r w:rsidR="001A107B">
        <w:rPr>
          <w:rFonts w:ascii="Times New Roman" w:hAnsi="Times New Roman" w:cs="Times New Roman"/>
          <w:sz w:val="24"/>
          <w:szCs w:val="24"/>
        </w:rPr>
        <w:t xml:space="preserve">diska služeb, oprava kulturního </w:t>
      </w:r>
      <w:r>
        <w:rPr>
          <w:rFonts w:ascii="Times New Roman" w:hAnsi="Times New Roman" w:cs="Times New Roman"/>
          <w:sz w:val="24"/>
          <w:szCs w:val="24"/>
        </w:rPr>
        <w:t>domu. Odbor výstavby MÚ dostal toto vyjádření:</w:t>
      </w:r>
    </w:p>
    <w:p w:rsidR="00D70AE5" w:rsidRPr="00D70AE5" w:rsidRDefault="00D70AE5" w:rsidP="00D70AE5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AE5">
        <w:rPr>
          <w:rFonts w:ascii="Times New Roman" w:hAnsi="Times New Roman" w:cs="Times New Roman"/>
          <w:sz w:val="24"/>
          <w:szCs w:val="24"/>
        </w:rPr>
        <w:t>Dopravní podnik: „ Zahájíte-li asanaci budov, nezačínejte s výstavbou střediska služeb.“</w:t>
      </w:r>
    </w:p>
    <w:p w:rsidR="00D70AE5" w:rsidRPr="00D70AE5" w:rsidRDefault="00D70AE5" w:rsidP="00D70AE5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AE5">
        <w:rPr>
          <w:rFonts w:ascii="Times New Roman" w:hAnsi="Times New Roman" w:cs="Times New Roman"/>
          <w:sz w:val="24"/>
          <w:szCs w:val="24"/>
        </w:rPr>
        <w:t>Památková péče: „</w:t>
      </w:r>
      <w:r w:rsidR="0043379F">
        <w:rPr>
          <w:rFonts w:ascii="Times New Roman" w:hAnsi="Times New Roman" w:cs="Times New Roman"/>
          <w:sz w:val="24"/>
          <w:szCs w:val="24"/>
        </w:rPr>
        <w:t xml:space="preserve"> Zahajte opravu kulturního domu</w:t>
      </w:r>
      <w:r w:rsidRPr="00D70AE5">
        <w:rPr>
          <w:rFonts w:ascii="Times New Roman" w:hAnsi="Times New Roman" w:cs="Times New Roman"/>
          <w:sz w:val="24"/>
          <w:szCs w:val="24"/>
        </w:rPr>
        <w:t xml:space="preserve"> nebo asanaci budov, ale ne obě akce najednou.“</w:t>
      </w:r>
    </w:p>
    <w:p w:rsidR="00D70AE5" w:rsidRPr="00D70AE5" w:rsidRDefault="00D70AE5" w:rsidP="00D70AE5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AE5">
        <w:rPr>
          <w:rFonts w:ascii="Times New Roman" w:hAnsi="Times New Roman" w:cs="Times New Roman"/>
          <w:sz w:val="24"/>
          <w:szCs w:val="24"/>
        </w:rPr>
        <w:t>Okresní hygienik. „Začněte pracovat právě na dvou z těchto tří akcí.“</w:t>
      </w:r>
    </w:p>
    <w:p w:rsidR="00D70AE5" w:rsidRPr="001A107B" w:rsidRDefault="00D70AE5" w:rsidP="001A107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7B">
        <w:rPr>
          <w:rFonts w:ascii="Times New Roman" w:hAnsi="Times New Roman" w:cs="Times New Roman"/>
          <w:sz w:val="24"/>
          <w:szCs w:val="24"/>
        </w:rPr>
        <w:t>Odbor výstavby rozhodl tak, že vyhověl všem třem vyjádřením. Jak rozhodl?</w:t>
      </w:r>
    </w:p>
    <w:p w:rsidR="00C95784" w:rsidRDefault="00C95784" w:rsidP="00C95784">
      <w:pPr>
        <w:pStyle w:val="Nadpis2"/>
      </w:pPr>
      <w:r>
        <w:t>Příklad 4</w:t>
      </w:r>
    </w:p>
    <w:p w:rsidR="00C95784" w:rsidRDefault="00C95784" w:rsidP="00C95784">
      <w:r>
        <w:t>Ukazatel TRS (celková výnosnost akcionáře) se určí ze vzorce:</w:t>
      </w:r>
    </w:p>
    <w:p w:rsidR="00C95784" w:rsidRPr="00C95784" w:rsidRDefault="00C95784" w:rsidP="00C957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TRS=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</w:rPr>
            <m:t>n+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(i-j)</m:t>
              </m:r>
            </m:sub>
          </m:sSub>
        </m:oMath>
      </m:oMathPara>
    </w:p>
    <w:p w:rsidR="00696D30" w:rsidRDefault="00C95784" w:rsidP="00C95784">
      <w:pPr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(i-j)</m:t>
            </m:r>
          </m:sub>
        </m:sSub>
      </m:oMath>
      <w:r>
        <w:rPr>
          <w:rFonts w:eastAsiaTheme="minorEastAsia"/>
        </w:rPr>
        <w:t xml:space="preserve"> </w:t>
      </w:r>
      <w:r w:rsidR="00696D30">
        <w:rPr>
          <w:rFonts w:eastAsiaTheme="minorEastAsia"/>
        </w:rPr>
        <w:t xml:space="preserve">je </w:t>
      </w:r>
      <w:r>
        <w:rPr>
          <w:rFonts w:eastAsiaTheme="minorEastAsia"/>
        </w:rPr>
        <w:t xml:space="preserve">suma dividend vyplacených v období i-j,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eastAsiaTheme="minorEastAsia"/>
        </w:rPr>
        <w:t xml:space="preserve"> </w:t>
      </w:r>
      <w:r w:rsidR="00696D30">
        <w:rPr>
          <w:rFonts w:eastAsiaTheme="minorEastAsia"/>
        </w:rPr>
        <w:t xml:space="preserve">je </w:t>
      </w:r>
      <w:r>
        <w:rPr>
          <w:rFonts w:eastAsiaTheme="minorEastAsia"/>
        </w:rPr>
        <w:t xml:space="preserve">prodejní cena akcie,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696D30">
        <w:rPr>
          <w:rFonts w:eastAsiaTheme="minorEastAsia"/>
        </w:rPr>
        <w:t xml:space="preserve"> je </w:t>
      </w:r>
      <w:r>
        <w:rPr>
          <w:rFonts w:eastAsiaTheme="minorEastAsia"/>
        </w:rPr>
        <w:t>nákupní cena akcie</w:t>
      </w:r>
      <w:r w:rsidR="00696D30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n</m:t>
        </m:r>
      </m:oMath>
      <w:r w:rsidR="001A107B">
        <w:rPr>
          <w:rFonts w:eastAsiaTheme="minorEastAsia"/>
        </w:rPr>
        <w:t xml:space="preserve"> je počet akci</w:t>
      </w:r>
      <w:r w:rsidR="00696D30">
        <w:rPr>
          <w:rFonts w:eastAsiaTheme="minorEastAsia"/>
        </w:rPr>
        <w:t>í.</w:t>
      </w:r>
    </w:p>
    <w:p w:rsidR="00696D30" w:rsidRDefault="00696D30" w:rsidP="00C95784">
      <w:pPr>
        <w:rPr>
          <w:rFonts w:eastAsiaTheme="minorEastAsia"/>
        </w:rPr>
      </w:pPr>
      <w:r>
        <w:rPr>
          <w:rFonts w:eastAsiaTheme="minorEastAsia"/>
        </w:rPr>
        <w:t xml:space="preserve">Vyjádřete ze vzorce a </w:t>
      </w:r>
      <w:r w:rsidR="0043379F">
        <w:rPr>
          <w:rFonts w:eastAsiaTheme="minorEastAsia"/>
        </w:rPr>
        <w:t>s</w:t>
      </w:r>
      <w:r>
        <w:rPr>
          <w:rFonts w:eastAsiaTheme="minorEastAsia"/>
        </w:rPr>
        <w:t>počítejte prodejní cenu akcie, jestliže známe tyto údaje:</w:t>
      </w:r>
    </w:p>
    <w:p w:rsidR="00C95784" w:rsidRDefault="00696D30" w:rsidP="00696D30">
      <w:pPr>
        <w:pStyle w:val="Odstavecseseznamem"/>
        <w:numPr>
          <w:ilvl w:val="0"/>
          <w:numId w:val="3"/>
        </w:numPr>
      </w:pPr>
      <w:r>
        <w:t xml:space="preserve">Suma dividend </w:t>
      </w:r>
      <w:proofErr w:type="gramStart"/>
      <w:r>
        <w:t>je</w:t>
      </w:r>
      <w:proofErr w:type="gramEnd"/>
      <w:r>
        <w:t xml:space="preserve"> za 5 let je 100 000 Kč</w:t>
      </w:r>
    </w:p>
    <w:p w:rsidR="00696D30" w:rsidRDefault="00696D30" w:rsidP="00696D30">
      <w:pPr>
        <w:pStyle w:val="Odstavecseseznamem"/>
        <w:numPr>
          <w:ilvl w:val="0"/>
          <w:numId w:val="3"/>
        </w:numPr>
      </w:pPr>
      <w:r>
        <w:t>Nákupní cena akcie je 810 Kč/kus</w:t>
      </w:r>
    </w:p>
    <w:p w:rsidR="00696D30" w:rsidRDefault="00696D30" w:rsidP="00696D30">
      <w:pPr>
        <w:pStyle w:val="Odstavecseseznamem"/>
        <w:numPr>
          <w:ilvl w:val="0"/>
          <w:numId w:val="3"/>
        </w:numPr>
      </w:pPr>
      <w:r>
        <w:t>Počet nakoupených akcii je 1000</w:t>
      </w:r>
    </w:p>
    <w:p w:rsidR="00696D30" w:rsidRPr="00C95784" w:rsidRDefault="00696D30" w:rsidP="00696D30">
      <w:pPr>
        <w:pStyle w:val="Odstavecseseznamem"/>
        <w:numPr>
          <w:ilvl w:val="0"/>
          <w:numId w:val="3"/>
        </w:numPr>
      </w:pPr>
      <w:r>
        <w:t>Výnos pro akcionáře je 90 000 Kč</w:t>
      </w:r>
    </w:p>
    <w:p w:rsidR="00D70AE5" w:rsidRDefault="00D70AE5" w:rsidP="00D70AE5"/>
    <w:p w:rsidR="00B86931" w:rsidRPr="00B86931" w:rsidRDefault="00B86931" w:rsidP="00B86931"/>
    <w:sectPr w:rsidR="00B86931" w:rsidRPr="00B8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92"/>
    <w:multiLevelType w:val="hybridMultilevel"/>
    <w:tmpl w:val="441EA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02EA"/>
    <w:multiLevelType w:val="hybridMultilevel"/>
    <w:tmpl w:val="15E2CDD6"/>
    <w:lvl w:ilvl="0" w:tplc="040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">
    <w:nsid w:val="49382691"/>
    <w:multiLevelType w:val="hybridMultilevel"/>
    <w:tmpl w:val="8DC0A9CA"/>
    <w:lvl w:ilvl="0" w:tplc="040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31"/>
    <w:rsid w:val="001A107B"/>
    <w:rsid w:val="0043379F"/>
    <w:rsid w:val="00696D30"/>
    <w:rsid w:val="00710DB8"/>
    <w:rsid w:val="00903111"/>
    <w:rsid w:val="00B86931"/>
    <w:rsid w:val="00C14A1D"/>
    <w:rsid w:val="00C95784"/>
    <w:rsid w:val="00D2028E"/>
    <w:rsid w:val="00D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6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6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0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6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0DB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70A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C9578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6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6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0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6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0DB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70A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C9578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adm_krehlik</dc:creator>
  <cp:lastModifiedBy>adm_krehlik</cp:lastModifiedBy>
  <cp:revision>4</cp:revision>
  <dcterms:created xsi:type="dcterms:W3CDTF">2018-09-04T09:11:00Z</dcterms:created>
  <dcterms:modified xsi:type="dcterms:W3CDTF">2018-09-20T13:05:00Z</dcterms:modified>
</cp:coreProperties>
</file>