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9" w:rsidRDefault="00C349D9"/>
    <w:p w:rsidR="007B72C6" w:rsidRDefault="007B72C6" w:rsidP="007B72C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B72C6">
        <w:rPr>
          <w:rFonts w:ascii="Times New Roman" w:hAnsi="Times New Roman" w:cs="Times New Roman"/>
          <w:b/>
          <w:sz w:val="28"/>
          <w:szCs w:val="28"/>
        </w:rPr>
        <w:t>Charakteristické znaky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C6">
        <w:rPr>
          <w:rFonts w:ascii="Times New Roman" w:hAnsi="Times New Roman" w:cs="Times New Roman"/>
          <w:b/>
          <w:sz w:val="28"/>
          <w:szCs w:val="28"/>
        </w:rPr>
        <w:t>SCM</w:t>
      </w:r>
    </w:p>
    <w:p w:rsidR="007B72C6" w:rsidRPr="00AA2DE7" w:rsidRDefault="007B72C6" w:rsidP="007B72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2DE7">
        <w:rPr>
          <w:rFonts w:ascii="Times New Roman" w:hAnsi="Times New Roman" w:cs="Times New Roman"/>
          <w:b/>
          <w:sz w:val="24"/>
          <w:szCs w:val="24"/>
        </w:rPr>
        <w:t>Pull</w:t>
      </w:r>
      <w:proofErr w:type="spellEnd"/>
      <w:r w:rsidRPr="00AA2DE7">
        <w:rPr>
          <w:rFonts w:ascii="Times New Roman" w:hAnsi="Times New Roman" w:cs="Times New Roman"/>
          <w:b/>
          <w:sz w:val="24"/>
          <w:szCs w:val="24"/>
        </w:rPr>
        <w:t xml:space="preserve"> princip</w:t>
      </w:r>
    </w:p>
    <w:p w:rsidR="007B72C6" w:rsidRDefault="007B72C6" w:rsidP="007B72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důsledku rozšiřování nové ekonomiky a změny paradigmatu od dodavatelů k zákazníkům se otočil v logistice původní tlačný (</w:t>
      </w:r>
      <w:proofErr w:type="spellStart"/>
      <w:r>
        <w:rPr>
          <w:rFonts w:ascii="Times New Roman" w:hAnsi="Times New Roman" w:cs="Times New Roman"/>
          <w:sz w:val="24"/>
          <w:szCs w:val="24"/>
        </w:rPr>
        <w:t>push</w:t>
      </w:r>
      <w:proofErr w:type="spellEnd"/>
      <w:r>
        <w:rPr>
          <w:rFonts w:ascii="Times New Roman" w:hAnsi="Times New Roman" w:cs="Times New Roman"/>
          <w:sz w:val="24"/>
          <w:szCs w:val="24"/>
        </w:rPr>
        <w:t>) princip na tažný (</w:t>
      </w:r>
      <w:proofErr w:type="spellStart"/>
      <w:r>
        <w:rPr>
          <w:rFonts w:ascii="Times New Roman" w:hAnsi="Times New Roman" w:cs="Times New Roman"/>
          <w:sz w:val="24"/>
          <w:szCs w:val="24"/>
        </w:rPr>
        <w:t>pull</w:t>
      </w:r>
      <w:proofErr w:type="spellEnd"/>
      <w:r>
        <w:rPr>
          <w:rFonts w:ascii="Times New Roman" w:hAnsi="Times New Roman" w:cs="Times New Roman"/>
          <w:sz w:val="24"/>
          <w:szCs w:val="24"/>
        </w:rPr>
        <w:t>). SCM znamená změnu paradigmatu: dříve „tlačili“ dodavatelé, dnes „táhnou“ zákazníci.</w:t>
      </w:r>
    </w:p>
    <w:p w:rsidR="00AA2DE7" w:rsidRDefault="007B72C6" w:rsidP="00AA2D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tažení zboží a informací s nimi spojených implikuje, že žádný podnik v </w:t>
      </w:r>
      <w:r w:rsidR="00E81CDC">
        <w:rPr>
          <w:rFonts w:ascii="Times New Roman" w:hAnsi="Times New Roman" w:cs="Times New Roman"/>
          <w:sz w:val="24"/>
          <w:szCs w:val="24"/>
        </w:rPr>
        <w:t>daném</w:t>
      </w:r>
      <w:r>
        <w:rPr>
          <w:rFonts w:ascii="Times New Roman" w:hAnsi="Times New Roman" w:cs="Times New Roman"/>
          <w:sz w:val="24"/>
          <w:szCs w:val="24"/>
        </w:rPr>
        <w:t xml:space="preserve"> řetězci neprodukuje výkon, dokud jej zákazník v proudu směrem dolů nepožaduje. To znamená, že všechny aktivity vyvolávají až přání zákazníků. Tedy, že zákazník je „tahoun“ v celém dodavatelském řetězci. Jako při hře domino musí být všechny stupně řetězce synchronizovány tak, aby bylo dodáváno ve stejných taktech přesně to množství výrobků, které bylo skutečně objednáno. V dodavatelských řetězcích dnes</w:t>
      </w:r>
      <w:r w:rsidR="00E81CDC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ještě převažuje princip tlaku.</w:t>
      </w:r>
      <w:r w:rsidR="00E81CDC">
        <w:rPr>
          <w:rFonts w:ascii="Times New Roman" w:hAnsi="Times New Roman" w:cs="Times New Roman"/>
          <w:sz w:val="24"/>
          <w:szCs w:val="24"/>
        </w:rPr>
        <w:t xml:space="preserve"> To znamená</w:t>
      </w:r>
      <w:r>
        <w:rPr>
          <w:rFonts w:ascii="Times New Roman" w:hAnsi="Times New Roman" w:cs="Times New Roman"/>
          <w:sz w:val="24"/>
          <w:szCs w:val="24"/>
        </w:rPr>
        <w:t>, že do řetězců je</w:t>
      </w:r>
      <w:r w:rsidR="00E81CDC">
        <w:rPr>
          <w:rFonts w:ascii="Times New Roman" w:hAnsi="Times New Roman" w:cs="Times New Roman"/>
          <w:sz w:val="24"/>
          <w:szCs w:val="24"/>
        </w:rPr>
        <w:t xml:space="preserve"> zboží</w:t>
      </w:r>
      <w:r>
        <w:rPr>
          <w:rFonts w:ascii="Times New Roman" w:hAnsi="Times New Roman" w:cs="Times New Roman"/>
          <w:sz w:val="24"/>
          <w:szCs w:val="24"/>
        </w:rPr>
        <w:t xml:space="preserve"> tlačeno bez ohledu na přeplnění skladů.</w:t>
      </w:r>
    </w:p>
    <w:p w:rsidR="00AA2DE7" w:rsidRPr="00F81600" w:rsidRDefault="00AA2DE7" w:rsidP="00AA2D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1600">
        <w:rPr>
          <w:rFonts w:ascii="Times New Roman" w:hAnsi="Times New Roman" w:cs="Times New Roman"/>
          <w:b/>
          <w:sz w:val="24"/>
          <w:szCs w:val="24"/>
        </w:rPr>
        <w:t xml:space="preserve">Spolupráce ve smyslu </w:t>
      </w:r>
      <w:proofErr w:type="spellStart"/>
      <w:r w:rsidRPr="00F81600">
        <w:rPr>
          <w:rFonts w:ascii="Times New Roman" w:hAnsi="Times New Roman" w:cs="Times New Roman"/>
          <w:b/>
          <w:sz w:val="24"/>
          <w:szCs w:val="24"/>
        </w:rPr>
        <w:t>win-win</w:t>
      </w:r>
      <w:proofErr w:type="spellEnd"/>
    </w:p>
    <w:p w:rsidR="00F81600" w:rsidRDefault="00AA2DE7" w:rsidP="00AA2D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Správná funkčnost sítí SCM je podmíněna velkou důvěrou mezi všemi kooperujícími partnery. Ta má být tak dokonalá a dalekosáhlá, aby partneři </w:t>
      </w:r>
      <w:r w:rsidR="00F81600">
        <w:rPr>
          <w:rFonts w:ascii="Times New Roman" w:hAnsi="Times New Roman" w:cs="Times New Roman"/>
          <w:sz w:val="24"/>
          <w:szCs w:val="24"/>
        </w:rPr>
        <w:t>usilovali společně o snižování nákladů. Každý přeje druhému výhry ve smyslu „pokud ty získáš, získám i já“ (</w:t>
      </w:r>
      <w:proofErr w:type="spellStart"/>
      <w:r w:rsidR="00F81600">
        <w:rPr>
          <w:rFonts w:ascii="Times New Roman" w:hAnsi="Times New Roman" w:cs="Times New Roman"/>
          <w:sz w:val="24"/>
          <w:szCs w:val="24"/>
        </w:rPr>
        <w:t>win-win</w:t>
      </w:r>
      <w:proofErr w:type="spellEnd"/>
      <w:r w:rsidR="00F81600">
        <w:rPr>
          <w:rFonts w:ascii="Times New Roman" w:hAnsi="Times New Roman" w:cs="Times New Roman"/>
          <w:sz w:val="24"/>
          <w:szCs w:val="24"/>
        </w:rPr>
        <w:t xml:space="preserve"> princip). Např. jeden partner se spoléhá, že mu jeho dodavatel přichystá dodávku vždy, včas a v požadované výši, takže se na ni může spolehnout a mít jen pojistnou zásobu pro výjimečné případy.</w:t>
      </w:r>
    </w:p>
    <w:p w:rsidR="00F81600" w:rsidRDefault="00F81600" w:rsidP="00F8160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vede k výhodě v takto integrovaných řetězcích oproti jednotlivým partnerům tím, že v celé síti SCM je celkově méně zásob zboží. Hospodárnost dodavatelských řetězců a sítí SCM je mnohem výhodnější než u podniků mimo takové řetězce.</w:t>
      </w:r>
    </w:p>
    <w:p w:rsidR="00F81600" w:rsidRDefault="00F81600" w:rsidP="00F816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00">
        <w:rPr>
          <w:rFonts w:ascii="Times New Roman" w:hAnsi="Times New Roman" w:cs="Times New Roman"/>
          <w:b/>
          <w:sz w:val="24"/>
          <w:szCs w:val="24"/>
        </w:rPr>
        <w:t>Partnerství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81600">
        <w:rPr>
          <w:rFonts w:ascii="Times New Roman" w:hAnsi="Times New Roman" w:cs="Times New Roman"/>
          <w:b/>
          <w:sz w:val="24"/>
          <w:szCs w:val="24"/>
        </w:rPr>
        <w:t>síti</w:t>
      </w:r>
    </w:p>
    <w:p w:rsidR="002D661E" w:rsidRDefault="00F81600" w:rsidP="00F816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1600">
        <w:rPr>
          <w:rFonts w:ascii="Times New Roman" w:hAnsi="Times New Roman" w:cs="Times New Roman"/>
          <w:sz w:val="24"/>
          <w:szCs w:val="24"/>
        </w:rPr>
        <w:t>Management celého dodavatelského řetězce</w:t>
      </w:r>
      <w:r>
        <w:rPr>
          <w:rFonts w:ascii="Times New Roman" w:hAnsi="Times New Roman" w:cs="Times New Roman"/>
          <w:sz w:val="24"/>
          <w:szCs w:val="24"/>
        </w:rPr>
        <w:t xml:space="preserve"> určuje efektivnost podniku v každém stupni </w:t>
      </w:r>
      <w:r w:rsidR="00BE5AEA">
        <w:rPr>
          <w:rFonts w:ascii="Times New Roman" w:hAnsi="Times New Roman" w:cs="Times New Roman"/>
          <w:sz w:val="24"/>
          <w:szCs w:val="24"/>
        </w:rPr>
        <w:t>řetězce tvorby hodnot. Klíčovým elementem pro konkurenční schopnost jsou jejich vztahy mezi partnery a</w:t>
      </w:r>
      <w:r w:rsidR="00693F18">
        <w:rPr>
          <w:rFonts w:ascii="Times New Roman" w:hAnsi="Times New Roman" w:cs="Times New Roman"/>
          <w:sz w:val="24"/>
          <w:szCs w:val="24"/>
        </w:rPr>
        <w:t xml:space="preserve"> vztahy</w:t>
      </w:r>
      <w:r w:rsidR="00BE5AEA">
        <w:rPr>
          <w:rFonts w:ascii="Times New Roman" w:hAnsi="Times New Roman" w:cs="Times New Roman"/>
          <w:sz w:val="24"/>
          <w:szCs w:val="24"/>
        </w:rPr>
        <w:t xml:space="preserve"> k zákazníkům, dodavatelům a dalším členům SCM sítě. V ideálním případě začíná tento vztah již ve společném designu a konstrukci výrobků a trvá po celou dobu životního cyklu finálního výrobku.</w:t>
      </w:r>
      <w:r w:rsidR="0054244B">
        <w:rPr>
          <w:rFonts w:ascii="Times New Roman" w:hAnsi="Times New Roman" w:cs="Times New Roman"/>
          <w:sz w:val="24"/>
          <w:szCs w:val="24"/>
        </w:rPr>
        <w:t xml:space="preserve"> Často a chybně prováděly podniky pouze lokální optimalizace nákladů na úkor optimalizace celého řetězce. Důležité je však hledání vyššího optima celého řetězce (synergický efekt). Lokální optimalizace stavu zboží v jednom stupni po proudu (</w:t>
      </w:r>
      <w:proofErr w:type="spellStart"/>
      <w:r w:rsidR="0054244B">
        <w:rPr>
          <w:rFonts w:ascii="Times New Roman" w:hAnsi="Times New Roman" w:cs="Times New Roman"/>
          <w:sz w:val="24"/>
          <w:szCs w:val="24"/>
        </w:rPr>
        <w:t>down-stream</w:t>
      </w:r>
      <w:proofErr w:type="spellEnd"/>
      <w:r w:rsidR="0054244B">
        <w:rPr>
          <w:rFonts w:ascii="Times New Roman" w:hAnsi="Times New Roman" w:cs="Times New Roman"/>
          <w:sz w:val="24"/>
          <w:szCs w:val="24"/>
        </w:rPr>
        <w:t>) se může stát drahou pro dodavatele proti proudu (up-</w:t>
      </w:r>
      <w:proofErr w:type="spellStart"/>
      <w:r w:rsidR="0054244B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="0054244B">
        <w:rPr>
          <w:rFonts w:ascii="Times New Roman" w:hAnsi="Times New Roman" w:cs="Times New Roman"/>
          <w:sz w:val="24"/>
          <w:szCs w:val="24"/>
        </w:rPr>
        <w:t>). Zabezpečení „partnerství a důvěry“, jakož i fungující komunikace, způsobují podniku často největší problémy.</w:t>
      </w:r>
      <w:r w:rsidR="00A94F05">
        <w:rPr>
          <w:rFonts w:ascii="Times New Roman" w:hAnsi="Times New Roman" w:cs="Times New Roman"/>
          <w:sz w:val="24"/>
          <w:szCs w:val="24"/>
        </w:rPr>
        <w:t xml:space="preserve"> V praxi bývají úspěšná pouze taková partnerství s dodavateli ve smyslu </w:t>
      </w:r>
      <w:proofErr w:type="spellStart"/>
      <w:r w:rsidR="00A94F05">
        <w:rPr>
          <w:rFonts w:ascii="Times New Roman" w:hAnsi="Times New Roman" w:cs="Times New Roman"/>
          <w:sz w:val="24"/>
          <w:szCs w:val="24"/>
        </w:rPr>
        <w:t>win-win</w:t>
      </w:r>
      <w:proofErr w:type="spellEnd"/>
      <w:r w:rsidR="00A94F05">
        <w:rPr>
          <w:rFonts w:ascii="Times New Roman" w:hAnsi="Times New Roman" w:cs="Times New Roman"/>
          <w:sz w:val="24"/>
          <w:szCs w:val="24"/>
        </w:rPr>
        <w:t>, která přesahují pouhá jednání o cenách. Pro úspěšné SCM by měly funkční oblasti a aktéři v hodnotovém řetězci kooperovat a harmonicky spolupracovat. Platí všeobecně, že úzká spolupráce s dodavateli nabízí možnost žádoucí koncentrace na vlastní klíčové kompetence odběratelů. Úspěšné vztahy s dodavateli se vyznačují vysokou úrovní dobře koordinované výměny informací. Dodavatel a zákazník realizují specifické investice pro zlepšení vztahů, které se vyznačují vysokou mírou vzájemné důvěry.</w:t>
      </w:r>
    </w:p>
    <w:p w:rsidR="002D661E" w:rsidRDefault="002D661E" w:rsidP="00F816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D661E" w:rsidRPr="00AB2204" w:rsidRDefault="002D661E" w:rsidP="002D661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204">
        <w:rPr>
          <w:rFonts w:ascii="Times New Roman" w:eastAsia="Times New Roman" w:hAnsi="Times New Roman" w:cs="Times New Roman"/>
          <w:sz w:val="24"/>
          <w:szCs w:val="24"/>
          <w:lang w:eastAsia="cs-CZ"/>
        </w:rPr>
        <w:t>Zdroj:</w:t>
      </w:r>
    </w:p>
    <w:p w:rsidR="007B72C6" w:rsidRPr="007B72C6" w:rsidRDefault="002D661E" w:rsidP="00E81CD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STEHLÍK, Antonín, KAPOUN, Josef. Logistika pro manažery.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>
        <w:rPr>
          <w:rFonts w:ascii="Times New Roman" w:hAnsi="Times New Roman" w:cs="Times New Roman"/>
          <w:sz w:val="24"/>
          <w:szCs w:val="24"/>
        </w:rPr>
        <w:t>Ekopress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2008. 1</w:t>
      </w:r>
      <w:r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ž 163, </w:t>
      </w:r>
      <w:r w:rsidR="00E81CDC">
        <w:rPr>
          <w:rFonts w:ascii="Times New Roman" w:hAnsi="Times New Roman" w:cs="Times New Roman"/>
          <w:sz w:val="24"/>
          <w:szCs w:val="24"/>
        </w:rPr>
        <w:t xml:space="preserve">upraveno, </w:t>
      </w:r>
      <w:r>
        <w:rPr>
          <w:rFonts w:ascii="Times New Roman" w:hAnsi="Times New Roman" w:cs="Times New Roman"/>
          <w:sz w:val="24"/>
          <w:szCs w:val="24"/>
        </w:rPr>
        <w:t>zkráceno.</w:t>
      </w:r>
      <w:r w:rsidR="00F81600" w:rsidRPr="00F816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B7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C6" w:rsidRPr="007B72C6" w:rsidRDefault="007B72C6">
      <w:pPr>
        <w:rPr>
          <w:rFonts w:ascii="Times New Roman" w:hAnsi="Times New Roman" w:cs="Times New Roman"/>
          <w:sz w:val="28"/>
          <w:szCs w:val="28"/>
        </w:rPr>
      </w:pPr>
      <w:r w:rsidRPr="007B72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7B72C6" w:rsidRPr="007B7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C6"/>
    <w:rsid w:val="002D661E"/>
    <w:rsid w:val="002E0F7B"/>
    <w:rsid w:val="0054244B"/>
    <w:rsid w:val="00693F18"/>
    <w:rsid w:val="007B72C6"/>
    <w:rsid w:val="00A94F05"/>
    <w:rsid w:val="00AA2DE7"/>
    <w:rsid w:val="00BE5AEA"/>
    <w:rsid w:val="00C349D9"/>
    <w:rsid w:val="00E81CDC"/>
    <w:rsid w:val="00F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4</cp:revision>
  <dcterms:created xsi:type="dcterms:W3CDTF">2015-09-15T06:53:00Z</dcterms:created>
  <dcterms:modified xsi:type="dcterms:W3CDTF">2015-09-15T08:44:00Z</dcterms:modified>
</cp:coreProperties>
</file>