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AB" w:rsidRDefault="006842AB" w:rsidP="006842AB">
      <w:pPr>
        <w:spacing w:after="120"/>
        <w:rPr>
          <w:rFonts w:ascii="Times New Roman" w:hAnsi="Times New Roman" w:cs="Times New Roman"/>
          <w:sz w:val="24"/>
          <w:szCs w:val="24"/>
        </w:rPr>
      </w:pPr>
    </w:p>
    <w:p w:rsidR="006842AB" w:rsidRDefault="006842AB" w:rsidP="006842AB">
      <w:pPr>
        <w:spacing w:after="120"/>
        <w:rPr>
          <w:rFonts w:ascii="Times New Roman" w:hAnsi="Times New Roman" w:cs="Times New Roman"/>
          <w:sz w:val="24"/>
          <w:szCs w:val="24"/>
        </w:rPr>
      </w:pPr>
      <w:r>
        <w:rPr>
          <w:rFonts w:ascii="Times New Roman" w:hAnsi="Times New Roman" w:cs="Times New Roman"/>
          <w:sz w:val="24"/>
          <w:szCs w:val="24"/>
        </w:rPr>
        <w:t xml:space="preserve">5.3.1 Aktivity spadající pod </w:t>
      </w:r>
      <w:proofErr w:type="spellStart"/>
      <w:r>
        <w:rPr>
          <w:rFonts w:ascii="Times New Roman" w:hAnsi="Times New Roman" w:cs="Times New Roman"/>
          <w:sz w:val="24"/>
          <w:szCs w:val="24"/>
        </w:rPr>
        <w:t>corporate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involvement</w:t>
      </w:r>
      <w:proofErr w:type="spellEnd"/>
    </w:p>
    <w:p w:rsidR="006842AB" w:rsidRDefault="006842AB" w:rsidP="006842AB">
      <w:pPr>
        <w:spacing w:after="120"/>
        <w:jc w:val="both"/>
        <w:rPr>
          <w:rFonts w:ascii="Times New Roman" w:hAnsi="Times New Roman" w:cs="Times New Roman"/>
          <w:sz w:val="24"/>
          <w:szCs w:val="24"/>
        </w:rPr>
      </w:pPr>
      <w:r>
        <w:rPr>
          <w:rFonts w:ascii="Times New Roman" w:hAnsi="Times New Roman" w:cs="Times New Roman"/>
          <w:sz w:val="24"/>
          <w:szCs w:val="24"/>
        </w:rPr>
        <w:t xml:space="preserve">Původně svou odpovědnost vůči okolí podniky demonstrovaly skrze poskytování finančních darů či sponzorské aktivity. Teprve později k nim přibyly aktivnější formy zapojení, jako je firemní dobrovolnictví či partnerské programy. Vyjma sponzoringu lze všechny uváděné formy zařadit pod </w:t>
      </w:r>
      <w:r w:rsidRPr="008A1980">
        <w:rPr>
          <w:rFonts w:ascii="Times New Roman" w:hAnsi="Times New Roman" w:cs="Times New Roman"/>
          <w:b/>
          <w:sz w:val="24"/>
          <w:szCs w:val="24"/>
        </w:rPr>
        <w:t>filantropii</w:t>
      </w:r>
      <w:r>
        <w:rPr>
          <w:rFonts w:ascii="Times New Roman" w:hAnsi="Times New Roman" w:cs="Times New Roman"/>
          <w:sz w:val="24"/>
          <w:szCs w:val="24"/>
        </w:rPr>
        <w:t xml:space="preserve">. Od </w:t>
      </w:r>
      <w:r w:rsidRPr="008A1980">
        <w:rPr>
          <w:rFonts w:ascii="Times New Roman" w:hAnsi="Times New Roman" w:cs="Times New Roman"/>
          <w:b/>
          <w:sz w:val="24"/>
          <w:szCs w:val="24"/>
        </w:rPr>
        <w:t>sponzoringu</w:t>
      </w:r>
      <w:r>
        <w:rPr>
          <w:rFonts w:ascii="Times New Roman" w:hAnsi="Times New Roman" w:cs="Times New Roman"/>
          <w:sz w:val="24"/>
          <w:szCs w:val="24"/>
        </w:rPr>
        <w:t xml:space="preserve"> ve striktním pojetí se filantropie odlišuje tím, že její poskytovatel neočekává za plnění protiplnění (</w:t>
      </w:r>
      <w:proofErr w:type="spellStart"/>
      <w:r>
        <w:rPr>
          <w:rFonts w:ascii="Times New Roman" w:hAnsi="Times New Roman" w:cs="Times New Roman"/>
          <w:sz w:val="24"/>
          <w:szCs w:val="24"/>
        </w:rPr>
        <w:t>Seitanidi</w:t>
      </w:r>
      <w:proofErr w:type="spellEnd"/>
      <w:r>
        <w:rPr>
          <w:rFonts w:ascii="Times New Roman" w:hAnsi="Times New Roman" w:cs="Times New Roman"/>
          <w:sz w:val="24"/>
          <w:szCs w:val="24"/>
        </w:rPr>
        <w:t xml:space="preserve"> a Ryan, 2007, s. 248). </w:t>
      </w:r>
    </w:p>
    <w:p w:rsidR="006842AB" w:rsidRDefault="006842AB" w:rsidP="006842AB">
      <w:pPr>
        <w:spacing w:after="120"/>
        <w:jc w:val="both"/>
        <w:rPr>
          <w:rFonts w:ascii="Times New Roman" w:hAnsi="Times New Roman" w:cs="Times New Roman"/>
          <w:sz w:val="24"/>
          <w:szCs w:val="24"/>
        </w:rPr>
      </w:pPr>
      <w:r>
        <w:rPr>
          <w:rFonts w:ascii="Times New Roman" w:hAnsi="Times New Roman" w:cs="Times New Roman"/>
          <w:sz w:val="24"/>
          <w:szCs w:val="24"/>
        </w:rPr>
        <w:t xml:space="preserve">Právě toto vymezení filantropie vedlo </w:t>
      </w:r>
      <w:proofErr w:type="spellStart"/>
      <w:r w:rsidRPr="008A1980">
        <w:rPr>
          <w:rFonts w:ascii="Times New Roman" w:hAnsi="Times New Roman" w:cs="Times New Roman"/>
          <w:b/>
          <w:sz w:val="24"/>
          <w:szCs w:val="24"/>
        </w:rPr>
        <w:t>Friedmana</w:t>
      </w:r>
      <w:proofErr w:type="spellEnd"/>
      <w:r>
        <w:rPr>
          <w:rFonts w:ascii="Times New Roman" w:hAnsi="Times New Roman" w:cs="Times New Roman"/>
          <w:sz w:val="24"/>
          <w:szCs w:val="24"/>
        </w:rPr>
        <w:t xml:space="preserve"> k názoru, že </w:t>
      </w:r>
      <w:r w:rsidRPr="008A1980">
        <w:rPr>
          <w:rFonts w:ascii="Times New Roman" w:hAnsi="Times New Roman" w:cs="Times New Roman"/>
          <w:b/>
          <w:sz w:val="24"/>
          <w:szCs w:val="24"/>
        </w:rPr>
        <w:t>manažeři nemohou tímto způsobem využívat zdroje podniku</w:t>
      </w:r>
      <w:r>
        <w:rPr>
          <w:rFonts w:ascii="Times New Roman" w:hAnsi="Times New Roman" w:cs="Times New Roman"/>
          <w:sz w:val="24"/>
          <w:szCs w:val="24"/>
        </w:rPr>
        <w:t xml:space="preserve">, protože by tím porušili své poslání maximalizovat hodnotu pro vlastníka podniku. </w:t>
      </w:r>
      <w:r w:rsidRPr="007D538C">
        <w:rPr>
          <w:rFonts w:ascii="Times New Roman" w:hAnsi="Times New Roman" w:cs="Times New Roman"/>
          <w:color w:val="7030A0"/>
          <w:sz w:val="24"/>
          <w:szCs w:val="24"/>
        </w:rPr>
        <w:t xml:space="preserve">(12 Manažerská etika </w:t>
      </w:r>
      <w:r w:rsidRPr="007D538C">
        <w:rPr>
          <w:rFonts w:ascii="Times New Roman" w:hAnsi="Times New Roman" w:cs="Times New Roman"/>
          <w:b/>
          <w:i/>
          <w:color w:val="7030A0"/>
          <w:sz w:val="24"/>
          <w:szCs w:val="24"/>
        </w:rPr>
        <w:t>adresa</w:t>
      </w:r>
      <w:r w:rsidRPr="007D538C">
        <w:rPr>
          <w:rFonts w:ascii="Times New Roman" w:hAnsi="Times New Roman" w:cs="Times New Roman"/>
          <w:color w:val="7030A0"/>
          <w:sz w:val="24"/>
          <w:szCs w:val="24"/>
        </w:rPr>
        <w:t>)</w:t>
      </w:r>
      <w:r>
        <w:rPr>
          <w:rFonts w:ascii="Times New Roman" w:hAnsi="Times New Roman" w:cs="Times New Roman"/>
          <w:sz w:val="24"/>
          <w:szCs w:val="24"/>
        </w:rPr>
        <w:t xml:space="preserve"> Dárci podle něj mohou být pouze jednotlivci – ať už se jedná o samotné vlastníky podniku, či jeho zaměstnance (Porter a </w:t>
      </w:r>
      <w:proofErr w:type="spellStart"/>
      <w:r>
        <w:rPr>
          <w:rFonts w:ascii="Times New Roman" w:hAnsi="Times New Roman" w:cs="Times New Roman"/>
          <w:sz w:val="24"/>
          <w:szCs w:val="24"/>
        </w:rPr>
        <w:t>Kramer</w:t>
      </w:r>
      <w:proofErr w:type="spellEnd"/>
      <w:r>
        <w:rPr>
          <w:rFonts w:ascii="Times New Roman" w:hAnsi="Times New Roman" w:cs="Times New Roman"/>
          <w:sz w:val="24"/>
          <w:szCs w:val="24"/>
        </w:rPr>
        <w:t>, 2003, s. 30).</w:t>
      </w:r>
    </w:p>
    <w:p w:rsidR="006842AB" w:rsidRDefault="006842AB" w:rsidP="006842AB">
      <w:pPr>
        <w:spacing w:after="120"/>
        <w:jc w:val="both"/>
        <w:rPr>
          <w:rFonts w:ascii="Times New Roman" w:hAnsi="Times New Roman" w:cs="Times New Roman"/>
          <w:sz w:val="24"/>
          <w:szCs w:val="24"/>
        </w:rPr>
      </w:pPr>
      <w:proofErr w:type="spellStart"/>
      <w:r>
        <w:rPr>
          <w:rFonts w:ascii="Times New Roman" w:hAnsi="Times New Roman" w:cs="Times New Roman"/>
          <w:sz w:val="24"/>
          <w:szCs w:val="24"/>
        </w:rPr>
        <w:t>Friedmanovo</w:t>
      </w:r>
      <w:proofErr w:type="spellEnd"/>
      <w:r>
        <w:rPr>
          <w:rFonts w:ascii="Times New Roman" w:hAnsi="Times New Roman" w:cs="Times New Roman"/>
          <w:sz w:val="24"/>
          <w:szCs w:val="24"/>
        </w:rPr>
        <w:t xml:space="preserve"> tvrzení stojí na dvou předpokladech. První z nich je, že </w:t>
      </w:r>
      <w:r w:rsidRPr="00131C36">
        <w:rPr>
          <w:rFonts w:ascii="Times New Roman" w:hAnsi="Times New Roman" w:cs="Times New Roman"/>
          <w:b/>
          <w:sz w:val="24"/>
          <w:szCs w:val="24"/>
        </w:rPr>
        <w:t>ekonomické a společenské cíle jsou oddělené a odlišné</w:t>
      </w:r>
      <w:r>
        <w:rPr>
          <w:rFonts w:ascii="Times New Roman" w:hAnsi="Times New Roman" w:cs="Times New Roman"/>
          <w:sz w:val="24"/>
          <w:szCs w:val="24"/>
        </w:rPr>
        <w:t xml:space="preserve">. Z toho vyvozuje, že výdaje na společensky prospěšné aktivity jdou na úkor ekonomických výsledků podniku (Porter a </w:t>
      </w:r>
      <w:proofErr w:type="spellStart"/>
      <w:r>
        <w:rPr>
          <w:rFonts w:ascii="Times New Roman" w:hAnsi="Times New Roman" w:cs="Times New Roman"/>
          <w:sz w:val="24"/>
          <w:szCs w:val="24"/>
        </w:rPr>
        <w:t>Kramer</w:t>
      </w:r>
      <w:proofErr w:type="spellEnd"/>
      <w:r>
        <w:rPr>
          <w:rFonts w:ascii="Times New Roman" w:hAnsi="Times New Roman" w:cs="Times New Roman"/>
          <w:sz w:val="24"/>
          <w:szCs w:val="24"/>
        </w:rPr>
        <w:t xml:space="preserve">, 2003, s. 31). Filantropické aktivity realizované podnikem nazývá dokonce formou krádeže. Dle něj totiž jediným způsobem, jak mohou manažeři podniku získat dodatečné volné prostředky, je snížit dividendy, zvýšit ceny produktů či vyplácet menší mzdy, resp. je nenavyšovat, i když by to jinak bylo možné. Druhý předpoklad je postaven na myšlence, že </w:t>
      </w:r>
      <w:r w:rsidRPr="00131C36">
        <w:rPr>
          <w:rFonts w:ascii="Times New Roman" w:hAnsi="Times New Roman" w:cs="Times New Roman"/>
          <w:b/>
          <w:sz w:val="24"/>
          <w:szCs w:val="24"/>
        </w:rPr>
        <w:t>podnik</w:t>
      </w:r>
      <w:r w:rsidRPr="00FD57EE">
        <w:rPr>
          <w:rFonts w:ascii="Times New Roman" w:hAnsi="Times New Roman" w:cs="Times New Roman"/>
          <w:sz w:val="24"/>
          <w:szCs w:val="24"/>
        </w:rPr>
        <w:t>,</w:t>
      </w:r>
      <w:r>
        <w:rPr>
          <w:rFonts w:ascii="Times New Roman" w:hAnsi="Times New Roman" w:cs="Times New Roman"/>
          <w:sz w:val="24"/>
          <w:szCs w:val="24"/>
        </w:rPr>
        <w:t xml:space="preserve"> který se chce filantropicky angažovat, </w:t>
      </w:r>
      <w:r w:rsidRPr="00FD57EE">
        <w:rPr>
          <w:rFonts w:ascii="Times New Roman" w:hAnsi="Times New Roman" w:cs="Times New Roman"/>
          <w:b/>
          <w:sz w:val="24"/>
          <w:szCs w:val="24"/>
        </w:rPr>
        <w:t>nedisponuje žádnou výhodou oproti individuálnímu dárci</w:t>
      </w:r>
      <w:r>
        <w:rPr>
          <w:rFonts w:ascii="Times New Roman" w:hAnsi="Times New Roman" w:cs="Times New Roman"/>
          <w:sz w:val="24"/>
          <w:szCs w:val="24"/>
        </w:rPr>
        <w:t xml:space="preserve">. (Porter a </w:t>
      </w:r>
      <w:proofErr w:type="spellStart"/>
      <w:r>
        <w:rPr>
          <w:rFonts w:ascii="Times New Roman" w:hAnsi="Times New Roman" w:cs="Times New Roman"/>
          <w:sz w:val="24"/>
          <w:szCs w:val="24"/>
        </w:rPr>
        <w:t>Kramer</w:t>
      </w:r>
      <w:proofErr w:type="spellEnd"/>
      <w:r>
        <w:rPr>
          <w:rFonts w:ascii="Times New Roman" w:hAnsi="Times New Roman" w:cs="Times New Roman"/>
          <w:sz w:val="24"/>
          <w:szCs w:val="24"/>
        </w:rPr>
        <w:t>, 2003, s. 31).</w:t>
      </w:r>
    </w:p>
    <w:p w:rsidR="006842AB" w:rsidRDefault="006842AB" w:rsidP="006842AB">
      <w:pPr>
        <w:spacing w:after="120"/>
        <w:jc w:val="both"/>
        <w:rPr>
          <w:rFonts w:ascii="Times New Roman" w:hAnsi="Times New Roman" w:cs="Times New Roman"/>
          <w:sz w:val="24"/>
          <w:szCs w:val="24"/>
        </w:rPr>
      </w:pPr>
      <w:r>
        <w:rPr>
          <w:rFonts w:ascii="Times New Roman" w:hAnsi="Times New Roman" w:cs="Times New Roman"/>
          <w:sz w:val="24"/>
          <w:szCs w:val="24"/>
        </w:rPr>
        <w:t xml:space="preserve">Ani s jednou z výše uvedených tezí </w:t>
      </w:r>
      <w:r w:rsidRPr="00FD57EE">
        <w:rPr>
          <w:rFonts w:ascii="Times New Roman" w:hAnsi="Times New Roman" w:cs="Times New Roman"/>
          <w:b/>
          <w:sz w:val="24"/>
          <w:szCs w:val="24"/>
        </w:rPr>
        <w:t>Porter s </w:t>
      </w:r>
      <w:proofErr w:type="spellStart"/>
      <w:r w:rsidRPr="00FD57EE">
        <w:rPr>
          <w:rFonts w:ascii="Times New Roman" w:hAnsi="Times New Roman" w:cs="Times New Roman"/>
          <w:b/>
          <w:sz w:val="24"/>
          <w:szCs w:val="24"/>
        </w:rPr>
        <w:t>Kramerem</w:t>
      </w:r>
      <w:proofErr w:type="spellEnd"/>
      <w:r>
        <w:rPr>
          <w:rFonts w:ascii="Times New Roman" w:hAnsi="Times New Roman" w:cs="Times New Roman"/>
          <w:sz w:val="24"/>
          <w:szCs w:val="24"/>
        </w:rPr>
        <w:t xml:space="preserve"> plně </w:t>
      </w:r>
      <w:r w:rsidRPr="00FD57EE">
        <w:rPr>
          <w:rFonts w:ascii="Times New Roman" w:hAnsi="Times New Roman" w:cs="Times New Roman"/>
          <w:b/>
          <w:sz w:val="24"/>
          <w:szCs w:val="24"/>
        </w:rPr>
        <w:t>nesouhlasí</w:t>
      </w:r>
      <w:r>
        <w:rPr>
          <w:rFonts w:ascii="Times New Roman" w:hAnsi="Times New Roman" w:cs="Times New Roman"/>
          <w:sz w:val="24"/>
          <w:szCs w:val="24"/>
        </w:rPr>
        <w:t xml:space="preserve">. Pokud totiž podniky začnou přistupovat k vedení svých filantropických aktivit strategicky, zlepší kvalitu prostředí, ve kterém podnikají. To se následně odrazí ve zvýšení pravděpodobnosti zachování existence v dlouhém období. A právě tímto způsobem dle nich dochází k propojení ekonomických cílů s cíli sociálními (Porter a </w:t>
      </w:r>
      <w:proofErr w:type="spellStart"/>
      <w:r>
        <w:rPr>
          <w:rFonts w:ascii="Times New Roman" w:hAnsi="Times New Roman" w:cs="Times New Roman"/>
          <w:sz w:val="24"/>
          <w:szCs w:val="24"/>
        </w:rPr>
        <w:t>Kramer</w:t>
      </w:r>
      <w:proofErr w:type="spellEnd"/>
      <w:r>
        <w:rPr>
          <w:rFonts w:ascii="Times New Roman" w:hAnsi="Times New Roman" w:cs="Times New Roman"/>
          <w:sz w:val="24"/>
          <w:szCs w:val="24"/>
        </w:rPr>
        <w:t xml:space="preserve">, 2003, s. 31). Proto tedy mluví o tzv. </w:t>
      </w:r>
      <w:r w:rsidRPr="00FD57EE">
        <w:rPr>
          <w:rFonts w:ascii="Times New Roman" w:hAnsi="Times New Roman" w:cs="Times New Roman"/>
          <w:b/>
          <w:sz w:val="24"/>
          <w:szCs w:val="24"/>
        </w:rPr>
        <w:t>strategické filantropii</w:t>
      </w:r>
      <w:r>
        <w:rPr>
          <w:rFonts w:ascii="Times New Roman" w:hAnsi="Times New Roman" w:cs="Times New Roman"/>
          <w:sz w:val="24"/>
          <w:szCs w:val="24"/>
        </w:rPr>
        <w:t xml:space="preserve">. Vymezují ji oproti „tradiční“ filantropii, kterou popisují jako nezacílenou aktivitu na určitý typ </w:t>
      </w:r>
      <w:proofErr w:type="spellStart"/>
      <w:r>
        <w:rPr>
          <w:rFonts w:ascii="Times New Roman" w:hAnsi="Times New Roman" w:cs="Times New Roman"/>
          <w:sz w:val="24"/>
          <w:szCs w:val="24"/>
        </w:rPr>
        <w:t>stakeholderů</w:t>
      </w:r>
      <w:proofErr w:type="spellEnd"/>
      <w:r>
        <w:rPr>
          <w:rFonts w:ascii="Times New Roman" w:hAnsi="Times New Roman" w:cs="Times New Roman"/>
          <w:sz w:val="24"/>
          <w:szCs w:val="24"/>
        </w:rPr>
        <w:t xml:space="preserve">, jež navíc nezohledňuje produkci podniku, jeho cíle a kompetence (Porter a </w:t>
      </w:r>
      <w:proofErr w:type="spellStart"/>
      <w:r>
        <w:rPr>
          <w:rFonts w:ascii="Times New Roman" w:hAnsi="Times New Roman" w:cs="Times New Roman"/>
          <w:sz w:val="24"/>
          <w:szCs w:val="24"/>
        </w:rPr>
        <w:t>Kramer</w:t>
      </w:r>
      <w:proofErr w:type="spellEnd"/>
      <w:r>
        <w:rPr>
          <w:rFonts w:ascii="Times New Roman" w:hAnsi="Times New Roman" w:cs="Times New Roman"/>
          <w:sz w:val="24"/>
          <w:szCs w:val="24"/>
        </w:rPr>
        <w:t xml:space="preserve">, 2003). Jsou také toho názoru, že podnik má proti individuálním dárcům jednu nespornou výhodu. Ta spočívá ve skutečnosti, že na rozdíl od nich disponuje rozsáhlými intelektuálními zdroji, které může zapojit do rozhodování o volbě konkrétních filantropických aktivit, jejich realizace a vyhodnocování (Porter a </w:t>
      </w:r>
      <w:proofErr w:type="spellStart"/>
      <w:r>
        <w:rPr>
          <w:rFonts w:ascii="Times New Roman" w:hAnsi="Times New Roman" w:cs="Times New Roman"/>
          <w:sz w:val="24"/>
          <w:szCs w:val="24"/>
        </w:rPr>
        <w:t>Kramer</w:t>
      </w:r>
      <w:proofErr w:type="spellEnd"/>
      <w:r>
        <w:rPr>
          <w:rFonts w:ascii="Times New Roman" w:hAnsi="Times New Roman" w:cs="Times New Roman"/>
          <w:sz w:val="24"/>
          <w:szCs w:val="24"/>
        </w:rPr>
        <w:t xml:space="preserve">, 2003, s. 31). </w:t>
      </w:r>
    </w:p>
    <w:p w:rsidR="006842AB" w:rsidRPr="009503A3" w:rsidRDefault="006842AB" w:rsidP="006842AB">
      <w:pPr>
        <w:rPr>
          <w:rFonts w:ascii="Times New Roman" w:hAnsi="Times New Roman" w:cs="Times New Roman"/>
          <w:sz w:val="24"/>
          <w:szCs w:val="24"/>
        </w:rPr>
      </w:pPr>
    </w:p>
    <w:p w:rsidR="006842AB" w:rsidRPr="009503A3" w:rsidRDefault="00590171" w:rsidP="006842AB">
      <w:pPr>
        <w:rPr>
          <w:rFonts w:ascii="Times New Roman" w:hAnsi="Times New Roman" w:cs="Times New Roman"/>
          <w:sz w:val="24"/>
          <w:szCs w:val="24"/>
        </w:rPr>
      </w:pPr>
      <w:r>
        <w:rPr>
          <w:rFonts w:ascii="Times New Roman" w:hAnsi="Times New Roman" w:cs="Times New Roman"/>
          <w:sz w:val="24"/>
          <w:szCs w:val="24"/>
        </w:rPr>
        <w:t xml:space="preserve">Převzato z: </w:t>
      </w:r>
      <w:bookmarkStart w:id="0" w:name="_GoBack"/>
      <w:bookmarkEnd w:id="0"/>
      <w:r>
        <w:fldChar w:fldCharType="begin"/>
      </w:r>
      <w:r>
        <w:instrText xml:space="preserve"> HYPERLINK "https://is.muni.cz/auth/osoba/16090?lang=cs" </w:instrText>
      </w:r>
      <w:r>
        <w:fldChar w:fldCharType="separate"/>
      </w:r>
      <w:r w:rsidR="006842AB" w:rsidRPr="009503A3">
        <w:rPr>
          <w:rStyle w:val="Hypertextovodkaz"/>
          <w:rFonts w:ascii="Times New Roman" w:hAnsi="Times New Roman" w:cs="Times New Roman"/>
          <w:color w:val="333333"/>
          <w:sz w:val="24"/>
          <w:szCs w:val="24"/>
          <w:u w:val="none"/>
        </w:rPr>
        <w:t>KAŠPAROVÁ, Klára</w:t>
      </w:r>
      <w:r>
        <w:rPr>
          <w:rStyle w:val="Hypertextovodkaz"/>
          <w:rFonts w:ascii="Times New Roman" w:hAnsi="Times New Roman" w:cs="Times New Roman"/>
          <w:color w:val="333333"/>
          <w:sz w:val="24"/>
          <w:szCs w:val="24"/>
          <w:u w:val="none"/>
        </w:rPr>
        <w:fldChar w:fldCharType="end"/>
      </w:r>
      <w:r w:rsidR="006842AB" w:rsidRPr="009503A3">
        <w:rPr>
          <w:rFonts w:ascii="Times New Roman" w:hAnsi="Times New Roman" w:cs="Times New Roman"/>
          <w:sz w:val="24"/>
          <w:szCs w:val="24"/>
        </w:rPr>
        <w:t xml:space="preserve"> a Vilém KUNZ. </w:t>
      </w:r>
      <w:r w:rsidR="006842AB" w:rsidRPr="009503A3">
        <w:rPr>
          <w:rFonts w:ascii="Times New Roman" w:hAnsi="Times New Roman" w:cs="Times New Roman"/>
          <w:i/>
          <w:iCs/>
          <w:sz w:val="24"/>
          <w:szCs w:val="24"/>
        </w:rPr>
        <w:t>Moderní přístupy ke společenské odpovědnosti firem a CSR reportování</w:t>
      </w:r>
      <w:r w:rsidR="006842AB" w:rsidRPr="009503A3">
        <w:rPr>
          <w:rFonts w:ascii="Times New Roman" w:hAnsi="Times New Roman" w:cs="Times New Roman"/>
          <w:sz w:val="24"/>
          <w:szCs w:val="24"/>
        </w:rPr>
        <w:t xml:space="preserve">. 1. vyd. Praha: </w:t>
      </w:r>
      <w:proofErr w:type="spellStart"/>
      <w:r w:rsidR="006842AB" w:rsidRPr="009503A3">
        <w:rPr>
          <w:rFonts w:ascii="Times New Roman" w:hAnsi="Times New Roman" w:cs="Times New Roman"/>
          <w:sz w:val="24"/>
          <w:szCs w:val="24"/>
        </w:rPr>
        <w:t>Grada</w:t>
      </w:r>
      <w:proofErr w:type="spellEnd"/>
      <w:r w:rsidR="006842AB" w:rsidRPr="009503A3">
        <w:rPr>
          <w:rFonts w:ascii="Times New Roman" w:hAnsi="Times New Roman" w:cs="Times New Roman"/>
          <w:sz w:val="24"/>
          <w:szCs w:val="24"/>
        </w:rPr>
        <w:t xml:space="preserve"> </w:t>
      </w:r>
      <w:proofErr w:type="spellStart"/>
      <w:r w:rsidR="006842AB" w:rsidRPr="009503A3">
        <w:rPr>
          <w:rFonts w:ascii="Times New Roman" w:hAnsi="Times New Roman" w:cs="Times New Roman"/>
          <w:sz w:val="24"/>
          <w:szCs w:val="24"/>
        </w:rPr>
        <w:t>Publishing</w:t>
      </w:r>
      <w:proofErr w:type="spellEnd"/>
      <w:r w:rsidR="006842AB" w:rsidRPr="009503A3">
        <w:rPr>
          <w:rFonts w:ascii="Times New Roman" w:hAnsi="Times New Roman" w:cs="Times New Roman"/>
          <w:sz w:val="24"/>
          <w:szCs w:val="24"/>
        </w:rPr>
        <w:t>, 2013. 160 s. ISBN 978-80-247-4480-3.</w:t>
      </w:r>
      <w:r w:rsidR="006842AB">
        <w:rPr>
          <w:rFonts w:ascii="Times New Roman" w:hAnsi="Times New Roman" w:cs="Times New Roman"/>
          <w:sz w:val="24"/>
          <w:szCs w:val="24"/>
        </w:rPr>
        <w:t xml:space="preserve"> s. 80</w:t>
      </w:r>
    </w:p>
    <w:p w:rsidR="00C349D9" w:rsidRDefault="00C349D9"/>
    <w:sectPr w:rsidR="00C34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AB"/>
    <w:rsid w:val="004E626C"/>
    <w:rsid w:val="00590171"/>
    <w:rsid w:val="006842AB"/>
    <w:rsid w:val="00C34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2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842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2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8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2438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3</cp:revision>
  <dcterms:created xsi:type="dcterms:W3CDTF">2015-09-09T13:33:00Z</dcterms:created>
  <dcterms:modified xsi:type="dcterms:W3CDTF">2015-09-10T14:44:00Z</dcterms:modified>
</cp:coreProperties>
</file>