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0B7" w:rsidRDefault="00A350B7" w:rsidP="007973C1">
      <w:pPr>
        <w:spacing w:line="312" w:lineRule="auto"/>
        <w:jc w:val="center"/>
        <w:rPr>
          <w:b/>
          <w:u w:val="single"/>
        </w:rPr>
      </w:pPr>
      <w:r>
        <w:rPr>
          <w:b/>
          <w:u w:val="single"/>
        </w:rPr>
        <w:t>MAKRO 4 - Trh práce a nerovnost v</w:t>
      </w:r>
      <w:r w:rsidR="0067434A">
        <w:rPr>
          <w:b/>
          <w:u w:val="single"/>
        </w:rPr>
        <w:t> </w:t>
      </w:r>
      <w:r>
        <w:rPr>
          <w:b/>
          <w:u w:val="single"/>
        </w:rPr>
        <w:t>důchodech</w:t>
      </w:r>
      <w:r w:rsidR="0067434A">
        <w:rPr>
          <w:b/>
          <w:u w:val="single"/>
        </w:rPr>
        <w:t xml:space="preserve"> (</w:t>
      </w:r>
      <w:r w:rsidR="006B7C04">
        <w:rPr>
          <w:b/>
          <w:u w:val="single"/>
        </w:rPr>
        <w:t>K 26 a 20)</w:t>
      </w:r>
    </w:p>
    <w:p w:rsidR="000D1250" w:rsidRDefault="000D1250" w:rsidP="00E4197F">
      <w:pPr>
        <w:pBdr>
          <w:bottom w:val="single" w:sz="6" w:space="1" w:color="auto"/>
        </w:pBdr>
        <w:spacing w:line="240" w:lineRule="auto"/>
        <w:rPr>
          <w:i/>
        </w:rPr>
      </w:pPr>
      <w:r>
        <w:rPr>
          <w:i/>
        </w:rPr>
        <w:t>Opakování</w:t>
      </w:r>
      <w:r>
        <w:t>:</w:t>
      </w:r>
      <w:r>
        <w:rPr>
          <w:i/>
        </w:rPr>
        <w:t xml:space="preserve"> </w:t>
      </w:r>
      <w:r w:rsidR="00E4197F">
        <w:rPr>
          <w:i/>
        </w:rPr>
        <w:t xml:space="preserve">Co znamená, že dochází k ekonomickému růstu? </w:t>
      </w:r>
      <w:r w:rsidR="00E4197F" w:rsidRPr="00E4197F">
        <w:rPr>
          <w:i/>
        </w:rPr>
        <w:t>Proč mohou chudší země růst rychleji než země bohaté?</w:t>
      </w:r>
      <w:r w:rsidR="00E4197F">
        <w:rPr>
          <w:i/>
        </w:rPr>
        <w:t xml:space="preserve"> Co zachycuje produkční funkce? Definujte extenzivní a intenzivní faktory růstu. Uveďte konkrétní příklady extenzivních a intenzivních faktorů. Jaké dopady na ekonomiku má zahraniční obchod? Jak dělíme instituce? Uveďte příklady. Jaké jsou kauzální vazby mezi například investicemi a ekonomickým růstem? Jaký je rozdíl mezi re</w:t>
      </w:r>
      <w:r w:rsidR="003D05B6">
        <w:rPr>
          <w:i/>
        </w:rPr>
        <w:t>álným a nominálním růstem mezd?</w:t>
      </w:r>
    </w:p>
    <w:p w:rsidR="00AC0362" w:rsidRDefault="00AC0362">
      <w:pPr>
        <w:pStyle w:val="Seznamsodrkami"/>
        <w:numPr>
          <w:ilvl w:val="0"/>
          <w:numId w:val="0"/>
        </w:numPr>
        <w:spacing w:line="288" w:lineRule="auto"/>
        <w:ind w:left="283" w:hanging="283"/>
        <w:rPr>
          <w:b/>
          <w:u w:val="single"/>
        </w:rPr>
      </w:pPr>
    </w:p>
    <w:p w:rsidR="000D1250" w:rsidRDefault="000D1250">
      <w:pPr>
        <w:pStyle w:val="Seznamsodrkami"/>
        <w:numPr>
          <w:ilvl w:val="0"/>
          <w:numId w:val="0"/>
        </w:numPr>
        <w:spacing w:line="288" w:lineRule="auto"/>
        <w:ind w:left="283" w:hanging="283"/>
        <w:rPr>
          <w:b/>
          <w:u w:val="single"/>
        </w:rPr>
      </w:pPr>
      <w:r>
        <w:rPr>
          <w:b/>
          <w:u w:val="single"/>
        </w:rPr>
        <w:t>Trh práce</w:t>
      </w:r>
    </w:p>
    <w:p w:rsidR="008359F0" w:rsidRDefault="00E6508A" w:rsidP="008359F0">
      <w:pPr>
        <w:spacing w:line="240" w:lineRule="auto"/>
        <w:rPr>
          <w:b/>
        </w:rPr>
      </w:pPr>
      <w:r>
        <w:rPr>
          <w:b/>
        </w:rPr>
        <w:t>Základní termíny: míra nezaměstnanosti, ekonomická participace …</w:t>
      </w:r>
    </w:p>
    <w:p w:rsidR="00C07BE2" w:rsidRDefault="00C07BE2" w:rsidP="00A139EF">
      <w:pPr>
        <w:spacing w:line="276" w:lineRule="auto"/>
        <w:rPr>
          <w:i/>
        </w:rPr>
      </w:pPr>
      <w:r>
        <w:rPr>
          <w:i/>
        </w:rPr>
        <w:t>Načrtněte trh práce, kdo tvoří nabídku a kdo poptávku po práci? Jak vypadá rovnováha na tomto trhu?</w:t>
      </w:r>
    </w:p>
    <w:p w:rsidR="000D1250" w:rsidRDefault="00E4197F" w:rsidP="00A139EF">
      <w:pPr>
        <w:spacing w:line="276" w:lineRule="auto"/>
        <w:rPr>
          <w:i/>
        </w:rPr>
      </w:pPr>
      <w:r>
        <w:rPr>
          <w:i/>
        </w:rPr>
        <w:t>Jak se dělí dospělá populace z pohledu trhu práce? Uveďte důvody ekonomické neaktivity.</w:t>
      </w:r>
    </w:p>
    <w:p w:rsidR="00C27D5A" w:rsidRPr="00C27D5A" w:rsidRDefault="00C27D5A" w:rsidP="00A139EF">
      <w:pPr>
        <w:spacing w:line="276" w:lineRule="auto"/>
        <w:rPr>
          <w:i/>
        </w:rPr>
      </w:pPr>
      <w:r w:rsidRPr="00C27D5A">
        <w:rPr>
          <w:i/>
        </w:rPr>
        <w:t xml:space="preserve">Co </w:t>
      </w:r>
      <w:r>
        <w:rPr>
          <w:i/>
        </w:rPr>
        <w:t>je nutná podmínka pro započítání člověka mezi ekonomicky aktivní?</w:t>
      </w:r>
    </w:p>
    <w:p w:rsidR="000D1250" w:rsidRDefault="008359F0" w:rsidP="00A139EF">
      <w:pPr>
        <w:spacing w:line="276" w:lineRule="auto"/>
        <w:rPr>
          <w:i/>
        </w:rPr>
      </w:pPr>
      <w:r>
        <w:rPr>
          <w:i/>
        </w:rPr>
        <w:t xml:space="preserve">Jak se definuje míra nezaměstnanosti? </w:t>
      </w:r>
      <w:r w:rsidR="00664190">
        <w:rPr>
          <w:i/>
        </w:rPr>
        <w:t>Jak se liší míra nezaměstnanosti v ČR dle vzdělání, dle krajů, věku?</w:t>
      </w:r>
      <w:r>
        <w:rPr>
          <w:i/>
        </w:rPr>
        <w:t xml:space="preserve"> Jak se definuje míra ekonomické participace? </w:t>
      </w:r>
      <w:r w:rsidR="00C27D5A" w:rsidRPr="00C27D5A">
        <w:rPr>
          <w:i/>
        </w:rPr>
        <w:t xml:space="preserve">Jak </w:t>
      </w:r>
      <w:r w:rsidR="00C27D5A">
        <w:rPr>
          <w:i/>
        </w:rPr>
        <w:t xml:space="preserve">se bude lišit míra </w:t>
      </w:r>
      <w:proofErr w:type="spellStart"/>
      <w:r w:rsidR="00C27D5A">
        <w:rPr>
          <w:i/>
        </w:rPr>
        <w:t>ek</w:t>
      </w:r>
      <w:proofErr w:type="spellEnd"/>
      <w:r w:rsidR="00C27D5A">
        <w:rPr>
          <w:i/>
        </w:rPr>
        <w:t xml:space="preserve">. participace pro obyvatele ve věku 15-20 a 35-40? </w:t>
      </w:r>
      <w:r w:rsidR="00664190">
        <w:rPr>
          <w:i/>
        </w:rPr>
        <w:t xml:space="preserve">Jak se míra participace liší mezi jednotlivými </w:t>
      </w:r>
      <w:r w:rsidR="00C07BE2">
        <w:rPr>
          <w:i/>
        </w:rPr>
        <w:t>m</w:t>
      </w:r>
      <w:r w:rsidR="00165DA4">
        <w:rPr>
          <w:i/>
        </w:rPr>
        <w:t>ezi pohlavími?</w:t>
      </w:r>
      <w:r w:rsidR="007A12F1">
        <w:rPr>
          <w:i/>
        </w:rPr>
        <w:t xml:space="preserve"> A proč?</w:t>
      </w:r>
      <w:r w:rsidR="009E62FC">
        <w:rPr>
          <w:i/>
        </w:rPr>
        <w:t xml:space="preserve"> </w:t>
      </w:r>
      <w:r w:rsidR="009E62FC" w:rsidRPr="00882462">
        <w:rPr>
          <w:i/>
        </w:rPr>
        <w:t xml:space="preserve">Spočítejte příklady č. </w:t>
      </w:r>
      <w:r w:rsidR="008F0B72">
        <w:rPr>
          <w:i/>
        </w:rPr>
        <w:t>1</w:t>
      </w:r>
      <w:r w:rsidR="009E62FC" w:rsidRPr="00882462">
        <w:rPr>
          <w:i/>
        </w:rPr>
        <w:t xml:space="preserve"> a </w:t>
      </w:r>
      <w:r w:rsidR="008F0B72">
        <w:rPr>
          <w:i/>
        </w:rPr>
        <w:t>2</w:t>
      </w:r>
      <w:r w:rsidR="009E62FC" w:rsidRPr="00882462">
        <w:rPr>
          <w:i/>
        </w:rPr>
        <w:t>.</w:t>
      </w:r>
    </w:p>
    <w:p w:rsidR="00C30CC8" w:rsidRDefault="00C30CC8" w:rsidP="00A139EF">
      <w:pPr>
        <w:spacing w:line="276" w:lineRule="auto"/>
        <w:rPr>
          <w:b/>
          <w:sz w:val="22"/>
          <w:szCs w:val="22"/>
        </w:rPr>
      </w:pPr>
    </w:p>
    <w:p w:rsidR="00C30CC8" w:rsidRDefault="00C30CC8" w:rsidP="0066419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Příklad </w:t>
      </w:r>
      <w:r w:rsidRPr="00AD3AC1">
        <w:rPr>
          <w:b/>
          <w:sz w:val="22"/>
          <w:szCs w:val="22"/>
        </w:rPr>
        <w:t>č.</w:t>
      </w:r>
      <w:r>
        <w:rPr>
          <w:b/>
          <w:sz w:val="22"/>
          <w:szCs w:val="22"/>
        </w:rPr>
        <w:t xml:space="preserve"> 1:</w:t>
      </w:r>
    </w:p>
    <w:p w:rsidR="00C30CC8" w:rsidRDefault="00C30CC8" w:rsidP="00C30CC8">
      <w:pPr>
        <w:tabs>
          <w:tab w:val="left" w:pos="4635"/>
        </w:tabs>
        <w:spacing w:line="240" w:lineRule="auto"/>
        <w:rPr>
          <w:sz w:val="22"/>
          <w:szCs w:val="22"/>
        </w:rPr>
      </w:pPr>
      <w:r w:rsidRPr="00A139EF">
        <w:rPr>
          <w:sz w:val="22"/>
          <w:szCs w:val="22"/>
        </w:rPr>
        <w:t xml:space="preserve">V Brně je 175 000 osob v placeném zaměstnání na úvazek. 41 000 živnostníků. 32 000 lidí práci nemá, ale aktivně si ji hledá. </w:t>
      </w:r>
      <w:r w:rsidRPr="00E44460">
        <w:rPr>
          <w:sz w:val="22"/>
          <w:szCs w:val="22"/>
        </w:rPr>
        <w:t>Celkový počet lidí starších 15 let mimo pracovní sílu dosahuje</w:t>
      </w:r>
      <w:r>
        <w:rPr>
          <w:sz w:val="22"/>
          <w:szCs w:val="22"/>
        </w:rPr>
        <w:t xml:space="preserve"> </w:t>
      </w:r>
      <w:r w:rsidRPr="00A139EF">
        <w:rPr>
          <w:sz w:val="22"/>
          <w:szCs w:val="22"/>
        </w:rPr>
        <w:t>142</w:t>
      </w:r>
      <w:r>
        <w:rPr>
          <w:sz w:val="22"/>
          <w:szCs w:val="22"/>
        </w:rPr>
        <w:t> </w:t>
      </w:r>
      <w:r w:rsidRPr="00A139EF">
        <w:rPr>
          <w:sz w:val="22"/>
          <w:szCs w:val="22"/>
        </w:rPr>
        <w:t>000</w:t>
      </w:r>
      <w:r>
        <w:rPr>
          <w:sz w:val="22"/>
          <w:szCs w:val="22"/>
        </w:rPr>
        <w:t xml:space="preserve">. </w:t>
      </w:r>
      <w:r w:rsidRPr="00E97BA8">
        <w:rPr>
          <w:sz w:val="22"/>
          <w:szCs w:val="22"/>
        </w:rPr>
        <w:t>Počet odrazených pracovníků dosahuje 1</w:t>
      </w:r>
      <w:r>
        <w:rPr>
          <w:sz w:val="22"/>
          <w:szCs w:val="22"/>
        </w:rPr>
        <w:t>0</w:t>
      </w:r>
      <w:r w:rsidRPr="00E97BA8">
        <w:rPr>
          <w:sz w:val="22"/>
          <w:szCs w:val="22"/>
        </w:rPr>
        <w:t xml:space="preserve"> tis</w:t>
      </w:r>
      <w:r>
        <w:rPr>
          <w:sz w:val="22"/>
          <w:szCs w:val="22"/>
        </w:rPr>
        <w:t xml:space="preserve">. Je zde 25 000 studentů starších 15 let v prezenční formě studia a 9500 dětí do 12 let. </w:t>
      </w:r>
    </w:p>
    <w:p w:rsidR="00C30CC8" w:rsidRPr="00E97BA8" w:rsidRDefault="00C30CC8" w:rsidP="00E44460">
      <w:pPr>
        <w:tabs>
          <w:tab w:val="left" w:pos="4635"/>
        </w:tabs>
        <w:spacing w:line="240" w:lineRule="auto"/>
        <w:rPr>
          <w:b/>
          <w:sz w:val="22"/>
          <w:szCs w:val="22"/>
        </w:rPr>
      </w:pPr>
      <w:r w:rsidRPr="00E97BA8">
        <w:rPr>
          <w:sz w:val="22"/>
          <w:szCs w:val="22"/>
        </w:rPr>
        <w:t xml:space="preserve">Jaká je celková </w:t>
      </w:r>
      <w:r>
        <w:rPr>
          <w:sz w:val="22"/>
          <w:szCs w:val="22"/>
        </w:rPr>
        <w:t xml:space="preserve">dospělá </w:t>
      </w:r>
      <w:r w:rsidRPr="00E97BA8">
        <w:rPr>
          <w:sz w:val="22"/>
          <w:szCs w:val="22"/>
        </w:rPr>
        <w:t>populace ve městě? Jak velká je pracovní síla? Kolik procent dosahuje nezaměstnanost? Jak vysoká je pracovní participace?</w:t>
      </w:r>
    </w:p>
    <w:p w:rsidR="00C30CC8" w:rsidRDefault="00C30CC8" w:rsidP="00664190">
      <w:pPr>
        <w:spacing w:line="240" w:lineRule="auto"/>
        <w:rPr>
          <w:sz w:val="22"/>
          <w:szCs w:val="22"/>
        </w:rPr>
      </w:pPr>
    </w:p>
    <w:p w:rsidR="00C30CC8" w:rsidRDefault="00C30CC8" w:rsidP="00C30CC8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Příklad </w:t>
      </w:r>
      <w:r w:rsidRPr="00AD3AC1">
        <w:rPr>
          <w:b/>
          <w:sz w:val="22"/>
          <w:szCs w:val="22"/>
        </w:rPr>
        <w:t>č.</w:t>
      </w:r>
      <w:r>
        <w:rPr>
          <w:b/>
          <w:sz w:val="22"/>
          <w:szCs w:val="22"/>
        </w:rPr>
        <w:t xml:space="preserve"> 2:</w:t>
      </w:r>
    </w:p>
    <w:p w:rsidR="00A5077C" w:rsidRDefault="00A5077C" w:rsidP="00A5077C">
      <w:pPr>
        <w:keepNext/>
        <w:keepLines/>
        <w:suppressAutoHyphens/>
        <w:spacing w:line="240" w:lineRule="auto"/>
        <w:rPr>
          <w:color w:val="000000"/>
          <w:sz w:val="22"/>
          <w:szCs w:val="22"/>
        </w:rPr>
      </w:pPr>
      <w:r w:rsidRPr="00E97BA8">
        <w:rPr>
          <w:color w:val="000000"/>
          <w:sz w:val="22"/>
          <w:szCs w:val="22"/>
        </w:rPr>
        <w:t>Doplňte tabulku. Všechny údaje jsou v</w:t>
      </w:r>
      <w:r>
        <w:rPr>
          <w:color w:val="000000"/>
          <w:sz w:val="22"/>
          <w:szCs w:val="22"/>
        </w:rPr>
        <w:t> </w:t>
      </w:r>
      <w:r w:rsidRPr="00E97BA8">
        <w:rPr>
          <w:color w:val="000000"/>
          <w:sz w:val="22"/>
          <w:szCs w:val="22"/>
        </w:rPr>
        <w:t>tisících</w:t>
      </w:r>
      <w:r>
        <w:rPr>
          <w:color w:val="000000"/>
          <w:sz w:val="22"/>
          <w:szCs w:val="22"/>
        </w:rPr>
        <w:t>,</w:t>
      </w:r>
      <w:r w:rsidRPr="00E97BA8">
        <w:rPr>
          <w:color w:val="000000"/>
          <w:sz w:val="22"/>
          <w:szCs w:val="22"/>
        </w:rPr>
        <w:t xml:space="preserve"> resp. </w:t>
      </w:r>
      <w:r>
        <w:rPr>
          <w:color w:val="000000"/>
          <w:sz w:val="22"/>
          <w:szCs w:val="22"/>
        </w:rPr>
        <w:t>p</w:t>
      </w:r>
      <w:r w:rsidRPr="00E97BA8">
        <w:rPr>
          <w:color w:val="000000"/>
          <w:sz w:val="22"/>
          <w:szCs w:val="22"/>
        </w:rPr>
        <w:t>rocentech</w:t>
      </w:r>
      <w:r>
        <w:rPr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3"/>
        <w:gridCol w:w="1644"/>
        <w:gridCol w:w="1315"/>
        <w:gridCol w:w="1466"/>
        <w:gridCol w:w="1732"/>
        <w:gridCol w:w="2057"/>
        <w:gridCol w:w="1866"/>
      </w:tblGrid>
      <w:tr w:rsidR="00835A1E" w:rsidTr="00A139E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Země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Dospělá populace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 xml:space="preserve">Pracovní síla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Zaměstnaných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 xml:space="preserve">Nezaměstnaných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Míra nezaměstnanosti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Pracovní participace</w:t>
            </w:r>
          </w:p>
        </w:tc>
      </w:tr>
      <w:tr w:rsidR="00835A1E" w:rsidTr="00A139E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6.893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5.114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A1E" w:rsidTr="00A139E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SVK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2.738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35A1E">
              <w:rPr>
                <w:color w:val="000000"/>
                <w:sz w:val="22"/>
                <w:szCs w:val="22"/>
              </w:rPr>
              <w:t>73,09</w:t>
            </w:r>
            <w:r w:rsidR="003906F7">
              <w:rPr>
                <w:color w:val="000000"/>
                <w:sz w:val="22"/>
                <w:szCs w:val="22"/>
              </w:rPr>
              <w:t>%</w:t>
            </w:r>
            <w:proofErr w:type="gramEnd"/>
          </w:p>
        </w:tc>
      </w:tr>
      <w:tr w:rsidR="00835A1E" w:rsidTr="00A139EF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6D4E8B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POL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24.038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>16.853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  <w:r w:rsidRPr="00835A1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35A1E">
              <w:rPr>
                <w:color w:val="000000"/>
                <w:sz w:val="22"/>
                <w:szCs w:val="22"/>
              </w:rPr>
              <w:t>5,0</w:t>
            </w:r>
            <w:r w:rsidR="003906F7">
              <w:rPr>
                <w:color w:val="000000"/>
                <w:sz w:val="22"/>
                <w:szCs w:val="22"/>
              </w:rPr>
              <w:t>08%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5A1E" w:rsidRPr="00835A1E" w:rsidRDefault="00835A1E" w:rsidP="00835A1E">
            <w:pPr>
              <w:keepNext/>
              <w:keepLines/>
              <w:suppressAutoHyphens/>
              <w:spacing w:line="240" w:lineRule="auto"/>
              <w:ind w:hanging="9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30CC8" w:rsidRPr="00A139EF" w:rsidRDefault="00E44460" w:rsidP="00A139EF">
      <w:pPr>
        <w:spacing w:line="240" w:lineRule="auto"/>
        <w:jc w:val="right"/>
        <w:rPr>
          <w:sz w:val="18"/>
          <w:szCs w:val="22"/>
        </w:rPr>
      </w:pPr>
      <w:r>
        <w:rPr>
          <w:sz w:val="18"/>
          <w:szCs w:val="22"/>
        </w:rPr>
        <w:t xml:space="preserve">Source: </w:t>
      </w:r>
      <w:proofErr w:type="spellStart"/>
      <w:r>
        <w:rPr>
          <w:sz w:val="18"/>
          <w:szCs w:val="22"/>
        </w:rPr>
        <w:t>Eurostat</w:t>
      </w:r>
      <w:proofErr w:type="spellEnd"/>
      <w:r>
        <w:rPr>
          <w:sz w:val="18"/>
          <w:szCs w:val="22"/>
        </w:rPr>
        <w:t>; 2017</w:t>
      </w:r>
    </w:p>
    <w:p w:rsidR="003216C2" w:rsidRPr="00E44460" w:rsidRDefault="00664190" w:rsidP="00E44460">
      <w:pPr>
        <w:pStyle w:val="Seznamsodrkami"/>
        <w:numPr>
          <w:ilvl w:val="0"/>
          <w:numId w:val="1"/>
        </w:numPr>
        <w:spacing w:line="288" w:lineRule="auto"/>
        <w:rPr>
          <w:b/>
        </w:rPr>
      </w:pPr>
      <w:r w:rsidRPr="00664190">
        <w:rPr>
          <w:b/>
        </w:rPr>
        <w:t xml:space="preserve">přirozená míra </w:t>
      </w:r>
      <w:r w:rsidR="007B40E6">
        <w:rPr>
          <w:b/>
        </w:rPr>
        <w:t>U</w:t>
      </w:r>
      <w:r>
        <w:rPr>
          <w:b/>
        </w:rPr>
        <w:t xml:space="preserve"> – </w:t>
      </w:r>
      <w:r w:rsidR="0005030A" w:rsidRPr="0005030A">
        <w:t xml:space="preserve">normální, kolem </w:t>
      </w:r>
      <w:r w:rsidR="00433CD7">
        <w:t xml:space="preserve">níž počet lidí bez práce </w:t>
      </w:r>
      <w:r w:rsidR="0005030A" w:rsidRPr="0005030A">
        <w:t>kolís</w:t>
      </w:r>
      <w:r w:rsidR="003216C2">
        <w:t xml:space="preserve">á. </w:t>
      </w:r>
    </w:p>
    <w:p w:rsidR="00664190" w:rsidRPr="00A139EF" w:rsidRDefault="007475EB" w:rsidP="00A139EF">
      <w:pPr>
        <w:pStyle w:val="Seznamsodrkami"/>
        <w:numPr>
          <w:ilvl w:val="0"/>
          <w:numId w:val="0"/>
        </w:numPr>
        <w:spacing w:line="276" w:lineRule="auto"/>
        <w:rPr>
          <w:b/>
        </w:rPr>
      </w:pPr>
      <w:r>
        <w:rPr>
          <w:i/>
        </w:rPr>
        <w:t xml:space="preserve">Jak je definována přirozená míra nezaměstnanosti? </w:t>
      </w:r>
      <w:r w:rsidR="00D83425">
        <w:rPr>
          <w:i/>
        </w:rPr>
        <w:t xml:space="preserve">Jaký je vztah přirozené míry U a potenciálního produktu? </w:t>
      </w:r>
      <w:r w:rsidR="00664190" w:rsidRPr="00A139EF">
        <w:rPr>
          <w:i/>
        </w:rPr>
        <w:t xml:space="preserve">V jakém stavu se </w:t>
      </w:r>
      <w:r w:rsidR="007D0E8D" w:rsidRPr="00A139EF">
        <w:rPr>
          <w:i/>
        </w:rPr>
        <w:t xml:space="preserve">v současnosti </w:t>
      </w:r>
      <w:r w:rsidR="00664190" w:rsidRPr="00A139EF">
        <w:rPr>
          <w:i/>
        </w:rPr>
        <w:t xml:space="preserve">nachází česká </w:t>
      </w:r>
      <w:proofErr w:type="spellStart"/>
      <w:r w:rsidR="00664190" w:rsidRPr="00A139EF">
        <w:rPr>
          <w:i/>
        </w:rPr>
        <w:t>ek</w:t>
      </w:r>
      <w:proofErr w:type="spellEnd"/>
      <w:r w:rsidR="007D0E8D" w:rsidRPr="00A139EF">
        <w:rPr>
          <w:i/>
        </w:rPr>
        <w:t>.</w:t>
      </w:r>
      <w:r w:rsidR="00664190" w:rsidRPr="00A139EF">
        <w:rPr>
          <w:i/>
        </w:rPr>
        <w:t xml:space="preserve"> vzhledem k potenciálnímu produktu? Je přirozená míra U pro všechny země stejná? Mění se v čase?</w:t>
      </w:r>
      <w:r w:rsidR="009232C3" w:rsidRPr="00A139EF">
        <w:rPr>
          <w:i/>
        </w:rPr>
        <w:t xml:space="preserve"> Interpretujte graf v příloze č.1.</w:t>
      </w:r>
      <w:r w:rsidRPr="00A139EF">
        <w:rPr>
          <w:i/>
        </w:rPr>
        <w:t xml:space="preserve"> Jak se označuje odchylka od přirozené míry nezaměstnanosti?</w:t>
      </w:r>
    </w:p>
    <w:p w:rsidR="007D0E8D" w:rsidRDefault="007D0E8D" w:rsidP="007D0E8D">
      <w:pPr>
        <w:pStyle w:val="Seznamsodrkami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příčiny nezaměstnanosti</w:t>
      </w:r>
    </w:p>
    <w:p w:rsidR="007B40E6" w:rsidRDefault="007B40E6" w:rsidP="007B40E6">
      <w:pPr>
        <w:pStyle w:val="Seznamsodrkami"/>
        <w:numPr>
          <w:ilvl w:val="0"/>
          <w:numId w:val="1"/>
        </w:numPr>
        <w:spacing w:line="240" w:lineRule="auto"/>
        <w:ind w:left="566"/>
      </w:pPr>
      <w:r w:rsidRPr="007B40E6">
        <w:rPr>
          <w:b/>
        </w:rPr>
        <w:t xml:space="preserve">frikční </w:t>
      </w:r>
      <w:r w:rsidR="00FE74C6">
        <w:rPr>
          <w:b/>
        </w:rPr>
        <w:t>nezaměstnanost</w:t>
      </w:r>
    </w:p>
    <w:p w:rsidR="007B40E6" w:rsidRDefault="007475EB" w:rsidP="00A139EF">
      <w:pPr>
        <w:spacing w:line="276" w:lineRule="auto"/>
        <w:rPr>
          <w:i/>
          <w:iCs/>
        </w:rPr>
      </w:pPr>
      <w:r>
        <w:rPr>
          <w:i/>
          <w:iCs/>
        </w:rPr>
        <w:t xml:space="preserve">Co je frikční nezaměstnanost? </w:t>
      </w:r>
      <w:r w:rsidR="007B40E6">
        <w:rPr>
          <w:i/>
          <w:iCs/>
        </w:rPr>
        <w:t xml:space="preserve">Jaké jsou </w:t>
      </w:r>
      <w:r>
        <w:rPr>
          <w:i/>
          <w:iCs/>
        </w:rPr>
        <w:t xml:space="preserve">její </w:t>
      </w:r>
      <w:r w:rsidR="007B40E6">
        <w:rPr>
          <w:i/>
          <w:iCs/>
        </w:rPr>
        <w:t xml:space="preserve">příčiny? Proč je U v tržní </w:t>
      </w:r>
      <w:proofErr w:type="spellStart"/>
      <w:r w:rsidR="007B40E6">
        <w:rPr>
          <w:i/>
          <w:iCs/>
        </w:rPr>
        <w:t>ek</w:t>
      </w:r>
      <w:proofErr w:type="spellEnd"/>
      <w:r w:rsidR="007B40E6">
        <w:rPr>
          <w:i/>
          <w:iCs/>
        </w:rPr>
        <w:t xml:space="preserve">. vždy &gt;0? Jak hodnotíte současnou nezaměstnanost v ČR – jaké má příčiny? Kdo jsou tzv. </w:t>
      </w:r>
      <w:r w:rsidR="007B40E6" w:rsidRPr="003076A1">
        <w:rPr>
          <w:i/>
          <w:iCs/>
        </w:rPr>
        <w:t>odrazení (</w:t>
      </w:r>
      <w:proofErr w:type="spellStart"/>
      <w:r w:rsidR="007B40E6" w:rsidRPr="003076A1">
        <w:rPr>
          <w:i/>
          <w:iCs/>
        </w:rPr>
        <w:t>d</w:t>
      </w:r>
      <w:r w:rsidR="007B40E6" w:rsidRPr="00112175">
        <w:rPr>
          <w:i/>
          <w:iCs/>
        </w:rPr>
        <w:t>iscouraged</w:t>
      </w:r>
      <w:proofErr w:type="spellEnd"/>
      <w:r w:rsidR="007B40E6" w:rsidRPr="003076A1">
        <w:rPr>
          <w:i/>
          <w:iCs/>
        </w:rPr>
        <w:t>) pracovníci</w:t>
      </w:r>
      <w:r w:rsidR="007B40E6">
        <w:rPr>
          <w:i/>
          <w:iCs/>
        </w:rPr>
        <w:t>?</w:t>
      </w:r>
      <w:r w:rsidR="003D05B6">
        <w:rPr>
          <w:i/>
          <w:iCs/>
        </w:rPr>
        <w:t xml:space="preserve"> Jak se růst počtu odrazených pracovníků projeví na U? </w:t>
      </w:r>
    </w:p>
    <w:p w:rsidR="007D0E8D" w:rsidRPr="00882462" w:rsidRDefault="007D0E8D" w:rsidP="007D0E8D">
      <w:pPr>
        <w:pStyle w:val="Seznamsodrkami"/>
        <w:numPr>
          <w:ilvl w:val="0"/>
          <w:numId w:val="1"/>
        </w:numPr>
        <w:spacing w:line="240" w:lineRule="auto"/>
        <w:ind w:left="566"/>
        <w:rPr>
          <w:b/>
        </w:rPr>
      </w:pPr>
      <w:r w:rsidRPr="00882462">
        <w:rPr>
          <w:b/>
        </w:rPr>
        <w:t>strukturální U</w:t>
      </w:r>
      <w:r w:rsidR="003D05B6" w:rsidRPr="00882462">
        <w:rPr>
          <w:b/>
        </w:rPr>
        <w:t xml:space="preserve"> </w:t>
      </w:r>
      <w:r w:rsidR="00A426CA" w:rsidRPr="00882462">
        <w:rPr>
          <w:b/>
        </w:rPr>
        <w:t xml:space="preserve">- </w:t>
      </w:r>
      <w:r w:rsidRPr="00882462">
        <w:rPr>
          <w:b/>
        </w:rPr>
        <w:t>min</w:t>
      </w:r>
      <w:r w:rsidR="003D05B6" w:rsidRPr="00882462">
        <w:rPr>
          <w:b/>
        </w:rPr>
        <w:t>.</w:t>
      </w:r>
      <w:r w:rsidRPr="00882462">
        <w:rPr>
          <w:b/>
        </w:rPr>
        <w:t xml:space="preserve"> mzdy, odbory a </w:t>
      </w:r>
      <w:proofErr w:type="spellStart"/>
      <w:r w:rsidRPr="00882462">
        <w:rPr>
          <w:b/>
        </w:rPr>
        <w:t>efektivnostní</w:t>
      </w:r>
      <w:proofErr w:type="spellEnd"/>
      <w:r w:rsidRPr="00882462">
        <w:rPr>
          <w:b/>
        </w:rPr>
        <w:t xml:space="preserve"> mzdy</w:t>
      </w:r>
    </w:p>
    <w:p w:rsidR="007973C1" w:rsidRDefault="00C07BE2" w:rsidP="007973C1">
      <w:pPr>
        <w:spacing w:line="276" w:lineRule="auto"/>
        <w:rPr>
          <w:i/>
        </w:rPr>
      </w:pPr>
      <w:r>
        <w:rPr>
          <w:i/>
        </w:rPr>
        <w:t xml:space="preserve">Jak </w:t>
      </w:r>
      <w:proofErr w:type="spellStart"/>
      <w:r>
        <w:rPr>
          <w:i/>
        </w:rPr>
        <w:t>Mankiw</w:t>
      </w:r>
      <w:proofErr w:type="spellEnd"/>
      <w:r>
        <w:rPr>
          <w:i/>
        </w:rPr>
        <w:t xml:space="preserve"> chápe strukturální nezaměstnanost? </w:t>
      </w:r>
      <w:r w:rsidR="007D0E8D">
        <w:rPr>
          <w:i/>
        </w:rPr>
        <w:t>Zakreslete zavedení minimální mzdy na trhu práce</w:t>
      </w:r>
      <w:r w:rsidR="007E5151">
        <w:rPr>
          <w:i/>
        </w:rPr>
        <w:t xml:space="preserve"> v situacích, kdy je minimální mzda a) nižší b) vyšší než rovnoměrná mzda</w:t>
      </w:r>
      <w:r w:rsidR="007D0E8D">
        <w:rPr>
          <w:i/>
        </w:rPr>
        <w:t>. Jaké má toto opatření dopady? Jakou roli hrají v </w:t>
      </w:r>
      <w:proofErr w:type="spellStart"/>
      <w:r w:rsidR="007D0E8D">
        <w:rPr>
          <w:i/>
        </w:rPr>
        <w:t>ek</w:t>
      </w:r>
      <w:proofErr w:type="spellEnd"/>
      <w:r w:rsidR="007D0E8D">
        <w:rPr>
          <w:i/>
        </w:rPr>
        <w:t>. odbory? Jak se různí náhledy na jejich činnost? Jaké jsou dlouhodobé trendy angažovanosti zaměstnanců v odborech? Na koho dopadá primárně činnost odborů? Co řík</w:t>
      </w:r>
      <w:r w:rsidR="00FE74C6">
        <w:rPr>
          <w:i/>
        </w:rPr>
        <w:t>ají</w:t>
      </w:r>
      <w:r w:rsidR="007D0E8D">
        <w:rPr>
          <w:i/>
        </w:rPr>
        <w:t xml:space="preserve"> teorie </w:t>
      </w:r>
      <w:proofErr w:type="spellStart"/>
      <w:r w:rsidR="007D0E8D">
        <w:rPr>
          <w:i/>
        </w:rPr>
        <w:t>efektivnostních</w:t>
      </w:r>
      <w:proofErr w:type="spellEnd"/>
      <w:r w:rsidR="007D0E8D">
        <w:rPr>
          <w:i/>
        </w:rPr>
        <w:t xml:space="preserve"> mezd? </w:t>
      </w:r>
      <w:r w:rsidR="00FE74C6">
        <w:rPr>
          <w:i/>
        </w:rPr>
        <w:t xml:space="preserve">Vysvětlete čtyři hlavní teorie </w:t>
      </w:r>
      <w:proofErr w:type="spellStart"/>
      <w:r w:rsidR="00FE74C6">
        <w:rPr>
          <w:i/>
        </w:rPr>
        <w:t>efektivnostních</w:t>
      </w:r>
      <w:proofErr w:type="spellEnd"/>
      <w:r w:rsidR="00FE74C6">
        <w:rPr>
          <w:i/>
        </w:rPr>
        <w:t xml:space="preserve"> mezd. </w:t>
      </w:r>
      <w:r w:rsidR="00E44460">
        <w:rPr>
          <w:i/>
        </w:rPr>
        <w:t>Spočítejte příklad č. 3.</w:t>
      </w:r>
    </w:p>
    <w:p w:rsidR="00B10BF7" w:rsidRDefault="00B10BF7" w:rsidP="007973C1">
      <w:pPr>
        <w:spacing w:line="276" w:lineRule="auto"/>
        <w:rPr>
          <w:i/>
        </w:rPr>
      </w:pPr>
    </w:p>
    <w:p w:rsidR="00B10BF7" w:rsidRDefault="00B10BF7" w:rsidP="007973C1">
      <w:pPr>
        <w:spacing w:line="276" w:lineRule="auto"/>
        <w:rPr>
          <w:i/>
        </w:rPr>
      </w:pPr>
    </w:p>
    <w:p w:rsidR="00EF2CF1" w:rsidRDefault="00EF2CF1" w:rsidP="007973C1">
      <w:pPr>
        <w:spacing w:line="276" w:lineRule="auto"/>
        <w:rPr>
          <w:b/>
          <w:sz w:val="22"/>
          <w:szCs w:val="22"/>
        </w:rPr>
      </w:pPr>
    </w:p>
    <w:p w:rsidR="00AC0362" w:rsidRPr="007973C1" w:rsidRDefault="00AC0362" w:rsidP="007973C1">
      <w:pPr>
        <w:spacing w:line="276" w:lineRule="auto"/>
        <w:rPr>
          <w:i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 xml:space="preserve">Příklad </w:t>
      </w:r>
      <w:r w:rsidRPr="00AD3AC1">
        <w:rPr>
          <w:b/>
          <w:sz w:val="22"/>
          <w:szCs w:val="22"/>
        </w:rPr>
        <w:t>č.</w:t>
      </w:r>
      <w:r>
        <w:rPr>
          <w:b/>
          <w:sz w:val="22"/>
          <w:szCs w:val="22"/>
        </w:rPr>
        <w:t xml:space="preserve"> 3: </w:t>
      </w:r>
      <w:r w:rsidRPr="00AC0362">
        <w:rPr>
          <w:sz w:val="22"/>
          <w:szCs w:val="22"/>
        </w:rPr>
        <w:t>Tabulka popisuje</w:t>
      </w:r>
      <w:r>
        <w:rPr>
          <w:sz w:val="22"/>
          <w:szCs w:val="22"/>
        </w:rPr>
        <w:t xml:space="preserve"> modelovou</w:t>
      </w:r>
      <w:r w:rsidRPr="00AC0362">
        <w:rPr>
          <w:sz w:val="22"/>
          <w:szCs w:val="22"/>
        </w:rPr>
        <w:t xml:space="preserve"> nabídku a poptávku na trhu práce.</w:t>
      </w:r>
      <w:r>
        <w:rPr>
          <w:sz w:val="22"/>
          <w:szCs w:val="22"/>
        </w:rPr>
        <w:t xml:space="preserve"> </w:t>
      </w:r>
      <w:r w:rsidRPr="00AC0362">
        <w:rPr>
          <w:sz w:val="22"/>
          <w:szCs w:val="22"/>
        </w:rPr>
        <w:t>Předpokládejte, že se jedná o trh práce v uzavřené ekonomice s konstantní dospělou populací o velikosti 1</w:t>
      </w:r>
      <w:r>
        <w:rPr>
          <w:sz w:val="22"/>
          <w:szCs w:val="22"/>
        </w:rPr>
        <w:t>0</w:t>
      </w:r>
      <w:r w:rsidRPr="00AC0362">
        <w:rPr>
          <w:sz w:val="22"/>
          <w:szCs w:val="22"/>
        </w:rPr>
        <w:t>0. Frikční nezaměstnanost je nulová.</w:t>
      </w:r>
    </w:p>
    <w:p w:rsidR="00AC0362" w:rsidRDefault="00AC0362" w:rsidP="00AC0362">
      <w:pPr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Určete rovnovážnou mzdu. Kolik lidí při této mzdě pracuje? Jak vysoká je při této mzdě míra nezaměstnanosti?</w:t>
      </w:r>
    </w:p>
    <w:p w:rsidR="00AC0362" w:rsidRDefault="00AC0362" w:rsidP="00AC0362">
      <w:pPr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Vláda zavede minimální mzdu o velikosti 32. Kolik lidí bude při této mzdě pracovat? Kolik lidí by chtělo pracovat? Jaká je míra U? Jak velká je míra pracovní participace?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9"/>
        <w:gridCol w:w="846"/>
        <w:gridCol w:w="846"/>
        <w:gridCol w:w="846"/>
        <w:gridCol w:w="846"/>
        <w:gridCol w:w="846"/>
        <w:gridCol w:w="846"/>
        <w:gridCol w:w="846"/>
        <w:gridCol w:w="842"/>
        <w:tblGridChange w:id="1">
          <w:tblGrid>
            <w:gridCol w:w="3999"/>
            <w:gridCol w:w="846"/>
            <w:gridCol w:w="846"/>
            <w:gridCol w:w="846"/>
            <w:gridCol w:w="846"/>
            <w:gridCol w:w="846"/>
            <w:gridCol w:w="846"/>
            <w:gridCol w:w="846"/>
            <w:gridCol w:w="842"/>
          </w:tblGrid>
        </w:tblGridChange>
      </w:tblGrid>
      <w:tr w:rsidR="005D5ADF" w:rsidRPr="00A139EF" w:rsidTr="006D4E8B">
        <w:trPr>
          <w:jc w:val="center"/>
        </w:trPr>
        <w:tc>
          <w:tcPr>
            <w:tcW w:w="1858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left"/>
              <w:rPr>
                <w:szCs w:val="22"/>
              </w:rPr>
            </w:pPr>
            <w:r w:rsidRPr="00A139EF">
              <w:rPr>
                <w:szCs w:val="22"/>
              </w:rPr>
              <w:t>Mzda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12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16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20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24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28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32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36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40</w:t>
            </w:r>
          </w:p>
        </w:tc>
      </w:tr>
      <w:tr w:rsidR="005D5ADF" w:rsidRPr="00A139EF" w:rsidTr="006D4E8B">
        <w:trPr>
          <w:jc w:val="center"/>
        </w:trPr>
        <w:tc>
          <w:tcPr>
            <w:tcW w:w="1858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left"/>
              <w:rPr>
                <w:szCs w:val="22"/>
              </w:rPr>
            </w:pPr>
            <w:r w:rsidRPr="00A139EF">
              <w:rPr>
                <w:szCs w:val="22"/>
              </w:rPr>
              <w:t>Nabízené množství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60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63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66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69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72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75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80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90</w:t>
            </w:r>
          </w:p>
        </w:tc>
      </w:tr>
      <w:tr w:rsidR="005D5ADF" w:rsidRPr="00A139EF" w:rsidTr="006D4E8B">
        <w:trPr>
          <w:jc w:val="center"/>
        </w:trPr>
        <w:tc>
          <w:tcPr>
            <w:tcW w:w="1858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left"/>
              <w:rPr>
                <w:szCs w:val="22"/>
              </w:rPr>
            </w:pPr>
            <w:r w:rsidRPr="00A139EF">
              <w:rPr>
                <w:szCs w:val="22"/>
              </w:rPr>
              <w:t>Poptávané množství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85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79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74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69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64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59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52</w:t>
            </w:r>
          </w:p>
        </w:tc>
        <w:tc>
          <w:tcPr>
            <w:tcW w:w="393" w:type="pct"/>
            <w:shd w:val="clear" w:color="auto" w:fill="auto"/>
          </w:tcPr>
          <w:p w:rsidR="005D5ADF" w:rsidRPr="00A139EF" w:rsidRDefault="005D5ADF" w:rsidP="006D4E8B">
            <w:pPr>
              <w:spacing w:line="240" w:lineRule="auto"/>
              <w:jc w:val="center"/>
              <w:rPr>
                <w:szCs w:val="22"/>
              </w:rPr>
            </w:pPr>
            <w:r w:rsidRPr="00A139EF">
              <w:rPr>
                <w:szCs w:val="22"/>
              </w:rPr>
              <w:t>45</w:t>
            </w:r>
          </w:p>
        </w:tc>
      </w:tr>
    </w:tbl>
    <w:p w:rsidR="00AC0362" w:rsidRPr="007D0E8D" w:rsidRDefault="00AC0362" w:rsidP="007D0E8D">
      <w:pPr>
        <w:spacing w:line="240" w:lineRule="auto"/>
        <w:rPr>
          <w:i/>
        </w:rPr>
      </w:pPr>
    </w:p>
    <w:p w:rsidR="007D0E8D" w:rsidRDefault="007D0E8D" w:rsidP="007D0E8D">
      <w:pPr>
        <w:pStyle w:val="Seznamsodrkami"/>
        <w:numPr>
          <w:ilvl w:val="0"/>
          <w:numId w:val="1"/>
        </w:numPr>
        <w:spacing w:line="240" w:lineRule="auto"/>
        <w:rPr>
          <w:b/>
        </w:rPr>
      </w:pPr>
      <w:r w:rsidRPr="007D0E8D">
        <w:rPr>
          <w:b/>
        </w:rPr>
        <w:t xml:space="preserve">vládní reakce na </w:t>
      </w:r>
      <w:r w:rsidR="00FE74C6">
        <w:rPr>
          <w:b/>
        </w:rPr>
        <w:t>nezaměstnanost</w:t>
      </w:r>
    </w:p>
    <w:p w:rsidR="007D0E8D" w:rsidRPr="007D0E8D" w:rsidRDefault="007D0E8D" w:rsidP="007D0E8D">
      <w:pPr>
        <w:spacing w:line="240" w:lineRule="auto"/>
        <w:rPr>
          <w:i/>
        </w:rPr>
      </w:pPr>
      <w:r>
        <w:rPr>
          <w:i/>
        </w:rPr>
        <w:t xml:space="preserve">Proč je </w:t>
      </w:r>
      <w:r w:rsidR="00FE74C6">
        <w:rPr>
          <w:i/>
        </w:rPr>
        <w:t>nezaměstnanost</w:t>
      </w:r>
      <w:r>
        <w:rPr>
          <w:i/>
        </w:rPr>
        <w:t xml:space="preserve"> politické téma? Jak vláda reaguje na růst nezaměstnanosti? </w:t>
      </w:r>
      <w:r w:rsidR="00FE74C6">
        <w:rPr>
          <w:i/>
        </w:rPr>
        <w:t xml:space="preserve">Definujte aktivní a pasivní politiku U. Jak konkrétně vláda ovlivňuje přirozenou míru U. Proč je dlouhodobě míra U výrazně vyšší v Evropě než v USA?  </w:t>
      </w:r>
    </w:p>
    <w:p w:rsidR="00AD3AC1" w:rsidRPr="007B40E6" w:rsidRDefault="00AD3AC1" w:rsidP="007B40E6">
      <w:pPr>
        <w:rPr>
          <w:b/>
          <w:u w:val="single"/>
        </w:rPr>
      </w:pPr>
      <w:r w:rsidRPr="007B40E6">
        <w:rPr>
          <w:b/>
          <w:u w:val="single"/>
        </w:rPr>
        <w:t>Nerovnosti v důchodech domácností – důchodová politika</w:t>
      </w:r>
    </w:p>
    <w:p w:rsidR="00AD3AC1" w:rsidRDefault="00D51FFF" w:rsidP="009232C3">
      <w:pPr>
        <w:spacing w:line="240" w:lineRule="auto"/>
        <w:rPr>
          <w:i/>
        </w:rPr>
      </w:pPr>
      <w:r>
        <w:rPr>
          <w:i/>
        </w:rPr>
        <w:t xml:space="preserve">Z čeho pramení nerovnoměrné rozdělování důchodů? </w:t>
      </w:r>
      <w:r w:rsidR="00AD3AC1">
        <w:rPr>
          <w:i/>
        </w:rPr>
        <w:t>Jsou nerovnosti v důchodech žádoucí?</w:t>
      </w:r>
    </w:p>
    <w:p w:rsidR="00EF2CF1" w:rsidRDefault="00EF2CF1" w:rsidP="009232C3">
      <w:pPr>
        <w:spacing w:line="240" w:lineRule="auto"/>
        <w:rPr>
          <w:b/>
        </w:rPr>
      </w:pPr>
    </w:p>
    <w:p w:rsidR="009232C3" w:rsidRPr="009232C3" w:rsidRDefault="009232C3" w:rsidP="009232C3">
      <w:pPr>
        <w:spacing w:line="240" w:lineRule="auto"/>
        <w:rPr>
          <w:b/>
        </w:rPr>
      </w:pPr>
      <w:r>
        <w:rPr>
          <w:b/>
        </w:rPr>
        <w:t>M</w:t>
      </w:r>
      <w:r w:rsidRPr="009232C3">
        <w:rPr>
          <w:b/>
        </w:rPr>
        <w:t>ěření</w:t>
      </w:r>
      <w:r>
        <w:rPr>
          <w:b/>
        </w:rPr>
        <w:t xml:space="preserve"> nerovnosti</w:t>
      </w:r>
    </w:p>
    <w:p w:rsidR="00AD3AC1" w:rsidRDefault="00EF2CF1" w:rsidP="009232C3">
      <w:pPr>
        <w:pStyle w:val="Seznamsodrkami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b/>
        </w:rPr>
      </w:pPr>
      <w:r>
        <w:rPr>
          <w:noProof/>
          <w:sz w:val="20"/>
        </w:rPr>
        <w:drawing>
          <wp:anchor distT="0" distB="0" distL="114300" distR="114300" simplePos="0" relativeHeight="251655168" behindDoc="1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9545" cy="2002155"/>
            <wp:effectExtent l="0" t="0" r="0" b="0"/>
            <wp:wrapTight wrapText="bothSides">
              <wp:wrapPolygon edited="0">
                <wp:start x="0" y="0"/>
                <wp:lineTo x="0" y="21374"/>
                <wp:lineTo x="21413" y="21374"/>
                <wp:lineTo x="2141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AC1">
        <w:rPr>
          <w:b/>
        </w:rPr>
        <w:t>Lorenzova křivka</w:t>
      </w:r>
    </w:p>
    <w:p w:rsidR="00AD3AC1" w:rsidRDefault="00917D8A" w:rsidP="009232C3">
      <w:pPr>
        <w:spacing w:line="240" w:lineRule="auto"/>
        <w:ind w:firstLine="709"/>
      </w:pPr>
      <w:r>
        <w:t>Absolutní rovnost AB</w:t>
      </w:r>
      <w:r w:rsidR="009232C3">
        <w:t xml:space="preserve">; </w:t>
      </w:r>
      <w:r w:rsidR="00AD3AC1">
        <w:t>Absolutní nerovnost</w:t>
      </w:r>
      <w:r>
        <w:t xml:space="preserve"> ACB</w:t>
      </w:r>
    </w:p>
    <w:p w:rsidR="00AD3AC1" w:rsidRDefault="00AD3AC1" w:rsidP="009232C3">
      <w:pPr>
        <w:pStyle w:val="Seznamsodrkami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</w:pPr>
      <w:proofErr w:type="spellStart"/>
      <w:r>
        <w:rPr>
          <w:b/>
        </w:rPr>
        <w:t>Giniho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koeficient </w:t>
      </w:r>
      <w:r>
        <w:t>- G</w:t>
      </w:r>
      <w:proofErr w:type="gramEnd"/>
    </w:p>
    <w:p w:rsidR="00AD3AC1" w:rsidRDefault="00AD3AC1" w:rsidP="009232C3">
      <w:pPr>
        <w:spacing w:line="240" w:lineRule="auto"/>
        <w:ind w:firstLine="709"/>
      </w:pPr>
      <w:r>
        <w:rPr>
          <w:position w:val="-22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.75pt;height:30.75pt" o:ole="">
            <v:imagedata r:id="rId9" o:title=""/>
          </v:shape>
          <o:OLEObject Type="Embed" ProgID="Equation.2" ShapeID="_x0000_i1027" DrawAspect="Content" ObjectID="_1611942886" r:id="rId10"/>
        </w:object>
      </w:r>
      <w:r>
        <w:t xml:space="preserve"> G</w:t>
      </w:r>
      <w:proofErr w:type="gramStart"/>
      <w:r>
        <w:t>=(</w:t>
      </w:r>
      <w:proofErr w:type="gramEnd"/>
      <w:r>
        <w:t>0,1)</w:t>
      </w:r>
      <w:r w:rsidR="009232C3">
        <w:t xml:space="preserve"> nebo (</w:t>
      </w:r>
      <w:r w:rsidR="00CC3A93">
        <w:t>0</w:t>
      </w:r>
      <w:r w:rsidR="009232C3">
        <w:t>,100)</w:t>
      </w:r>
    </w:p>
    <w:p w:rsidR="00AD3AC1" w:rsidRDefault="00AD3AC1" w:rsidP="009232C3">
      <w:pPr>
        <w:spacing w:line="240" w:lineRule="auto"/>
        <w:ind w:firstLine="709"/>
      </w:pPr>
      <w:r>
        <w:t xml:space="preserve">G = 1 </w:t>
      </w:r>
      <w:r>
        <w:rPr>
          <w:noProof/>
        </w:rPr>
        <w:sym w:font="Wingdings" w:char="F0F0"/>
      </w:r>
      <w:r>
        <w:t xml:space="preserve"> absolutní nerovnost</w:t>
      </w:r>
    </w:p>
    <w:p w:rsidR="00AD3AC1" w:rsidRDefault="00AD3AC1" w:rsidP="009232C3">
      <w:pPr>
        <w:spacing w:line="240" w:lineRule="auto"/>
        <w:ind w:firstLine="709"/>
      </w:pPr>
      <w:r>
        <w:t xml:space="preserve">G = 0 </w:t>
      </w:r>
      <w:r>
        <w:rPr>
          <w:noProof/>
        </w:rPr>
        <w:sym w:font="Wingdings" w:char="F0F0"/>
      </w:r>
      <w:r>
        <w:t xml:space="preserve"> absolutní rovnostářství</w:t>
      </w:r>
    </w:p>
    <w:p w:rsidR="00AD3AC1" w:rsidRDefault="00AD3AC1" w:rsidP="009232C3">
      <w:pPr>
        <w:spacing w:line="240" w:lineRule="auto"/>
        <w:rPr>
          <w:i/>
        </w:rPr>
      </w:pPr>
      <w:r>
        <w:rPr>
          <w:i/>
        </w:rPr>
        <w:t>Jmenujte země</w:t>
      </w:r>
      <w:r w:rsidR="009232C3">
        <w:rPr>
          <w:i/>
        </w:rPr>
        <w:t>,</w:t>
      </w:r>
      <w:r>
        <w:rPr>
          <w:i/>
        </w:rPr>
        <w:t xml:space="preserve"> u kterých předpokládáte značnou nerovnost?</w:t>
      </w:r>
      <w:r w:rsidR="009232C3">
        <w:rPr>
          <w:i/>
        </w:rPr>
        <w:t xml:space="preserve"> </w:t>
      </w:r>
      <w:r>
        <w:rPr>
          <w:i/>
        </w:rPr>
        <w:t xml:space="preserve">Na základě přílohy </w:t>
      </w:r>
      <w:r w:rsidR="009232C3">
        <w:rPr>
          <w:i/>
        </w:rPr>
        <w:t xml:space="preserve">č.2 </w:t>
      </w:r>
      <w:r>
        <w:rPr>
          <w:i/>
        </w:rPr>
        <w:t>uvažujte, kde byla větší rovnost v příjmech v roce 1987</w:t>
      </w:r>
      <w:r w:rsidR="009232C3">
        <w:rPr>
          <w:i/>
        </w:rPr>
        <w:t xml:space="preserve"> ve Švédsku nebo Švýcarsku</w:t>
      </w:r>
      <w:r>
        <w:rPr>
          <w:i/>
        </w:rPr>
        <w:t>? Jaké dopady má tento stav na trh práce, motivaci a výkonnost hospodářství?</w:t>
      </w:r>
      <w:r w:rsidR="009232C3">
        <w:rPr>
          <w:i/>
        </w:rPr>
        <w:t xml:space="preserve"> Jak velká je nerovnost v ČR vůči ostatním zemím? </w:t>
      </w:r>
      <w:r w:rsidR="000D0B8C" w:rsidRPr="00882462">
        <w:rPr>
          <w:i/>
        </w:rPr>
        <w:t>Interpretujte přílohy č. 3 a 4.</w:t>
      </w:r>
      <w:r w:rsidR="00AF0941" w:rsidRPr="00AF0941">
        <w:rPr>
          <w:i/>
        </w:rPr>
        <w:t xml:space="preserve"> </w:t>
      </w:r>
      <w:r w:rsidR="00AF0941">
        <w:rPr>
          <w:i/>
        </w:rPr>
        <w:t>Vyřešte příklad č.4.</w:t>
      </w:r>
    </w:p>
    <w:p w:rsidR="002C25B0" w:rsidRDefault="002C25B0" w:rsidP="002C25B0">
      <w:pPr>
        <w:spacing w:line="240" w:lineRule="auto"/>
        <w:rPr>
          <w:b/>
          <w:sz w:val="22"/>
          <w:szCs w:val="22"/>
        </w:rPr>
      </w:pPr>
    </w:p>
    <w:p w:rsidR="002C25B0" w:rsidRPr="00AD3AC1" w:rsidRDefault="002C25B0" w:rsidP="002C25B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Příklad </w:t>
      </w:r>
      <w:r w:rsidRPr="00AD3AC1">
        <w:rPr>
          <w:b/>
          <w:sz w:val="22"/>
          <w:szCs w:val="22"/>
        </w:rPr>
        <w:t>č.</w:t>
      </w:r>
      <w:r w:rsidR="007973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AD3AC1">
        <w:rPr>
          <w:b/>
          <w:sz w:val="22"/>
          <w:szCs w:val="22"/>
        </w:rPr>
        <w:t xml:space="preserve">: </w:t>
      </w:r>
      <w:r w:rsidRPr="00AD3AC1">
        <w:rPr>
          <w:sz w:val="22"/>
          <w:szCs w:val="22"/>
        </w:rPr>
        <w:t>Doplňte tabulku a načrtněte Loren</w:t>
      </w:r>
      <w:r>
        <w:rPr>
          <w:sz w:val="22"/>
          <w:szCs w:val="22"/>
        </w:rPr>
        <w:t>zovu křivku pro USA v roce 1995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7" w:firstRow="0" w:lastRow="0" w:firstColumn="0" w:lastColumn="0" w:noHBand="0" w:noVBand="0"/>
      </w:tblPr>
      <w:tblGrid>
        <w:gridCol w:w="1735"/>
        <w:gridCol w:w="1418"/>
        <w:gridCol w:w="1986"/>
        <w:gridCol w:w="1723"/>
        <w:gridCol w:w="1931"/>
        <w:gridCol w:w="1106"/>
      </w:tblGrid>
      <w:tr w:rsidR="002C25B0" w:rsidRPr="00AD3AC1" w:rsidTr="00A139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12" w:space="0" w:color="000000"/>
              <w:bottom w:val="nil"/>
            </w:tcBorders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Procento obyvatel</w:t>
            </w:r>
          </w:p>
        </w:tc>
        <w:tc>
          <w:tcPr>
            <w:tcW w:w="0" w:type="auto"/>
            <w:tcBorders>
              <w:top w:val="single" w:sz="12" w:space="0" w:color="000000"/>
              <w:bottom w:val="nil"/>
            </w:tcBorders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Podíl důchodu</w:t>
            </w:r>
          </w:p>
        </w:tc>
        <w:tc>
          <w:tcPr>
            <w:tcW w:w="0" w:type="auto"/>
            <w:tcBorders>
              <w:top w:val="single" w:sz="12" w:space="0" w:color="000000"/>
              <w:bottom w:val="nil"/>
            </w:tcBorders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Kumulované % osob</w:t>
            </w:r>
          </w:p>
        </w:tc>
        <w:tc>
          <w:tcPr>
            <w:tcW w:w="0" w:type="auto"/>
            <w:gridSpan w:val="3"/>
          </w:tcPr>
          <w:p w:rsidR="002C25B0" w:rsidRPr="00AD3AC1" w:rsidRDefault="002C25B0" w:rsidP="006D4E8B">
            <w:pPr>
              <w:jc w:val="center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Kumulovaný % podíl na důchodu</w:t>
            </w:r>
          </w:p>
        </w:tc>
      </w:tr>
      <w:tr w:rsidR="002C25B0" w:rsidRPr="00AD3AC1" w:rsidTr="00A139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bottom w:val="single" w:sz="6" w:space="0" w:color="000000"/>
            </w:tcBorders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Absolutní rovnost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Absolutní nerovnost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Skutečnost</w:t>
            </w:r>
          </w:p>
        </w:tc>
      </w:tr>
      <w:tr w:rsidR="002C25B0" w:rsidRPr="00AD3AC1" w:rsidTr="00A139EF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Dolní 1/5</w:t>
            </w:r>
          </w:p>
        </w:tc>
        <w:tc>
          <w:tcPr>
            <w:tcW w:w="0" w:type="auto"/>
            <w:tcBorders>
              <w:top w:val="nil"/>
            </w:tcBorders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4,6</w:t>
            </w:r>
          </w:p>
        </w:tc>
        <w:tc>
          <w:tcPr>
            <w:tcW w:w="0" w:type="auto"/>
            <w:tcBorders>
              <w:top w:val="nil"/>
            </w:tcBorders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C25B0" w:rsidRPr="00AD3AC1" w:rsidTr="00A139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Druhá 1/5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10,9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C25B0" w:rsidRPr="00AD3AC1" w:rsidTr="00A139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Třetí 1/5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16,9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C25B0" w:rsidRPr="00AD3AC1" w:rsidTr="00A139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Čtvrtá 1/5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24,2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C25B0" w:rsidRPr="00AD3AC1" w:rsidTr="00A139EF">
        <w:tblPrEx>
          <w:tblCellMar>
            <w:top w:w="0" w:type="dxa"/>
            <w:bottom w:w="0" w:type="dxa"/>
          </w:tblCellMar>
        </w:tblPrEx>
        <w:trPr>
          <w:trHeight w:val="171"/>
          <w:jc w:val="center"/>
        </w:trPr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Horní 1/5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  <w:r w:rsidRPr="00AD3AC1">
              <w:rPr>
                <w:sz w:val="22"/>
                <w:szCs w:val="22"/>
              </w:rPr>
              <w:t>43,4</w:t>
            </w: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25B0" w:rsidRPr="00AD3AC1" w:rsidRDefault="002C25B0" w:rsidP="006D4E8B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2C25B0" w:rsidRDefault="002C25B0" w:rsidP="009232C3">
      <w:pPr>
        <w:spacing w:line="240" w:lineRule="auto"/>
        <w:rPr>
          <w:b/>
        </w:rPr>
      </w:pPr>
    </w:p>
    <w:p w:rsidR="00AD3AC1" w:rsidRDefault="009232C3" w:rsidP="009232C3">
      <w:pPr>
        <w:spacing w:line="240" w:lineRule="auto"/>
        <w:rPr>
          <w:b/>
        </w:rPr>
      </w:pPr>
      <w:r w:rsidRPr="009232C3">
        <w:rPr>
          <w:b/>
        </w:rPr>
        <w:t>Chudob</w:t>
      </w:r>
      <w:r>
        <w:rPr>
          <w:b/>
        </w:rPr>
        <w:t>a</w:t>
      </w:r>
    </w:p>
    <w:p w:rsidR="009232C3" w:rsidRDefault="009232C3" w:rsidP="009232C3">
      <w:pPr>
        <w:spacing w:line="240" w:lineRule="auto"/>
        <w:rPr>
          <w:i/>
        </w:rPr>
      </w:pPr>
      <w:r w:rsidRPr="009232C3">
        <w:rPr>
          <w:i/>
        </w:rPr>
        <w:t>Ja</w:t>
      </w:r>
      <w:r>
        <w:rPr>
          <w:i/>
        </w:rPr>
        <w:t>k se měří chudoba? Jaké faktory mají vliv na míru chudoby</w:t>
      </w:r>
      <w:r w:rsidR="00B31D94">
        <w:rPr>
          <w:i/>
        </w:rPr>
        <w:t>? Můře Lorenzova křivka měřit chudobu?</w:t>
      </w:r>
      <w:r>
        <w:rPr>
          <w:i/>
        </w:rPr>
        <w:t xml:space="preserve"> Uvažujte situaci v ČR. </w:t>
      </w:r>
      <w:r w:rsidR="007E5151">
        <w:rPr>
          <w:i/>
        </w:rPr>
        <w:t>Co je to sociální mobilita</w:t>
      </w:r>
      <w:r>
        <w:rPr>
          <w:i/>
        </w:rPr>
        <w:t>? Jak může vláda řešit problém chudoby?</w:t>
      </w:r>
    </w:p>
    <w:p w:rsidR="005D5ADF" w:rsidRDefault="005D5ADF" w:rsidP="005D5ADF">
      <w:pPr>
        <w:pStyle w:val="Seznamsodrkami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:rsidR="00DF5F95" w:rsidRDefault="009232C3" w:rsidP="00A139EF">
      <w:pPr>
        <w:pStyle w:val="Seznamsodrkami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</w:pPr>
      <w:r w:rsidRPr="009232C3">
        <w:rPr>
          <w:b/>
        </w:rPr>
        <w:t xml:space="preserve">Filozofické koncepty – </w:t>
      </w:r>
      <w:r w:rsidRPr="00112175">
        <w:rPr>
          <w:b/>
          <w:lang w:val="es-ES"/>
        </w:rPr>
        <w:t>utilitari</w:t>
      </w:r>
      <w:proofErr w:type="spellStart"/>
      <w:r w:rsidRPr="009232C3">
        <w:rPr>
          <w:b/>
        </w:rPr>
        <w:t>smus</w:t>
      </w:r>
      <w:proofErr w:type="spellEnd"/>
      <w:r w:rsidRPr="009232C3">
        <w:rPr>
          <w:b/>
        </w:rPr>
        <w:t xml:space="preserve">, liberalismus (US), </w:t>
      </w:r>
      <w:proofErr w:type="spellStart"/>
      <w:r w:rsidRPr="009232C3">
        <w:rPr>
          <w:b/>
        </w:rPr>
        <w:t>libertariánství</w:t>
      </w:r>
      <w:proofErr w:type="spellEnd"/>
    </w:p>
    <w:p w:rsidR="009232C3" w:rsidRDefault="009232C3" w:rsidP="00DF5F95">
      <w:pPr>
        <w:spacing w:line="240" w:lineRule="auto"/>
        <w:rPr>
          <w:i/>
        </w:rPr>
      </w:pPr>
      <w:r>
        <w:rPr>
          <w:i/>
        </w:rPr>
        <w:t>Jak se liší jednotlivé filozofické koncepty? Jaký je rozdíl mezi liberalismem v USA a v Evropě?</w:t>
      </w:r>
      <w:r w:rsidR="00C07BE2">
        <w:rPr>
          <w:i/>
        </w:rPr>
        <w:t xml:space="preserve"> Jak se jednotlivé koncepty staví k přerozdělování příjmů?</w:t>
      </w:r>
      <w:r>
        <w:rPr>
          <w:i/>
        </w:rPr>
        <w:t xml:space="preserve"> Co považujete za spravedlivé? Ke kterému konceptu se př</w:t>
      </w:r>
      <w:r w:rsidR="00DF5F95">
        <w:rPr>
          <w:i/>
        </w:rPr>
        <w:t>i</w:t>
      </w:r>
      <w:r>
        <w:rPr>
          <w:i/>
        </w:rPr>
        <w:t>kláníte?</w:t>
      </w:r>
    </w:p>
    <w:p w:rsidR="00AD3AC1" w:rsidRPr="00DF5F95" w:rsidRDefault="00DF5F95" w:rsidP="009232C3">
      <w:pPr>
        <w:pStyle w:val="Seznamsodrkami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</w:pPr>
      <w:r>
        <w:rPr>
          <w:b/>
        </w:rPr>
        <w:t>vládní politika</w:t>
      </w:r>
    </w:p>
    <w:p w:rsidR="00DF5F95" w:rsidRPr="00DF5F95" w:rsidRDefault="00DF5F95" w:rsidP="00DF5F95">
      <w:pPr>
        <w:pStyle w:val="Seznamsodrkami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6"/>
        <w:textAlignment w:val="auto"/>
      </w:pPr>
      <w:r>
        <w:rPr>
          <w:b/>
        </w:rPr>
        <w:t>nástroje: sociální zabezpečení, progresivní zdanění; minimální mzda; transfery v naturáliích, záporná daň z příjmu</w:t>
      </w:r>
    </w:p>
    <w:p w:rsidR="00881EAC" w:rsidRDefault="00DF5F95" w:rsidP="003214CE">
      <w:pPr>
        <w:pBdr>
          <w:bottom w:val="single" w:sz="6" w:space="1" w:color="auto"/>
        </w:pBdr>
        <w:spacing w:line="240" w:lineRule="auto"/>
        <w:rPr>
          <w:i/>
        </w:rPr>
      </w:pPr>
      <w:r>
        <w:rPr>
          <w:i/>
        </w:rPr>
        <w:t xml:space="preserve">Uvažujte jednotlivé nástroje. Co si myslíte o jejich kladech a záporech. Definujte progresivní zdanění. </w:t>
      </w:r>
      <w:r w:rsidR="003214CE">
        <w:rPr>
          <w:i/>
        </w:rPr>
        <w:t>Pokuste se definovat sociální spravedlnost.</w:t>
      </w:r>
      <w:r w:rsidR="008F7626">
        <w:rPr>
          <w:i/>
        </w:rPr>
        <w:t xml:space="preserve"> Považujete nástroje za spravedlivé?</w:t>
      </w:r>
    </w:p>
    <w:p w:rsidR="00E27146" w:rsidRDefault="00EF2CF1" w:rsidP="00881EAC">
      <w:pPr>
        <w:tabs>
          <w:tab w:val="left" w:pos="4635"/>
        </w:tabs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69850</wp:posOffset>
                </wp:positionV>
                <wp:extent cx="5932170" cy="318389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2D2" w:rsidRDefault="00AF32D2" w:rsidP="00E271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BOX – Existuje pouze jedna míra nezaměstnanosti?</w:t>
                            </w:r>
                          </w:p>
                          <w:p w:rsidR="00AF32D2" w:rsidRPr="00A139EF" w:rsidRDefault="00AF32D2" w:rsidP="00E27146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Ne. </w:t>
                            </w:r>
                            <w:r w:rsidRPr="00A139EF">
                              <w:rPr>
                                <w:color w:val="000000"/>
                                <w:sz w:val="20"/>
                              </w:rPr>
                              <w:t>V ČR se sledují dvě odlišné míry nezaměstnanosti.</w:t>
                            </w:r>
                          </w:p>
                          <w:p w:rsidR="00AF32D2" w:rsidRPr="00A139EF" w:rsidRDefault="00AF32D2" w:rsidP="00F64B7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/>
                                <w:sz w:val="20"/>
                              </w:rPr>
                            </w:pPr>
                            <w:r w:rsidRPr="00A139EF">
                              <w:rPr>
                                <w:color w:val="000000"/>
                                <w:sz w:val="20"/>
                              </w:rPr>
                              <w:t xml:space="preserve">ČSÚ měří </w:t>
                            </w:r>
                            <w:r w:rsidRPr="00A139EF">
                              <w:rPr>
                                <w:b/>
                                <w:color w:val="000000"/>
                                <w:sz w:val="20"/>
                              </w:rPr>
                              <w:t>obecnou míru nezaměstnanosti</w:t>
                            </w:r>
                            <w:r w:rsidRPr="00A139EF">
                              <w:rPr>
                                <w:color w:val="000000"/>
                                <w:sz w:val="20"/>
                              </w:rPr>
                              <w:t xml:space="preserve"> v rámci Výběrových šetření pracovních sil. </w:t>
                            </w:r>
                            <w:r w:rsidRPr="00A139EF">
                              <w:rPr>
                                <w:color w:val="000000"/>
                                <w:sz w:val="20"/>
                                <w:shd w:val="clear" w:color="auto" w:fill="FFFFFF"/>
                              </w:rPr>
                              <w:t>Zde se za nezaměstnané považují všechny osoby patnáctileté a starší, které souběžně splňovaly tři podmínky:</w:t>
                            </w:r>
                            <w:r w:rsidRPr="00A139EF">
                              <w:rPr>
                                <w:color w:val="000000"/>
                                <w:sz w:val="20"/>
                              </w:rPr>
                              <w:br/>
                            </w:r>
                            <w:r w:rsidRPr="00A139EF">
                              <w:rPr>
                                <w:color w:val="000000"/>
                                <w:sz w:val="20"/>
                                <w:shd w:val="clear" w:color="auto" w:fill="FFFFFF"/>
                              </w:rPr>
                              <w:t>- nebyly zaměstnané </w:t>
                            </w:r>
                            <w:r w:rsidRPr="00A139EF">
                              <w:rPr>
                                <w:color w:val="000000"/>
                                <w:sz w:val="20"/>
                              </w:rPr>
                              <w:br/>
                            </w:r>
                            <w:r w:rsidRPr="00A139EF">
                              <w:rPr>
                                <w:color w:val="000000"/>
                                <w:sz w:val="20"/>
                                <w:shd w:val="clear" w:color="auto" w:fill="FFFFFF"/>
                              </w:rPr>
                              <w:t>- hledaly aktivně práci</w:t>
                            </w:r>
                            <w:r w:rsidRPr="00A139EF">
                              <w:rPr>
                                <w:color w:val="000000"/>
                                <w:sz w:val="20"/>
                              </w:rPr>
                              <w:br/>
                            </w:r>
                            <w:r w:rsidRPr="00A139EF">
                              <w:rPr>
                                <w:color w:val="000000"/>
                                <w:sz w:val="20"/>
                                <w:shd w:val="clear" w:color="auto" w:fill="FFFFFF"/>
                              </w:rPr>
                              <w:t>- byly připraveny k nástupu do práce</w:t>
                            </w:r>
                            <w:r w:rsidRPr="00175785">
                              <w:rPr>
                                <w:color w:val="000000"/>
                                <w:sz w:val="20"/>
                                <w:shd w:val="clear" w:color="auto" w:fill="FFFFFF"/>
                              </w:rPr>
                              <w:t>,</w:t>
                            </w:r>
                            <w:r w:rsidRPr="00A139EF">
                              <w:rPr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 a to nejpozději do </w:t>
                            </w:r>
                            <w:proofErr w:type="gramStart"/>
                            <w:r w:rsidRPr="00A139EF">
                              <w:rPr>
                                <w:color w:val="000000"/>
                                <w:sz w:val="20"/>
                                <w:shd w:val="clear" w:color="auto" w:fill="FFFFFF"/>
                              </w:rPr>
                              <w:t>14-ti</w:t>
                            </w:r>
                            <w:proofErr w:type="gramEnd"/>
                            <w:r w:rsidRPr="00A139EF">
                              <w:rPr>
                                <w:color w:val="000000"/>
                                <w:sz w:val="20"/>
                                <w:shd w:val="clear" w:color="auto" w:fill="FFFFFF"/>
                              </w:rPr>
                              <w:t xml:space="preserve"> dnů.</w:t>
                            </w:r>
                          </w:p>
                          <w:p w:rsidR="00AF32D2" w:rsidRPr="00A139EF" w:rsidRDefault="00AF32D2" w:rsidP="00F64B7F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/>
                                <w:sz w:val="20"/>
                              </w:rPr>
                            </w:pPr>
                            <w:r w:rsidRPr="00F64B7F">
                              <w:rPr>
                                <w:color w:val="000000"/>
                                <w:sz w:val="20"/>
                              </w:rPr>
                              <w:t xml:space="preserve">MPSV zveřejňuje </w:t>
                            </w:r>
                            <w:r w:rsidRPr="00A139EF">
                              <w:rPr>
                                <w:b/>
                                <w:color w:val="000000"/>
                                <w:sz w:val="20"/>
                              </w:rPr>
                              <w:t>míru registrované nezaměstnanosti</w:t>
                            </w:r>
                            <w:r w:rsidRPr="00F64B7F">
                              <w:rPr>
                                <w:color w:val="000000"/>
                                <w:sz w:val="20"/>
                              </w:rPr>
                              <w:t xml:space="preserve"> na základě počtu uchazečů o zaměstnání registrovaných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na Úřadu práce ČR.</w:t>
                            </w:r>
                          </w:p>
                          <w:p w:rsidR="00AF32D2" w:rsidRPr="00A139EF" w:rsidRDefault="00AF32D2" w:rsidP="00A139EF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 w:rsidRPr="00175785">
                              <w:rPr>
                                <w:color w:val="000000"/>
                                <w:sz w:val="20"/>
                              </w:rPr>
                              <w:t xml:space="preserve">Oba přístupy měří počet nezaměstnaných vůči pracovní síle (tedy zaměstnaných + nezaměstnaných osob). Nicméně se můžete setkat se třetím ukazatelem, kterým je </w:t>
                            </w:r>
                            <w:r w:rsidRPr="00A139EF">
                              <w:rPr>
                                <w:b/>
                                <w:color w:val="000000"/>
                                <w:sz w:val="20"/>
                              </w:rPr>
                              <w:t>Podíl nezaměstnaných osob</w:t>
                            </w:r>
                            <w:r w:rsidRPr="00175785">
                              <w:rPr>
                                <w:color w:val="000000"/>
                                <w:sz w:val="20"/>
                              </w:rPr>
                              <w:t>. Ten se vypočítá stejně jako míra registr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ované</w:t>
                            </w:r>
                            <w:r w:rsidRPr="00175785">
                              <w:rPr>
                                <w:color w:val="000000"/>
                                <w:sz w:val="20"/>
                              </w:rPr>
                              <w:t xml:space="preserve"> nezaměstnanosti s podstatným rozdílem. Počet nezaměstnaných není již v poměru vůči pracovní síle, nýbrž celkové populaci ve věku 15-64. Tento ukazatel se používá pro lepší mezinárodní srovnávání.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.55pt;margin-top:5.5pt;width:467.1pt;height:250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xwNgIAAFYEAAAOAAAAZHJzL2Uyb0RvYy54bWysVF2O0zAQfkfiDpbfaZq0Zduo6WrpUoS0&#10;/Ei7HMBxnMTC8RjbbbLcaM/BxRg73RIBT4g8WB7P+PPM981kez10ipyEdRJ0QdPZnBKhOVRSNwX9&#10;8nB4tabEeaYrpkCLgj4KR693L19se5OLDFpQlbAEQbTLe1PQ1nuTJ4njreiYm4ERGp012I55NG2T&#10;VJb1iN6pJJvPXyc92MpY4MI5PL0dnXQX8etacP+prp3wRBUUc/NxtXEtw5rstixvLDOt5Oc02D9k&#10;0TGp8dEL1C3zjByt/AOqk9yCg9rPOHQJ1LXkItaA1aTz36q5b5kRsRYkx5kLTe7/wfKPp8+WyAq1&#10;o0SzDiV6EIOH048nYkAJkgWKeuNyjLw3GOuHNzCE8FCuM3fAvzqiYd8y3Ygba6FvBaswxTTcTCZX&#10;RxwXQMr+A1T4Fjt6iEBDbbsAiIwQREepHi/yYD6E4+Fqs8jSK3Rx9C3S9WK9iQImLH++bqzz7wR0&#10;JGwKalH/CM9Od86HdFj+HBLTByWrg1QqGrYp98qSE8NeOcQvVoBVTsOUJn1BN6tsNTIw9bkpxDx+&#10;f4PopMemV7Ir6PoSxPLA21tdxZb0TKpxjykrfSYycDey6IdyOAtTQvWIlFoYmxuHETct2O+U9NjY&#10;BXXfjswKStR7jbJs0uUyTEI0lqurDA079ZRTD9McoQrqKRm3ez9Oz9FY2bT40tgIGm5QylpGkoPm&#10;Y1bnvLF5I/fnQQvTMbVj1K/fwe4nAAAA//8DAFBLAwQUAAYACAAAACEA7/EuKN8AAAAKAQAADwAA&#10;AGRycy9kb3ducmV2LnhtbEyPzU7DMBCE70i8g7VIXBB13D9KiFMhJBC9QUFwdeNtEmGvQ+ym4e3Z&#10;nuC4M6NvZ4r16J0YsI9tIA1qkoFAqoJtqdbw/vZ4vQIRkyFrXCDU8IMR1uX5WWFyG470isM21YIh&#10;FHOjoUmpy6WMVYPexEnokNjbh96bxGdfS9ubI8O9k9MsW0pvWuIPjenwocHqa3vwGlbz5+EzbmYv&#10;H9Vy727T1c3w9N1rfXkx3t+BSDimvzCc6nN1KLnTLhzIRuGYoRQnWVc86eRnajEDsdOwUNM5yLKQ&#10;/yeUvwAAAP//AwBQSwECLQAUAAYACAAAACEAtoM4kv4AAADhAQAAEwAAAAAAAAAAAAAAAAAAAAAA&#10;W0NvbnRlbnRfVHlwZXNdLnhtbFBLAQItABQABgAIAAAAIQA4/SH/1gAAAJQBAAALAAAAAAAAAAAA&#10;AAAAAC8BAABfcmVscy8ucmVsc1BLAQItABQABgAIAAAAIQAUJixwNgIAAFYEAAAOAAAAAAAAAAAA&#10;AAAAAC4CAABkcnMvZTJvRG9jLnhtbFBLAQItABQABgAIAAAAIQDv8S4o3wAAAAoBAAAPAAAAAAAA&#10;AAAAAAAAAJAEAABkcnMvZG93bnJldi54bWxQSwUGAAAAAAQABADzAAAAnAUAAAAA&#10;">
                <v:textbox>
                  <w:txbxContent>
                    <w:p w:rsidR="00AF32D2" w:rsidRDefault="00AF32D2" w:rsidP="00E271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BOX – Existuje pouze jedna míra nezaměstnanosti?</w:t>
                      </w:r>
                    </w:p>
                    <w:p w:rsidR="00AF32D2" w:rsidRPr="00A139EF" w:rsidRDefault="00AF32D2" w:rsidP="00E27146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Ne. </w:t>
                      </w:r>
                      <w:r w:rsidRPr="00A139EF">
                        <w:rPr>
                          <w:color w:val="000000"/>
                          <w:sz w:val="20"/>
                        </w:rPr>
                        <w:t>V ČR se sledují dvě odlišné míry nezaměstnanosti.</w:t>
                      </w:r>
                    </w:p>
                    <w:p w:rsidR="00AF32D2" w:rsidRPr="00A139EF" w:rsidRDefault="00AF32D2" w:rsidP="00F64B7F">
                      <w:pPr>
                        <w:numPr>
                          <w:ilvl w:val="0"/>
                          <w:numId w:val="11"/>
                        </w:numPr>
                        <w:rPr>
                          <w:color w:val="000000"/>
                          <w:sz w:val="20"/>
                        </w:rPr>
                      </w:pPr>
                      <w:r w:rsidRPr="00A139EF">
                        <w:rPr>
                          <w:color w:val="000000"/>
                          <w:sz w:val="20"/>
                        </w:rPr>
                        <w:t xml:space="preserve">ČSÚ měří </w:t>
                      </w:r>
                      <w:r w:rsidRPr="00A139EF">
                        <w:rPr>
                          <w:b/>
                          <w:color w:val="000000"/>
                          <w:sz w:val="20"/>
                        </w:rPr>
                        <w:t>obecnou míru nezaměstnanosti</w:t>
                      </w:r>
                      <w:r w:rsidRPr="00A139EF">
                        <w:rPr>
                          <w:color w:val="000000"/>
                          <w:sz w:val="20"/>
                        </w:rPr>
                        <w:t xml:space="preserve"> v rámci Výběrových šetření pracovních sil. </w:t>
                      </w:r>
                      <w:r w:rsidRPr="00A139EF">
                        <w:rPr>
                          <w:color w:val="000000"/>
                          <w:sz w:val="20"/>
                          <w:shd w:val="clear" w:color="auto" w:fill="FFFFFF"/>
                        </w:rPr>
                        <w:t>Zde se za nezaměstnané považují všechny osoby patnáctileté a starší, které souběžně splňovaly tři podmínky:</w:t>
                      </w:r>
                      <w:r w:rsidRPr="00A139EF">
                        <w:rPr>
                          <w:color w:val="000000"/>
                          <w:sz w:val="20"/>
                        </w:rPr>
                        <w:br/>
                      </w:r>
                      <w:r w:rsidRPr="00A139EF">
                        <w:rPr>
                          <w:color w:val="000000"/>
                          <w:sz w:val="20"/>
                          <w:shd w:val="clear" w:color="auto" w:fill="FFFFFF"/>
                        </w:rPr>
                        <w:t>- nebyly zaměstnané </w:t>
                      </w:r>
                      <w:r w:rsidRPr="00A139EF">
                        <w:rPr>
                          <w:color w:val="000000"/>
                          <w:sz w:val="20"/>
                        </w:rPr>
                        <w:br/>
                      </w:r>
                      <w:r w:rsidRPr="00A139EF">
                        <w:rPr>
                          <w:color w:val="000000"/>
                          <w:sz w:val="20"/>
                          <w:shd w:val="clear" w:color="auto" w:fill="FFFFFF"/>
                        </w:rPr>
                        <w:t>- hledaly aktivně práci</w:t>
                      </w:r>
                      <w:r w:rsidRPr="00A139EF">
                        <w:rPr>
                          <w:color w:val="000000"/>
                          <w:sz w:val="20"/>
                        </w:rPr>
                        <w:br/>
                      </w:r>
                      <w:r w:rsidRPr="00A139EF">
                        <w:rPr>
                          <w:color w:val="000000"/>
                          <w:sz w:val="20"/>
                          <w:shd w:val="clear" w:color="auto" w:fill="FFFFFF"/>
                        </w:rPr>
                        <w:t>- byly připraveny k nástupu do práce</w:t>
                      </w:r>
                      <w:r w:rsidRPr="00175785">
                        <w:rPr>
                          <w:color w:val="000000"/>
                          <w:sz w:val="20"/>
                          <w:shd w:val="clear" w:color="auto" w:fill="FFFFFF"/>
                        </w:rPr>
                        <w:t>,</w:t>
                      </w:r>
                      <w:r w:rsidRPr="00A139EF">
                        <w:rPr>
                          <w:color w:val="000000"/>
                          <w:sz w:val="20"/>
                          <w:shd w:val="clear" w:color="auto" w:fill="FFFFFF"/>
                        </w:rPr>
                        <w:t xml:space="preserve"> a to nejpozději do </w:t>
                      </w:r>
                      <w:proofErr w:type="gramStart"/>
                      <w:r w:rsidRPr="00A139EF">
                        <w:rPr>
                          <w:color w:val="000000"/>
                          <w:sz w:val="20"/>
                          <w:shd w:val="clear" w:color="auto" w:fill="FFFFFF"/>
                        </w:rPr>
                        <w:t>14-ti</w:t>
                      </w:r>
                      <w:proofErr w:type="gramEnd"/>
                      <w:r w:rsidRPr="00A139EF">
                        <w:rPr>
                          <w:color w:val="000000"/>
                          <w:sz w:val="20"/>
                          <w:shd w:val="clear" w:color="auto" w:fill="FFFFFF"/>
                        </w:rPr>
                        <w:t xml:space="preserve"> dnů.</w:t>
                      </w:r>
                    </w:p>
                    <w:p w:rsidR="00AF32D2" w:rsidRPr="00A139EF" w:rsidRDefault="00AF32D2" w:rsidP="00F64B7F">
                      <w:pPr>
                        <w:numPr>
                          <w:ilvl w:val="0"/>
                          <w:numId w:val="11"/>
                        </w:numPr>
                        <w:rPr>
                          <w:color w:val="000000"/>
                          <w:sz w:val="20"/>
                        </w:rPr>
                      </w:pPr>
                      <w:r w:rsidRPr="00F64B7F">
                        <w:rPr>
                          <w:color w:val="000000"/>
                          <w:sz w:val="20"/>
                        </w:rPr>
                        <w:t xml:space="preserve">MPSV zveřejňuje </w:t>
                      </w:r>
                      <w:r w:rsidRPr="00A139EF">
                        <w:rPr>
                          <w:b/>
                          <w:color w:val="000000"/>
                          <w:sz w:val="20"/>
                        </w:rPr>
                        <w:t>míru registrované nezaměstnanosti</w:t>
                      </w:r>
                      <w:r w:rsidRPr="00F64B7F">
                        <w:rPr>
                          <w:color w:val="000000"/>
                          <w:sz w:val="20"/>
                        </w:rPr>
                        <w:t xml:space="preserve"> na základě počtu uchazečů o zaměstnání registrovaných</w:t>
                      </w:r>
                      <w:r>
                        <w:rPr>
                          <w:color w:val="000000"/>
                          <w:sz w:val="20"/>
                        </w:rPr>
                        <w:t xml:space="preserve"> na Úřadu práce ČR.</w:t>
                      </w:r>
                    </w:p>
                    <w:p w:rsidR="00AF32D2" w:rsidRPr="00A139EF" w:rsidRDefault="00AF32D2" w:rsidP="00A139EF">
                      <w:pPr>
                        <w:rPr>
                          <w:color w:val="000000"/>
                          <w:sz w:val="20"/>
                        </w:rPr>
                      </w:pPr>
                      <w:r w:rsidRPr="00175785">
                        <w:rPr>
                          <w:color w:val="000000"/>
                          <w:sz w:val="20"/>
                        </w:rPr>
                        <w:t xml:space="preserve">Oba přístupy měří počet nezaměstnaných vůči pracovní síle (tedy zaměstnaných + nezaměstnaných osob). Nicméně se můžete setkat se třetím ukazatelem, kterým je </w:t>
                      </w:r>
                      <w:r w:rsidRPr="00A139EF">
                        <w:rPr>
                          <w:b/>
                          <w:color w:val="000000"/>
                          <w:sz w:val="20"/>
                        </w:rPr>
                        <w:t>Podíl nezaměstnaných osob</w:t>
                      </w:r>
                      <w:r w:rsidRPr="00175785">
                        <w:rPr>
                          <w:color w:val="000000"/>
                          <w:sz w:val="20"/>
                        </w:rPr>
                        <w:t>. Ten se vypočítá stejně jako míra registr</w:t>
                      </w:r>
                      <w:r>
                        <w:rPr>
                          <w:color w:val="000000"/>
                          <w:sz w:val="20"/>
                        </w:rPr>
                        <w:t>ované</w:t>
                      </w:r>
                      <w:r w:rsidRPr="00175785">
                        <w:rPr>
                          <w:color w:val="000000"/>
                          <w:sz w:val="20"/>
                        </w:rPr>
                        <w:t xml:space="preserve"> nezaměstnanosti s podstatným rozdílem. Počet nezaměstnaných není již v poměru vůči pracovní síle, nýbrž celkové populaci ve věku 15-64. Tento ukazatel se používá pro lepší mezinárodní srovnávání.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7146" w:rsidRPr="00A139EF" w:rsidRDefault="00E27146" w:rsidP="00A139EF"/>
    <w:p w:rsidR="00E27146" w:rsidRPr="00A139EF" w:rsidRDefault="00E27146" w:rsidP="00A139EF"/>
    <w:p w:rsidR="00E27146" w:rsidRPr="00A139EF" w:rsidRDefault="00E27146" w:rsidP="00A139EF"/>
    <w:p w:rsidR="00E27146" w:rsidRPr="00A139EF" w:rsidRDefault="00E27146" w:rsidP="00A139EF"/>
    <w:p w:rsidR="00E27146" w:rsidRPr="00A139EF" w:rsidRDefault="00E27146" w:rsidP="00A139EF"/>
    <w:p w:rsidR="00E27146" w:rsidRPr="00A139EF" w:rsidRDefault="00E27146" w:rsidP="00A139EF"/>
    <w:p w:rsidR="00E27146" w:rsidRPr="00A139EF" w:rsidRDefault="00E27146" w:rsidP="00A139EF"/>
    <w:p w:rsidR="00E27146" w:rsidRPr="00A139EF" w:rsidRDefault="00E27146" w:rsidP="00A139EF"/>
    <w:p w:rsidR="00E27146" w:rsidRPr="00A139EF" w:rsidRDefault="00E27146" w:rsidP="00A139EF">
      <w:pPr>
        <w:tabs>
          <w:tab w:val="left" w:pos="1302"/>
        </w:tabs>
        <w:spacing w:line="240" w:lineRule="auto"/>
      </w:pPr>
    </w:p>
    <w:p w:rsidR="00E27146" w:rsidRDefault="00E27146" w:rsidP="00881EAC">
      <w:pPr>
        <w:tabs>
          <w:tab w:val="left" w:pos="4635"/>
        </w:tabs>
        <w:spacing w:line="240" w:lineRule="auto"/>
        <w:rPr>
          <w:b/>
          <w:sz w:val="22"/>
          <w:szCs w:val="22"/>
        </w:rPr>
      </w:pPr>
    </w:p>
    <w:p w:rsidR="00F64B7F" w:rsidRDefault="00F64B7F" w:rsidP="00881EAC">
      <w:pPr>
        <w:tabs>
          <w:tab w:val="left" w:pos="4635"/>
        </w:tabs>
        <w:spacing w:line="240" w:lineRule="auto"/>
        <w:rPr>
          <w:b/>
          <w:sz w:val="22"/>
          <w:szCs w:val="22"/>
        </w:rPr>
      </w:pPr>
    </w:p>
    <w:p w:rsidR="00F64B7F" w:rsidRDefault="00F64B7F" w:rsidP="00881EAC">
      <w:pPr>
        <w:tabs>
          <w:tab w:val="left" w:pos="4635"/>
        </w:tabs>
        <w:spacing w:line="240" w:lineRule="auto"/>
        <w:rPr>
          <w:b/>
          <w:sz w:val="22"/>
          <w:szCs w:val="22"/>
        </w:rPr>
      </w:pPr>
    </w:p>
    <w:p w:rsidR="00014293" w:rsidRDefault="00014293" w:rsidP="00881EAC">
      <w:pPr>
        <w:tabs>
          <w:tab w:val="left" w:pos="4635"/>
        </w:tabs>
        <w:spacing w:line="240" w:lineRule="auto"/>
        <w:rPr>
          <w:b/>
          <w:sz w:val="22"/>
          <w:szCs w:val="22"/>
        </w:rPr>
      </w:pPr>
    </w:p>
    <w:p w:rsidR="00014293" w:rsidRDefault="00014293" w:rsidP="00881EAC">
      <w:pPr>
        <w:tabs>
          <w:tab w:val="left" w:pos="4635"/>
        </w:tabs>
        <w:spacing w:line="240" w:lineRule="auto"/>
        <w:rPr>
          <w:b/>
          <w:sz w:val="22"/>
          <w:szCs w:val="22"/>
        </w:rPr>
      </w:pPr>
    </w:p>
    <w:p w:rsidR="00881EAC" w:rsidRPr="00AD3AC1" w:rsidRDefault="00881EAC" w:rsidP="00A139EF">
      <w:pPr>
        <w:pBdr>
          <w:top w:val="single" w:sz="4" w:space="1" w:color="auto"/>
        </w:pBdr>
        <w:tabs>
          <w:tab w:val="left" w:pos="4635"/>
        </w:tabs>
        <w:spacing w:line="240" w:lineRule="auto"/>
        <w:rPr>
          <w:b/>
          <w:sz w:val="22"/>
          <w:szCs w:val="22"/>
        </w:rPr>
      </w:pPr>
      <w:r w:rsidRPr="00AD3AC1">
        <w:rPr>
          <w:b/>
          <w:sz w:val="22"/>
          <w:szCs w:val="22"/>
        </w:rPr>
        <w:t>Příloh</w:t>
      </w:r>
      <w:r>
        <w:rPr>
          <w:b/>
          <w:sz w:val="22"/>
          <w:szCs w:val="22"/>
        </w:rPr>
        <w:t>y</w:t>
      </w:r>
      <w:r w:rsidRPr="00AD3AC1">
        <w:rPr>
          <w:b/>
          <w:sz w:val="22"/>
          <w:szCs w:val="22"/>
        </w:rPr>
        <w:t xml:space="preserve">: </w:t>
      </w:r>
    </w:p>
    <w:p w:rsidR="001A719F" w:rsidRDefault="001A719F" w:rsidP="00A139EF">
      <w:pPr>
        <w:spacing w:line="240" w:lineRule="auto"/>
        <w:rPr>
          <w:b/>
          <w:sz w:val="20"/>
        </w:rPr>
      </w:pPr>
    </w:p>
    <w:p w:rsidR="00DF5F95" w:rsidRPr="00112175" w:rsidRDefault="00EF2CF1" w:rsidP="00A139EF">
      <w:pPr>
        <w:spacing w:line="240" w:lineRule="auto"/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192405</wp:posOffset>
            </wp:positionV>
            <wp:extent cx="5212715" cy="2572385"/>
            <wp:effectExtent l="0" t="0" r="0" b="0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EAC" w:rsidRPr="00112175">
        <w:rPr>
          <w:b/>
          <w:sz w:val="20"/>
        </w:rPr>
        <w:t xml:space="preserve">Příloha č. 1: </w:t>
      </w:r>
      <w:r w:rsidR="00881EAC" w:rsidRPr="00112175">
        <w:rPr>
          <w:b/>
          <w:noProof/>
          <w:sz w:val="20"/>
        </w:rPr>
        <w:t>Nezaměstnanost a přirozená míra nezaměstnanosti</w:t>
      </w:r>
    </w:p>
    <w:p w:rsidR="001A719F" w:rsidRDefault="001A719F" w:rsidP="001A719F">
      <w:pPr>
        <w:spacing w:before="120"/>
        <w:rPr>
          <w:b/>
          <w:sz w:val="20"/>
        </w:rPr>
      </w:pPr>
      <w:r>
        <w:rPr>
          <w:b/>
          <w:sz w:val="20"/>
        </w:rPr>
        <w:t>Příloha č. 2: Průměrná měsíční mzda ve švédských korunách v roce 1987</w:t>
      </w:r>
    </w:p>
    <w:p w:rsidR="001A719F" w:rsidRDefault="001A719F" w:rsidP="001A719F">
      <w:pPr>
        <w:spacing w:before="120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-98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435"/>
        <w:gridCol w:w="974"/>
        <w:gridCol w:w="1335"/>
        <w:gridCol w:w="1024"/>
        <w:gridCol w:w="735"/>
      </w:tblGrid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nil"/>
            </w:tcBorders>
          </w:tcPr>
          <w:p w:rsidR="001A719F" w:rsidRDefault="001A719F" w:rsidP="00AF32D2">
            <w:pPr>
              <w:rPr>
                <w:sz w:val="20"/>
              </w:rPr>
            </w:pPr>
            <w:bookmarkStart w:id="2" w:name="_Hlk1317708"/>
            <w:r>
              <w:rPr>
                <w:sz w:val="20"/>
              </w:rPr>
              <w:t>Povolání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1A719F" w:rsidRDefault="001A719F" w:rsidP="00AF32D2">
            <w:pPr>
              <w:rPr>
                <w:sz w:val="20"/>
              </w:rPr>
            </w:pPr>
            <w:r>
              <w:rPr>
                <w:sz w:val="20"/>
              </w:rPr>
              <w:t>Země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1A719F" w:rsidRDefault="001A719F" w:rsidP="00AF32D2">
            <w:pPr>
              <w:rPr>
                <w:sz w:val="20"/>
              </w:rPr>
            </w:pPr>
            <w:r>
              <w:rPr>
                <w:sz w:val="20"/>
              </w:rPr>
              <w:t>Před zdaněním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1A719F" w:rsidRDefault="001A719F" w:rsidP="00AF32D2">
            <w:pPr>
              <w:rPr>
                <w:sz w:val="20"/>
              </w:rPr>
            </w:pPr>
            <w:r>
              <w:rPr>
                <w:sz w:val="20"/>
              </w:rPr>
              <w:t>Po zdanění</w:t>
            </w:r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1A719F" w:rsidRDefault="001A719F" w:rsidP="00AF32D2">
            <w:pPr>
              <w:rPr>
                <w:sz w:val="20"/>
              </w:rPr>
            </w:pPr>
            <w:r>
              <w:rPr>
                <w:sz w:val="20"/>
              </w:rPr>
              <w:t>% daně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2" w:space="0" w:color="000000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Zdravotní sestra</w:t>
            </w:r>
          </w:p>
        </w:tc>
        <w:tc>
          <w:tcPr>
            <w:tcW w:w="0" w:type="auto"/>
            <w:tcBorders>
              <w:top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Švédsko</w:t>
            </w:r>
          </w:p>
        </w:tc>
        <w:tc>
          <w:tcPr>
            <w:tcW w:w="0" w:type="auto"/>
            <w:tcBorders>
              <w:top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9 700</w:t>
            </w:r>
          </w:p>
        </w:tc>
        <w:tc>
          <w:tcPr>
            <w:tcW w:w="0" w:type="auto"/>
            <w:tcBorders>
              <w:top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6 200</w:t>
            </w:r>
          </w:p>
        </w:tc>
        <w:tc>
          <w:tcPr>
            <w:tcW w:w="0" w:type="auto"/>
            <w:tcBorders>
              <w:top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36,02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Švýcarsko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13 400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10,67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000000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Inženýr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Švédsko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9 600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49,47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Švýcarsko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25 200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18,71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000000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Novinář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Švédsko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12 300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7 500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39,02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Švýcarsko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30 700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23,25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000000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Lékař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Švédsko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23 000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10 600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53,91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Švýcarsko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24 600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000000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Ekonom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Švédsko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9 600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49,47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Švýcarsko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30 700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19,21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000000"/>
              <w:bottom w:val="nil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Řidič autobusu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Švédsko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6 400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1A719F" w:rsidTr="001A719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bottom w:val="single" w:sz="12" w:space="0" w:color="000000"/>
            </w:tcBorders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Švýcarsko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22 600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19 200</w:t>
            </w:r>
          </w:p>
        </w:tc>
        <w:tc>
          <w:tcPr>
            <w:tcW w:w="0" w:type="auto"/>
          </w:tcPr>
          <w:p w:rsidR="001A719F" w:rsidRDefault="001A719F" w:rsidP="00AF32D2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15,04</w:t>
            </w:r>
          </w:p>
        </w:tc>
      </w:tr>
      <w:bookmarkEnd w:id="2"/>
    </w:tbl>
    <w:p w:rsidR="001A719F" w:rsidRDefault="001A719F" w:rsidP="001A719F">
      <w:pPr>
        <w:spacing w:before="120"/>
        <w:jc w:val="center"/>
        <w:rPr>
          <w:b/>
          <w:sz w:val="20"/>
        </w:rPr>
      </w:pPr>
    </w:p>
    <w:p w:rsidR="00112175" w:rsidRDefault="00112175" w:rsidP="00112175">
      <w:pPr>
        <w:spacing w:before="120"/>
        <w:rPr>
          <w:b/>
          <w:sz w:val="20"/>
        </w:rPr>
      </w:pPr>
    </w:p>
    <w:p w:rsidR="00AF3D0A" w:rsidRDefault="00AF3D0A" w:rsidP="00112175">
      <w:pPr>
        <w:spacing w:before="120"/>
        <w:rPr>
          <w:b/>
          <w:sz w:val="20"/>
        </w:rPr>
      </w:pPr>
    </w:p>
    <w:p w:rsidR="00AF3D0A" w:rsidRDefault="00AF3D0A" w:rsidP="00112175">
      <w:pPr>
        <w:spacing w:before="120"/>
        <w:rPr>
          <w:b/>
          <w:sz w:val="20"/>
        </w:rPr>
      </w:pPr>
    </w:p>
    <w:p w:rsidR="00AF3D0A" w:rsidRDefault="00AF3D0A" w:rsidP="00112175">
      <w:pPr>
        <w:spacing w:before="120"/>
        <w:rPr>
          <w:b/>
          <w:sz w:val="20"/>
        </w:rPr>
      </w:pPr>
    </w:p>
    <w:p w:rsidR="00AF3D0A" w:rsidRDefault="00AF3D0A" w:rsidP="00112175">
      <w:pPr>
        <w:spacing w:before="120"/>
        <w:rPr>
          <w:b/>
          <w:sz w:val="20"/>
        </w:rPr>
      </w:pPr>
    </w:p>
    <w:p w:rsidR="00AF3D0A" w:rsidRDefault="00AF3D0A" w:rsidP="00112175">
      <w:pPr>
        <w:spacing w:before="120"/>
        <w:rPr>
          <w:b/>
          <w:sz w:val="20"/>
        </w:rPr>
      </w:pPr>
    </w:p>
    <w:p w:rsidR="00AF3D0A" w:rsidRDefault="00E75105" w:rsidP="00E75105">
      <w:pPr>
        <w:spacing w:before="120"/>
        <w:rPr>
          <w:b/>
          <w:sz w:val="20"/>
        </w:rPr>
      </w:pPr>
      <w:r>
        <w:rPr>
          <w:b/>
          <w:sz w:val="20"/>
        </w:rPr>
        <w:br w:type="page"/>
      </w:r>
      <w:r w:rsidR="00EF2CF1">
        <w:rPr>
          <w:b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3084830</wp:posOffset>
            </wp:positionH>
            <wp:positionV relativeFrom="margin">
              <wp:posOffset>374650</wp:posOffset>
            </wp:positionV>
            <wp:extent cx="3833495" cy="3173730"/>
            <wp:effectExtent l="0" t="0" r="0" b="0"/>
            <wp:wrapSquare wrapText="bothSides"/>
            <wp:docPr id="22" name="obrázek 2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D0A" w:rsidRPr="00E168EC">
        <w:rPr>
          <w:b/>
          <w:sz w:val="20"/>
        </w:rPr>
        <w:t>Příloha č.</w:t>
      </w:r>
      <w:r w:rsidR="00AF3D0A">
        <w:rPr>
          <w:b/>
          <w:sz w:val="20"/>
        </w:rPr>
        <w:t xml:space="preserve"> </w:t>
      </w:r>
      <w:r w:rsidR="00AF3D0A" w:rsidRPr="00E168EC">
        <w:rPr>
          <w:b/>
          <w:sz w:val="20"/>
        </w:rPr>
        <w:t>3</w:t>
      </w:r>
      <w:r w:rsidR="00AF3D0A">
        <w:rPr>
          <w:b/>
          <w:sz w:val="20"/>
        </w:rPr>
        <w:t>:</w:t>
      </w:r>
      <w:r w:rsidR="00AF3D0A" w:rsidRPr="00E168EC">
        <w:rPr>
          <w:b/>
          <w:sz w:val="20"/>
        </w:rPr>
        <w:t xml:space="preserve"> GINI koeficient dle </w:t>
      </w:r>
      <w:r w:rsidR="00AF3D0A">
        <w:rPr>
          <w:b/>
          <w:sz w:val="20"/>
        </w:rPr>
        <w:t>Světové Banky</w:t>
      </w:r>
      <w:r w:rsidR="00AF3D0A" w:rsidRPr="00E168EC">
        <w:rPr>
          <w:b/>
          <w:sz w:val="20"/>
        </w:rPr>
        <w:t xml:space="preserve"> </w:t>
      </w:r>
      <w:r w:rsidR="00AF3D0A">
        <w:rPr>
          <w:b/>
          <w:sz w:val="20"/>
        </w:rPr>
        <w:t>(</w:t>
      </w:r>
      <w:r w:rsidR="00AF3D0A" w:rsidRPr="00E168EC">
        <w:rPr>
          <w:b/>
          <w:sz w:val="20"/>
        </w:rPr>
        <w:t>200</w:t>
      </w:r>
      <w:r w:rsidR="00AF3D0A">
        <w:rPr>
          <w:b/>
          <w:sz w:val="20"/>
        </w:rPr>
        <w:t>9</w:t>
      </w:r>
      <w:r w:rsidR="00AF3D0A" w:rsidRPr="00E168EC">
        <w:rPr>
          <w:b/>
          <w:sz w:val="20"/>
        </w:rPr>
        <w:t>-</w:t>
      </w:r>
      <w:r w:rsidR="00AF3D0A">
        <w:rPr>
          <w:b/>
          <w:sz w:val="20"/>
        </w:rPr>
        <w:t>11</w:t>
      </w:r>
      <w:r w:rsidR="00AF3D0A" w:rsidRPr="00E168EC">
        <w:rPr>
          <w:b/>
          <w:sz w:val="20"/>
        </w:rPr>
        <w:t>)</w:t>
      </w:r>
      <w:r w:rsidR="00AF32D2">
        <w:rPr>
          <w:b/>
          <w:sz w:val="20"/>
        </w:rPr>
        <w:tab/>
      </w:r>
      <w:r w:rsidR="00AF32D2">
        <w:rPr>
          <w:b/>
          <w:sz w:val="20"/>
        </w:rPr>
        <w:tab/>
      </w:r>
      <w:bookmarkStart w:id="3" w:name="_Hlk1318145"/>
      <w:r w:rsidR="00B312EC">
        <w:rPr>
          <w:b/>
          <w:sz w:val="20"/>
        </w:rPr>
        <w:tab/>
      </w:r>
      <w:r w:rsidR="00AF32D2">
        <w:rPr>
          <w:b/>
          <w:sz w:val="20"/>
        </w:rPr>
        <w:t>Příloha č. 4: Nerovnost ve světě</w:t>
      </w:r>
      <w:bookmarkEnd w:id="3"/>
    </w:p>
    <w:tbl>
      <w:tblPr>
        <w:tblpPr w:leftFromText="141" w:rightFromText="141" w:vertAnchor="text" w:horzAnchor="page" w:tblpX="1003" w:tblpY="300"/>
        <w:tblW w:w="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920"/>
        <w:gridCol w:w="1067"/>
      </w:tblGrid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bookmarkStart w:id="4" w:name="_Hlk1317948"/>
            <w:r w:rsidRPr="00E168EC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Jižní Afrika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63,4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Namibie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6</w:t>
            </w:r>
            <w:r>
              <w:rPr>
                <w:rFonts w:ascii="Calibri" w:hAnsi="Calibri"/>
                <w:color w:val="000000"/>
                <w:sz w:val="20"/>
              </w:rPr>
              <w:t>1,3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Brazílie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5</w:t>
            </w:r>
            <w:r>
              <w:rPr>
                <w:rFonts w:ascii="Calibri" w:hAnsi="Calibri"/>
                <w:color w:val="000000"/>
                <w:sz w:val="20"/>
              </w:rPr>
              <w:t>1,3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2</w:t>
            </w:r>
            <w:r>
              <w:rPr>
                <w:rFonts w:ascii="Calibri" w:hAnsi="Calibri"/>
                <w:color w:val="000000"/>
                <w:sz w:val="20"/>
              </w:rPr>
              <w:t>0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Mexiko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48,2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Nigérie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43,0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57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Čína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4</w:t>
            </w:r>
            <w:r>
              <w:rPr>
                <w:rFonts w:ascii="Calibri" w:hAnsi="Calibri"/>
                <w:color w:val="000000"/>
                <w:sz w:val="20"/>
              </w:rPr>
              <w:t>2,2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63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Turecko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41,2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65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USA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41,0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84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Rusko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37</w:t>
            </w:r>
            <w:r>
              <w:rPr>
                <w:rFonts w:ascii="Calibri" w:hAnsi="Calibri"/>
                <w:color w:val="000000"/>
                <w:sz w:val="20"/>
              </w:rPr>
              <w:t>,7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91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Španělsko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36</w:t>
            </w:r>
            <w:r>
              <w:rPr>
                <w:rFonts w:ascii="Calibri" w:hAnsi="Calibri"/>
                <w:color w:val="000000"/>
                <w:sz w:val="20"/>
              </w:rPr>
              <w:t>,0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92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Řecko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35,8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104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Indie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35,1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106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Itálie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34</w:t>
            </w:r>
            <w:r>
              <w:rPr>
                <w:rFonts w:ascii="Calibri" w:hAnsi="Calibri"/>
                <w:color w:val="000000"/>
                <w:sz w:val="20"/>
              </w:rPr>
              <w:t>,7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106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Austrálie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3</w:t>
            </w:r>
            <w:r>
              <w:rPr>
                <w:rFonts w:ascii="Calibri" w:hAnsi="Calibri"/>
                <w:color w:val="000000"/>
                <w:sz w:val="20"/>
              </w:rPr>
              <w:t>4,7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109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Velká Británie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34,1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121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Švýcarsko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32,5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136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Německo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31,4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44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Irák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29,5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154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Š</w:t>
            </w:r>
            <w:r>
              <w:rPr>
                <w:rFonts w:ascii="Calibri" w:hAnsi="Calibri"/>
                <w:color w:val="000000"/>
                <w:sz w:val="20"/>
              </w:rPr>
              <w:t>védsko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27,2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161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Slovensko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26,1</w:t>
            </w:r>
          </w:p>
        </w:tc>
      </w:tr>
      <w:tr w:rsidR="00B312EC" w:rsidRPr="00E168EC" w:rsidTr="00B312EC">
        <w:trPr>
          <w:trHeight w:val="255"/>
        </w:trPr>
        <w:tc>
          <w:tcPr>
            <w:tcW w:w="96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alibri" w:hAnsi="Calibri"/>
                <w:color w:val="000000"/>
                <w:sz w:val="20"/>
              </w:rPr>
            </w:pPr>
            <w:r w:rsidRPr="00E168EC">
              <w:rPr>
                <w:rFonts w:ascii="Calibri" w:hAnsi="Calibri"/>
                <w:color w:val="000000"/>
                <w:sz w:val="20"/>
              </w:rPr>
              <w:t>1</w:t>
            </w:r>
            <w:r>
              <w:rPr>
                <w:rFonts w:ascii="Calibri" w:hAnsi="Calibri"/>
                <w:color w:val="000000"/>
                <w:sz w:val="20"/>
              </w:rPr>
              <w:t>62</w:t>
            </w:r>
          </w:p>
        </w:tc>
        <w:tc>
          <w:tcPr>
            <w:tcW w:w="1920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Česká republika</w:t>
            </w:r>
          </w:p>
        </w:tc>
        <w:tc>
          <w:tcPr>
            <w:tcW w:w="1067" w:type="dxa"/>
            <w:noWrap/>
            <w:hideMark/>
          </w:tcPr>
          <w:p w:rsidR="00B312EC" w:rsidRPr="00E168EC" w:rsidRDefault="00B312EC" w:rsidP="00B312EC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25,9</w:t>
            </w:r>
          </w:p>
        </w:tc>
      </w:tr>
      <w:bookmarkEnd w:id="4"/>
    </w:tbl>
    <w:p w:rsidR="00B312EC" w:rsidRDefault="00B312EC" w:rsidP="00B312EC">
      <w:pPr>
        <w:jc w:val="left"/>
        <w:rPr>
          <w:b/>
          <w:sz w:val="20"/>
        </w:rPr>
      </w:pPr>
    </w:p>
    <w:p w:rsidR="00B312EC" w:rsidRDefault="00B312EC" w:rsidP="00B312EC">
      <w:pPr>
        <w:jc w:val="left"/>
        <w:rPr>
          <w:b/>
          <w:sz w:val="20"/>
        </w:rPr>
      </w:pPr>
    </w:p>
    <w:p w:rsidR="00B312EC" w:rsidRDefault="00B312EC" w:rsidP="00B312EC">
      <w:pPr>
        <w:jc w:val="center"/>
        <w:rPr>
          <w:b/>
          <w:sz w:val="20"/>
        </w:rPr>
      </w:pPr>
      <w:bookmarkStart w:id="5" w:name="_Hlk1318015"/>
    </w:p>
    <w:p w:rsidR="00B312EC" w:rsidRDefault="00B312EC" w:rsidP="00B312EC">
      <w:pPr>
        <w:jc w:val="center"/>
        <w:rPr>
          <w:b/>
          <w:sz w:val="20"/>
        </w:rPr>
      </w:pPr>
      <w:r>
        <w:rPr>
          <w:b/>
          <w:sz w:val="20"/>
        </w:rPr>
        <w:t xml:space="preserve">Příloha č. 5: % obyvatel ohrožených chudobou dle </w:t>
      </w:r>
      <w:proofErr w:type="spellStart"/>
      <w:r>
        <w:rPr>
          <w:b/>
          <w:sz w:val="20"/>
        </w:rPr>
        <w:t>Eurostatu</w:t>
      </w:r>
      <w:proofErr w:type="spellEnd"/>
    </w:p>
    <w:bookmarkEnd w:id="5"/>
    <w:p w:rsidR="00B312EC" w:rsidRDefault="00EF2CF1" w:rsidP="00B312EC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28440" cy="2704465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70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2EC" w:rsidRDefault="00B312EC" w:rsidP="00B312EC">
      <w:pPr>
        <w:jc w:val="center"/>
        <w:rPr>
          <w:b/>
          <w:sz w:val="20"/>
        </w:rPr>
      </w:pPr>
      <w:r>
        <w:rPr>
          <w:b/>
          <w:sz w:val="20"/>
        </w:rPr>
        <w:t xml:space="preserve">Příloha č. 6: Míra nezaměstnanosti v ČR (1995-2017) dle </w:t>
      </w:r>
      <w:proofErr w:type="spellStart"/>
      <w:r>
        <w:rPr>
          <w:b/>
          <w:sz w:val="20"/>
        </w:rPr>
        <w:t>Eurostatu</w:t>
      </w:r>
      <w:proofErr w:type="spellEnd"/>
    </w:p>
    <w:p w:rsidR="00B312EC" w:rsidRPr="00A139EF" w:rsidRDefault="00EF2CF1" w:rsidP="00B312EC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27270" cy="213677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12EC" w:rsidRPr="00A139EF" w:rsidSect="001A719F">
      <w:footerReference w:type="default" r:id="rId16"/>
      <w:pgSz w:w="11907" w:h="16840" w:code="9"/>
      <w:pgMar w:top="465" w:right="567" w:bottom="1015" w:left="56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1B6" w:rsidRDefault="00C911B6" w:rsidP="006C0FC7">
      <w:pPr>
        <w:spacing w:line="240" w:lineRule="auto"/>
      </w:pPr>
      <w:r>
        <w:separator/>
      </w:r>
    </w:p>
  </w:endnote>
  <w:endnote w:type="continuationSeparator" w:id="0">
    <w:p w:rsidR="00C911B6" w:rsidRDefault="00C911B6" w:rsidP="006C0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BF7" w:rsidRDefault="00B10BF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10BF7" w:rsidRDefault="00B10B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1B6" w:rsidRDefault="00C911B6" w:rsidP="006C0FC7">
      <w:pPr>
        <w:spacing w:line="240" w:lineRule="auto"/>
      </w:pPr>
      <w:r>
        <w:separator/>
      </w:r>
    </w:p>
  </w:footnote>
  <w:footnote w:type="continuationSeparator" w:id="0">
    <w:p w:rsidR="00C911B6" w:rsidRDefault="00C911B6" w:rsidP="006C0F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BA26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1F461C4"/>
    <w:lvl w:ilvl="0">
      <w:numFmt w:val="decimal"/>
      <w:lvlText w:val="*"/>
      <w:lvlJc w:val="left"/>
    </w:lvl>
  </w:abstractNum>
  <w:abstractNum w:abstractNumId="2" w15:restartNumberingAfterBreak="0">
    <w:nsid w:val="07527248"/>
    <w:multiLevelType w:val="hybridMultilevel"/>
    <w:tmpl w:val="8EBE7F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060"/>
    <w:multiLevelType w:val="hybridMultilevel"/>
    <w:tmpl w:val="15BC0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A76"/>
    <w:multiLevelType w:val="hybridMultilevel"/>
    <w:tmpl w:val="1884F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52BD"/>
    <w:multiLevelType w:val="singleLevel"/>
    <w:tmpl w:val="BAB073B0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D1D6626"/>
    <w:multiLevelType w:val="hybridMultilevel"/>
    <w:tmpl w:val="E60AC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340ED"/>
    <w:multiLevelType w:val="hybridMultilevel"/>
    <w:tmpl w:val="CE6C8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C4AFE"/>
    <w:multiLevelType w:val="hybridMultilevel"/>
    <w:tmpl w:val="52CCC7C8"/>
    <w:lvl w:ilvl="0" w:tplc="01F8C1F2">
      <w:start w:val="1"/>
      <w:numFmt w:val="bullet"/>
      <w:pStyle w:val="Seznamsodrkami"/>
      <w:lvlText w:val=""/>
      <w:lvlJc w:val="left"/>
      <w:pPr>
        <w:tabs>
          <w:tab w:val="num" w:pos="643"/>
        </w:tabs>
        <w:ind w:left="283" w:firstLine="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B6"/>
    <w:rsid w:val="00014293"/>
    <w:rsid w:val="0005030A"/>
    <w:rsid w:val="0006075A"/>
    <w:rsid w:val="000B4CB1"/>
    <w:rsid w:val="000B7F74"/>
    <w:rsid w:val="000D0B8C"/>
    <w:rsid w:val="000D1250"/>
    <w:rsid w:val="00112175"/>
    <w:rsid w:val="00165DA4"/>
    <w:rsid w:val="00175785"/>
    <w:rsid w:val="00183E95"/>
    <w:rsid w:val="001A719F"/>
    <w:rsid w:val="001B748E"/>
    <w:rsid w:val="001C25E7"/>
    <w:rsid w:val="00214704"/>
    <w:rsid w:val="00215D8F"/>
    <w:rsid w:val="00273BAA"/>
    <w:rsid w:val="00282FD8"/>
    <w:rsid w:val="002B6C80"/>
    <w:rsid w:val="002C25B0"/>
    <w:rsid w:val="002E7691"/>
    <w:rsid w:val="003076A1"/>
    <w:rsid w:val="003214CE"/>
    <w:rsid w:val="003216C2"/>
    <w:rsid w:val="0034561C"/>
    <w:rsid w:val="0038362D"/>
    <w:rsid w:val="003906F7"/>
    <w:rsid w:val="003B5DFE"/>
    <w:rsid w:val="003D05B6"/>
    <w:rsid w:val="003D4094"/>
    <w:rsid w:val="00433CD7"/>
    <w:rsid w:val="004D16F4"/>
    <w:rsid w:val="00545A37"/>
    <w:rsid w:val="00572967"/>
    <w:rsid w:val="00592339"/>
    <w:rsid w:val="005C0249"/>
    <w:rsid w:val="005D5ADF"/>
    <w:rsid w:val="006021CD"/>
    <w:rsid w:val="00604D87"/>
    <w:rsid w:val="00635553"/>
    <w:rsid w:val="00664190"/>
    <w:rsid w:val="006677C7"/>
    <w:rsid w:val="0067434A"/>
    <w:rsid w:val="00682889"/>
    <w:rsid w:val="006B7C04"/>
    <w:rsid w:val="006C0FC7"/>
    <w:rsid w:val="006C1A22"/>
    <w:rsid w:val="006D4E8B"/>
    <w:rsid w:val="007475EB"/>
    <w:rsid w:val="00777C20"/>
    <w:rsid w:val="007973C1"/>
    <w:rsid w:val="007A12F1"/>
    <w:rsid w:val="007A5702"/>
    <w:rsid w:val="007B40E6"/>
    <w:rsid w:val="007D0E8D"/>
    <w:rsid w:val="007D7FC8"/>
    <w:rsid w:val="007E5151"/>
    <w:rsid w:val="0081033C"/>
    <w:rsid w:val="0082458F"/>
    <w:rsid w:val="00835236"/>
    <w:rsid w:val="008359F0"/>
    <w:rsid w:val="00835A1E"/>
    <w:rsid w:val="00850BB2"/>
    <w:rsid w:val="00865D6C"/>
    <w:rsid w:val="00881EAC"/>
    <w:rsid w:val="00882462"/>
    <w:rsid w:val="008C77BF"/>
    <w:rsid w:val="008F0B72"/>
    <w:rsid w:val="008F7626"/>
    <w:rsid w:val="00917D8A"/>
    <w:rsid w:val="009232C3"/>
    <w:rsid w:val="00927D6F"/>
    <w:rsid w:val="0098604A"/>
    <w:rsid w:val="00986449"/>
    <w:rsid w:val="00991E40"/>
    <w:rsid w:val="009A361F"/>
    <w:rsid w:val="009A5E65"/>
    <w:rsid w:val="009E62FC"/>
    <w:rsid w:val="00A139EF"/>
    <w:rsid w:val="00A255B6"/>
    <w:rsid w:val="00A317CF"/>
    <w:rsid w:val="00A350B7"/>
    <w:rsid w:val="00A36758"/>
    <w:rsid w:val="00A426CA"/>
    <w:rsid w:val="00A5077C"/>
    <w:rsid w:val="00A51082"/>
    <w:rsid w:val="00A54369"/>
    <w:rsid w:val="00AB272F"/>
    <w:rsid w:val="00AC0362"/>
    <w:rsid w:val="00AD3AC1"/>
    <w:rsid w:val="00AF0941"/>
    <w:rsid w:val="00AF32D2"/>
    <w:rsid w:val="00AF3D0A"/>
    <w:rsid w:val="00B10BF7"/>
    <w:rsid w:val="00B22D74"/>
    <w:rsid w:val="00B312EC"/>
    <w:rsid w:val="00B31D94"/>
    <w:rsid w:val="00B41144"/>
    <w:rsid w:val="00B71602"/>
    <w:rsid w:val="00BC0748"/>
    <w:rsid w:val="00C07BE2"/>
    <w:rsid w:val="00C27D5A"/>
    <w:rsid w:val="00C30CC8"/>
    <w:rsid w:val="00C72CE0"/>
    <w:rsid w:val="00C82F02"/>
    <w:rsid w:val="00C83D0A"/>
    <w:rsid w:val="00C911B6"/>
    <w:rsid w:val="00CA0149"/>
    <w:rsid w:val="00CC3A93"/>
    <w:rsid w:val="00CF2F51"/>
    <w:rsid w:val="00D04CC2"/>
    <w:rsid w:val="00D3656C"/>
    <w:rsid w:val="00D51FFF"/>
    <w:rsid w:val="00D83425"/>
    <w:rsid w:val="00DF00D1"/>
    <w:rsid w:val="00DF5F95"/>
    <w:rsid w:val="00E066DB"/>
    <w:rsid w:val="00E168EC"/>
    <w:rsid w:val="00E27146"/>
    <w:rsid w:val="00E360BD"/>
    <w:rsid w:val="00E4197F"/>
    <w:rsid w:val="00E44460"/>
    <w:rsid w:val="00E6508A"/>
    <w:rsid w:val="00E75105"/>
    <w:rsid w:val="00E83FC5"/>
    <w:rsid w:val="00E87874"/>
    <w:rsid w:val="00E923AB"/>
    <w:rsid w:val="00E97BA8"/>
    <w:rsid w:val="00EA6F9F"/>
    <w:rsid w:val="00EF2CF1"/>
    <w:rsid w:val="00F3347C"/>
    <w:rsid w:val="00F355E0"/>
    <w:rsid w:val="00F50AF7"/>
    <w:rsid w:val="00F5334D"/>
    <w:rsid w:val="00F64B7F"/>
    <w:rsid w:val="00F93DF9"/>
    <w:rsid w:val="00FB7B01"/>
    <w:rsid w:val="00FE74C6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3AF5B8"/>
  <w15:chartTrackingRefBased/>
  <w15:docId w15:val="{21350511-9B66-4C6D-AA92-72F83DE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3A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semiHidden/>
    <w:pPr>
      <w:numPr>
        <w:numId w:val="4"/>
      </w:numPr>
    </w:pPr>
  </w:style>
  <w:style w:type="paragraph" w:customStyle="1" w:styleId="Zdroj">
    <w:name w:val="Zdroj"/>
    <w:basedOn w:val="Normln"/>
    <w:next w:val="Normln"/>
    <w:pPr>
      <w:keepLines/>
      <w:ind w:left="284" w:hanging="284"/>
    </w:pPr>
    <w:rPr>
      <w:spacing w:val="20"/>
      <w:sz w:val="23"/>
    </w:rPr>
  </w:style>
  <w:style w:type="paragraph" w:styleId="Titulek">
    <w:name w:val="caption"/>
    <w:basedOn w:val="Normln"/>
    <w:next w:val="Normln"/>
    <w:qFormat/>
    <w:pPr>
      <w:keepNext/>
      <w:widowControl w:val="0"/>
      <w:spacing w:before="60" w:line="240" w:lineRule="auto"/>
    </w:pPr>
    <w:rPr>
      <w:sz w:val="23"/>
    </w:rPr>
  </w:style>
  <w:style w:type="paragraph" w:styleId="Textpoznpodarou">
    <w:name w:val="footnote text"/>
    <w:basedOn w:val="Normln"/>
    <w:semiHidden/>
    <w:pPr>
      <w:spacing w:line="240" w:lineRule="auto"/>
    </w:pPr>
    <w:rPr>
      <w:sz w:val="20"/>
    </w:rPr>
  </w:style>
  <w:style w:type="paragraph" w:customStyle="1" w:styleId="odrky2">
    <w:name w:val="odrážky 2"/>
    <w:basedOn w:val="Normln"/>
    <w:pPr>
      <w:spacing w:line="324" w:lineRule="auto"/>
      <w:ind w:left="851" w:hanging="284"/>
    </w:pPr>
  </w:style>
  <w:style w:type="character" w:customStyle="1" w:styleId="Nadpis3Char">
    <w:name w:val="Nadpis 3 Char"/>
    <w:link w:val="Nadpis3"/>
    <w:uiPriority w:val="9"/>
    <w:semiHidden/>
    <w:rsid w:val="00AD3AC1"/>
    <w:rPr>
      <w:rFonts w:ascii="Cambria" w:eastAsia="Times New Roman" w:hAnsi="Cambria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E16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6C0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0FC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C0F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0FC7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4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cdn1.globalissues.org/i/poverty/wdi-2008/income-distribution-regional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DD36-9914-4A06-9253-889EB723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 I -</vt:lpstr>
    </vt:vector>
  </TitlesOfParts>
  <Company>Economist</Company>
  <LinksUpToDate>false</LinksUpToDate>
  <CharactersWithSpaces>7143</CharactersWithSpaces>
  <SharedDoc>false</SharedDoc>
  <HLinks>
    <vt:vector size="6" baseType="variant">
      <vt:variant>
        <vt:i4>786449</vt:i4>
      </vt:variant>
      <vt:variant>
        <vt:i4>-1</vt:i4>
      </vt:variant>
      <vt:variant>
        <vt:i4>1046</vt:i4>
      </vt:variant>
      <vt:variant>
        <vt:i4>1</vt:i4>
      </vt:variant>
      <vt:variant>
        <vt:lpwstr>http://cdn1.globalissues.org/i/poverty/wdi-2008/income-distribution-regional.png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 I -</dc:title>
  <dc:subject/>
  <dc:creator>Libor Zidek</dc:creator>
  <cp:keywords/>
  <cp:lastModifiedBy>Westik</cp:lastModifiedBy>
  <cp:revision>2</cp:revision>
  <cp:lastPrinted>1998-12-10T14:34:00Z</cp:lastPrinted>
  <dcterms:created xsi:type="dcterms:W3CDTF">2019-02-17T20:08:00Z</dcterms:created>
  <dcterms:modified xsi:type="dcterms:W3CDTF">2019-02-17T20:08:00Z</dcterms:modified>
</cp:coreProperties>
</file>