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9C5" w:rsidRPr="00FE1AEF" w:rsidRDefault="00E109C5" w:rsidP="00E109C5">
      <w:pPr>
        <w:pStyle w:val="IFRS"/>
      </w:pPr>
      <w:bookmarkStart w:id="0" w:name="_Toc408303315"/>
      <w:r w:rsidRPr="00FE1AEF">
        <w:t>Foreign currency transactions</w:t>
      </w:r>
      <w:bookmarkEnd w:id="0"/>
    </w:p>
    <w:p w:rsidR="00E109C5" w:rsidRPr="00FE1AEF" w:rsidRDefault="00E109C5" w:rsidP="00E109C5">
      <w:pPr>
        <w:pStyle w:val="ListParagraph"/>
        <w:numPr>
          <w:ilvl w:val="0"/>
          <w:numId w:val="12"/>
        </w:numPr>
        <w:ind w:left="360"/>
        <w:jc w:val="both"/>
        <w:rPr>
          <w:rFonts w:asciiTheme="majorHAnsi" w:hAnsiTheme="majorHAnsi"/>
          <w:lang w:val="en-US"/>
        </w:rPr>
      </w:pPr>
      <w:r w:rsidRPr="00FE1AEF">
        <w:rPr>
          <w:rFonts w:asciiTheme="majorHAnsi" w:hAnsiTheme="majorHAnsi"/>
          <w:lang w:val="en-US"/>
        </w:rPr>
        <w:t>An entity’s functional currency is:</w:t>
      </w:r>
    </w:p>
    <w:p w:rsidR="00E109C5" w:rsidRPr="00FE1AEF"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currency in which the financial statements are presented</w:t>
      </w:r>
      <w:r>
        <w:rPr>
          <w:rFonts w:asciiTheme="majorHAnsi" w:hAnsiTheme="majorHAnsi"/>
          <w:lang w:val="en-US"/>
        </w:rPr>
        <w:t>.</w:t>
      </w:r>
    </w:p>
    <w:p w:rsidR="00E109C5" w:rsidRPr="00FE1AEF"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currency of the primary economic environment i</w:t>
      </w:r>
      <w:r>
        <w:rPr>
          <w:rFonts w:asciiTheme="majorHAnsi" w:hAnsiTheme="majorHAnsi"/>
          <w:lang w:val="en-US"/>
        </w:rPr>
        <w:t>n which the entity operates.</w:t>
      </w:r>
    </w:p>
    <w:p w:rsidR="00E109C5" w:rsidRPr="00FE1AEF"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currency in which sales prices for the entity’s goods and services are denominated and settled</w:t>
      </w:r>
      <w:r>
        <w:rPr>
          <w:rFonts w:asciiTheme="majorHAnsi" w:hAnsiTheme="majorHAnsi"/>
          <w:lang w:val="en-US"/>
        </w:rPr>
        <w:t>.</w:t>
      </w:r>
    </w:p>
    <w:p w:rsidR="00E109C5"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always</w:t>
      </w:r>
      <w:proofErr w:type="gramEnd"/>
      <w:r w:rsidRPr="00FE1AEF">
        <w:rPr>
          <w:rFonts w:asciiTheme="majorHAnsi" w:hAnsiTheme="majorHAnsi"/>
          <w:lang w:val="en-US"/>
        </w:rPr>
        <w:t xml:space="preserve"> the local currency of the country in which the entity is based</w:t>
      </w:r>
      <w:r>
        <w:rPr>
          <w:rFonts w:asciiTheme="majorHAnsi" w:hAnsiTheme="majorHAnsi"/>
          <w:lang w:val="en-US"/>
        </w:rPr>
        <w:t>.</w:t>
      </w:r>
    </w:p>
    <w:p w:rsidR="00E109C5" w:rsidRPr="00FE1AEF" w:rsidRDefault="00E109C5" w:rsidP="00E109C5">
      <w:pPr>
        <w:pStyle w:val="ListParagraph"/>
        <w:jc w:val="both"/>
        <w:rPr>
          <w:rFonts w:asciiTheme="majorHAnsi" w:hAnsiTheme="majorHAnsi"/>
          <w:lang w:val="en-US"/>
        </w:rPr>
      </w:pPr>
    </w:p>
    <w:p w:rsidR="00E109C5" w:rsidRPr="00FE1AEF" w:rsidRDefault="00E109C5" w:rsidP="00E109C5">
      <w:pPr>
        <w:pStyle w:val="ListParagraph"/>
        <w:numPr>
          <w:ilvl w:val="0"/>
          <w:numId w:val="12"/>
        </w:numPr>
        <w:ind w:left="360"/>
        <w:jc w:val="both"/>
        <w:rPr>
          <w:rFonts w:asciiTheme="majorHAnsi" w:hAnsiTheme="majorHAnsi"/>
          <w:lang w:val="en-US"/>
        </w:rPr>
      </w:pPr>
      <w:r w:rsidRPr="00FE1AEF">
        <w:rPr>
          <w:rFonts w:asciiTheme="majorHAnsi" w:hAnsiTheme="majorHAnsi"/>
          <w:lang w:val="en-US"/>
        </w:rPr>
        <w:t>Which of the following factors is not a primary indicator of an entity’s functional currency</w:t>
      </w:r>
    </w:p>
    <w:p w:rsidR="00E109C5" w:rsidRPr="00FE1AEF"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currency that mainly influences labor, material and other costs of providing goods or </w:t>
      </w:r>
      <w:bookmarkStart w:id="1" w:name="_GoBack"/>
      <w:r w:rsidRPr="00FE1AEF">
        <w:rPr>
          <w:rFonts w:asciiTheme="majorHAnsi" w:hAnsiTheme="majorHAnsi"/>
          <w:lang w:val="en-US"/>
        </w:rPr>
        <w:t>services</w:t>
      </w:r>
      <w:r>
        <w:rPr>
          <w:rFonts w:asciiTheme="majorHAnsi" w:hAnsiTheme="majorHAnsi"/>
          <w:lang w:val="en-US"/>
        </w:rPr>
        <w:t>.</w:t>
      </w:r>
    </w:p>
    <w:bookmarkEnd w:id="1"/>
    <w:p w:rsidR="00E109C5" w:rsidRPr="00FE1AEF"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currency that mainly influences sales prices for goods and services</w:t>
      </w:r>
      <w:r>
        <w:rPr>
          <w:rFonts w:asciiTheme="majorHAnsi" w:hAnsiTheme="majorHAnsi"/>
          <w:lang w:val="en-US"/>
        </w:rPr>
        <w:t>.</w:t>
      </w:r>
    </w:p>
    <w:p w:rsidR="00E109C5" w:rsidRPr="00FE1AEF"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currency in which funds from investi</w:t>
      </w:r>
      <w:r>
        <w:rPr>
          <w:rFonts w:asciiTheme="majorHAnsi" w:hAnsiTheme="majorHAnsi"/>
          <w:lang w:val="en-US"/>
        </w:rPr>
        <w:t xml:space="preserve">ng activities are generated. </w:t>
      </w:r>
    </w:p>
    <w:p w:rsidR="00E109C5"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the</w:t>
      </w:r>
      <w:proofErr w:type="gramEnd"/>
      <w:r w:rsidRPr="00FE1AEF">
        <w:rPr>
          <w:rFonts w:asciiTheme="majorHAnsi" w:hAnsiTheme="majorHAnsi"/>
          <w:lang w:val="en-US"/>
        </w:rPr>
        <w:t xml:space="preserve"> currency of the country whose competitive forces and regulations mainly determine the sales prices of the goods and services</w:t>
      </w:r>
      <w:r>
        <w:rPr>
          <w:rFonts w:asciiTheme="majorHAnsi" w:hAnsiTheme="majorHAnsi"/>
          <w:lang w:val="en-US"/>
        </w:rPr>
        <w:t>.</w:t>
      </w:r>
    </w:p>
    <w:p w:rsidR="00E109C5" w:rsidRPr="00FE1AEF" w:rsidRDefault="00E109C5" w:rsidP="00E109C5">
      <w:pPr>
        <w:pStyle w:val="ListParagraph"/>
        <w:jc w:val="both"/>
        <w:rPr>
          <w:rFonts w:asciiTheme="majorHAnsi" w:hAnsiTheme="majorHAnsi"/>
          <w:lang w:val="en-US"/>
        </w:rPr>
      </w:pPr>
    </w:p>
    <w:p w:rsidR="00E109C5" w:rsidRPr="00FE1AEF" w:rsidRDefault="00E109C5" w:rsidP="00E109C5">
      <w:pPr>
        <w:pStyle w:val="ListParagraph"/>
        <w:numPr>
          <w:ilvl w:val="0"/>
          <w:numId w:val="12"/>
        </w:numPr>
        <w:ind w:left="360"/>
        <w:jc w:val="both"/>
        <w:rPr>
          <w:rFonts w:asciiTheme="majorHAnsi" w:hAnsiTheme="majorHAnsi"/>
          <w:lang w:val="en-US"/>
        </w:rPr>
      </w:pPr>
      <w:r w:rsidRPr="00FE1AEF">
        <w:rPr>
          <w:rFonts w:asciiTheme="majorHAnsi" w:hAnsiTheme="majorHAnsi"/>
          <w:lang w:val="en-US"/>
        </w:rPr>
        <w:t>Entity’s net investment in that foreign operation is:</w:t>
      </w:r>
    </w:p>
    <w:p w:rsidR="00E109C5" w:rsidRPr="00FE1AEF"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a</w:t>
      </w:r>
      <w:proofErr w:type="gramEnd"/>
      <w:r w:rsidRPr="00FE1AEF">
        <w:rPr>
          <w:rFonts w:asciiTheme="majorHAnsi" w:hAnsiTheme="majorHAnsi"/>
          <w:lang w:val="en-US"/>
        </w:rPr>
        <w:t xml:space="preserve"> long-term monetary item that is receivable from or payable to a foreign operation in the foreseeable future. </w:t>
      </w:r>
    </w:p>
    <w:p w:rsidR="00E109C5" w:rsidRPr="00FE1AEF"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a</w:t>
      </w:r>
      <w:proofErr w:type="gramEnd"/>
      <w:r w:rsidRPr="00FE1AEF">
        <w:rPr>
          <w:rFonts w:asciiTheme="majorHAnsi" w:hAnsiTheme="majorHAnsi"/>
          <w:lang w:val="en-US"/>
        </w:rPr>
        <w:t xml:space="preserve"> long-term monetary item that is receivable from or payable to a foreign operation, but not</w:t>
      </w:r>
      <w:r>
        <w:rPr>
          <w:rFonts w:asciiTheme="majorHAnsi" w:hAnsiTheme="majorHAnsi"/>
          <w:lang w:val="en-US"/>
        </w:rPr>
        <w:t xml:space="preserve"> in the foreseeable future. </w:t>
      </w:r>
    </w:p>
    <w:p w:rsidR="00E109C5"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a</w:t>
      </w:r>
      <w:proofErr w:type="gramEnd"/>
      <w:r w:rsidRPr="00FE1AEF">
        <w:rPr>
          <w:rFonts w:asciiTheme="majorHAnsi" w:hAnsiTheme="majorHAnsi"/>
          <w:lang w:val="en-US"/>
        </w:rPr>
        <w:t xml:space="preserve"> short-term monetary item that is receivable from or payable to a foreign operation, but not in the foreseeable futu</w:t>
      </w:r>
      <w:r>
        <w:rPr>
          <w:rFonts w:asciiTheme="majorHAnsi" w:hAnsiTheme="majorHAnsi"/>
          <w:lang w:val="en-US"/>
        </w:rPr>
        <w:t xml:space="preserve">re. </w:t>
      </w:r>
    </w:p>
    <w:p w:rsidR="00E109C5" w:rsidRPr="00FE1AEF" w:rsidRDefault="00E109C5" w:rsidP="00E109C5">
      <w:pPr>
        <w:pStyle w:val="ListParagraph"/>
        <w:jc w:val="both"/>
        <w:rPr>
          <w:rFonts w:asciiTheme="majorHAnsi" w:hAnsiTheme="majorHAnsi"/>
          <w:lang w:val="en-US"/>
        </w:rPr>
      </w:pPr>
    </w:p>
    <w:p w:rsidR="00E109C5" w:rsidRPr="00FE1AEF" w:rsidRDefault="00E109C5" w:rsidP="00E109C5">
      <w:pPr>
        <w:pStyle w:val="ListParagraph"/>
        <w:numPr>
          <w:ilvl w:val="0"/>
          <w:numId w:val="12"/>
        </w:numPr>
        <w:ind w:left="360"/>
        <w:jc w:val="both"/>
        <w:rPr>
          <w:rFonts w:asciiTheme="majorHAnsi" w:hAnsiTheme="majorHAnsi"/>
          <w:lang w:val="en-US"/>
        </w:rPr>
      </w:pPr>
      <w:r w:rsidRPr="00FE1AEF">
        <w:rPr>
          <w:rFonts w:asciiTheme="majorHAnsi" w:hAnsiTheme="majorHAnsi"/>
          <w:lang w:val="en-US"/>
        </w:rPr>
        <w:t xml:space="preserve">The effect of a change in functional currency is accounted for </w:t>
      </w:r>
    </w:p>
    <w:p w:rsidR="00E109C5" w:rsidRPr="00FE1AEF" w:rsidRDefault="00E109C5" w:rsidP="00E109C5">
      <w:pPr>
        <w:pStyle w:val="ListParagraph"/>
        <w:numPr>
          <w:ilvl w:val="0"/>
          <w:numId w:val="38"/>
        </w:numPr>
        <w:jc w:val="both"/>
        <w:rPr>
          <w:rFonts w:asciiTheme="majorHAnsi" w:hAnsiTheme="majorHAnsi"/>
          <w:lang w:val="en-US"/>
        </w:rPr>
      </w:pPr>
      <w:proofErr w:type="gramStart"/>
      <w:r>
        <w:rPr>
          <w:rFonts w:asciiTheme="majorHAnsi" w:hAnsiTheme="majorHAnsi"/>
          <w:lang w:val="en-US"/>
        </w:rPr>
        <w:t>prospectively</w:t>
      </w:r>
      <w:proofErr w:type="gramEnd"/>
      <w:r>
        <w:rPr>
          <w:rFonts w:asciiTheme="majorHAnsi" w:hAnsiTheme="majorHAnsi"/>
          <w:lang w:val="en-US"/>
        </w:rPr>
        <w:t>.</w:t>
      </w:r>
    </w:p>
    <w:p w:rsidR="00E109C5" w:rsidRPr="00FE1AEF" w:rsidRDefault="00E109C5" w:rsidP="00E109C5">
      <w:pPr>
        <w:pStyle w:val="ListParagraph"/>
        <w:numPr>
          <w:ilvl w:val="0"/>
          <w:numId w:val="38"/>
        </w:numPr>
        <w:jc w:val="both"/>
        <w:rPr>
          <w:rFonts w:asciiTheme="majorHAnsi" w:hAnsiTheme="majorHAnsi"/>
          <w:lang w:val="en-US"/>
        </w:rPr>
      </w:pPr>
      <w:proofErr w:type="gramStart"/>
      <w:r>
        <w:rPr>
          <w:rFonts w:asciiTheme="majorHAnsi" w:hAnsiTheme="majorHAnsi"/>
          <w:lang w:val="en-US"/>
        </w:rPr>
        <w:t>r</w:t>
      </w:r>
      <w:r w:rsidRPr="00FE1AEF">
        <w:rPr>
          <w:rFonts w:asciiTheme="majorHAnsi" w:hAnsiTheme="majorHAnsi"/>
          <w:lang w:val="en-US"/>
        </w:rPr>
        <w:t>etrospectively</w:t>
      </w:r>
      <w:proofErr w:type="gramEnd"/>
      <w:r>
        <w:rPr>
          <w:rFonts w:asciiTheme="majorHAnsi" w:hAnsiTheme="majorHAnsi"/>
          <w:lang w:val="en-US"/>
        </w:rPr>
        <w:t>.</w:t>
      </w:r>
    </w:p>
    <w:p w:rsidR="00E109C5"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both</w:t>
      </w:r>
      <w:proofErr w:type="gramEnd"/>
      <w:r w:rsidRPr="00FE1AEF">
        <w:rPr>
          <w:rFonts w:asciiTheme="majorHAnsi" w:hAnsiTheme="majorHAnsi"/>
          <w:lang w:val="en-US"/>
        </w:rPr>
        <w:t xml:space="preserve"> variants mentioned above</w:t>
      </w:r>
      <w:r>
        <w:rPr>
          <w:rFonts w:asciiTheme="majorHAnsi" w:hAnsiTheme="majorHAnsi"/>
          <w:lang w:val="en-US"/>
        </w:rPr>
        <w:t>.</w:t>
      </w:r>
    </w:p>
    <w:p w:rsidR="00E109C5" w:rsidRPr="00FE1AEF" w:rsidRDefault="00E109C5" w:rsidP="00E109C5">
      <w:pPr>
        <w:pStyle w:val="ListParagraph"/>
        <w:jc w:val="both"/>
        <w:rPr>
          <w:rFonts w:asciiTheme="majorHAnsi" w:hAnsiTheme="majorHAnsi"/>
          <w:lang w:val="en-US"/>
        </w:rPr>
      </w:pPr>
    </w:p>
    <w:p w:rsidR="00E109C5" w:rsidRPr="00FE1AEF" w:rsidRDefault="00E109C5" w:rsidP="00E109C5">
      <w:pPr>
        <w:pStyle w:val="ListParagraph"/>
        <w:numPr>
          <w:ilvl w:val="0"/>
          <w:numId w:val="12"/>
        </w:numPr>
        <w:ind w:left="360"/>
        <w:jc w:val="both"/>
        <w:rPr>
          <w:rFonts w:asciiTheme="majorHAnsi" w:hAnsiTheme="majorHAnsi"/>
          <w:lang w:val="en-US"/>
        </w:rPr>
      </w:pPr>
      <w:r w:rsidRPr="00FE1AEF">
        <w:rPr>
          <w:rFonts w:asciiTheme="majorHAnsi" w:hAnsiTheme="majorHAnsi"/>
          <w:lang w:val="en-US"/>
        </w:rPr>
        <w:t>An entity may present its financial statements in:</w:t>
      </w:r>
    </w:p>
    <w:p w:rsidR="00E109C5" w:rsidRPr="00FE1AEF"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any</w:t>
      </w:r>
      <w:proofErr w:type="gramEnd"/>
      <w:r>
        <w:rPr>
          <w:rFonts w:asciiTheme="majorHAnsi" w:hAnsiTheme="majorHAnsi"/>
          <w:lang w:val="en-US"/>
        </w:rPr>
        <w:t xml:space="preserve"> currency (or currencies). </w:t>
      </w:r>
    </w:p>
    <w:p w:rsidR="00E109C5" w:rsidRPr="00FE1AEF" w:rsidRDefault="00E109C5" w:rsidP="00E109C5">
      <w:pPr>
        <w:pStyle w:val="ListParagraph"/>
        <w:numPr>
          <w:ilvl w:val="0"/>
          <w:numId w:val="38"/>
        </w:numPr>
        <w:jc w:val="both"/>
        <w:rPr>
          <w:rFonts w:asciiTheme="majorHAnsi" w:hAnsiTheme="majorHAnsi"/>
          <w:lang w:val="en-US"/>
        </w:rPr>
      </w:pPr>
      <w:proofErr w:type="gramStart"/>
      <w:r w:rsidRPr="00FE1AEF">
        <w:rPr>
          <w:rFonts w:asciiTheme="majorHAnsi" w:hAnsiTheme="majorHAnsi"/>
          <w:lang w:val="en-US"/>
        </w:rPr>
        <w:t>functional</w:t>
      </w:r>
      <w:proofErr w:type="gramEnd"/>
      <w:r w:rsidRPr="00FE1AEF">
        <w:rPr>
          <w:rFonts w:asciiTheme="majorHAnsi" w:hAnsiTheme="majorHAnsi"/>
          <w:lang w:val="en-US"/>
        </w:rPr>
        <w:t xml:space="preserve"> currency only</w:t>
      </w:r>
      <w:r>
        <w:rPr>
          <w:rFonts w:asciiTheme="majorHAnsi" w:hAnsiTheme="majorHAnsi"/>
          <w:lang w:val="en-US"/>
        </w:rPr>
        <w:t>.</w:t>
      </w:r>
    </w:p>
    <w:p w:rsidR="00E109C5" w:rsidRPr="00FE1AEF" w:rsidRDefault="00E109C5" w:rsidP="00E109C5">
      <w:pPr>
        <w:pStyle w:val="ListParagraph"/>
        <w:jc w:val="both"/>
        <w:rPr>
          <w:rFonts w:asciiTheme="majorHAnsi" w:hAnsiTheme="majorHAnsi"/>
          <w:lang w:val="en-US"/>
        </w:rPr>
      </w:pPr>
    </w:p>
    <w:p w:rsidR="00E109C5" w:rsidRPr="00FE1AEF" w:rsidRDefault="00E109C5" w:rsidP="00E109C5">
      <w:pPr>
        <w:jc w:val="both"/>
        <w:rPr>
          <w:rFonts w:asciiTheme="majorHAnsi" w:hAnsiTheme="majorHAnsi"/>
          <w:u w:val="single"/>
          <w:lang w:val="en-US"/>
        </w:rPr>
      </w:pPr>
      <w:r w:rsidRPr="00FE1AEF">
        <w:rPr>
          <w:rFonts w:asciiTheme="majorHAnsi" w:hAnsiTheme="majorHAnsi"/>
          <w:u w:val="single"/>
          <w:lang w:val="en-US"/>
        </w:rPr>
        <w:t xml:space="preserve">Example </w:t>
      </w:r>
      <w:r>
        <w:rPr>
          <w:rFonts w:asciiTheme="majorHAnsi" w:hAnsiTheme="majorHAnsi"/>
          <w:u w:val="single"/>
          <w:lang w:val="en-US"/>
        </w:rPr>
        <w:t>1</w:t>
      </w:r>
      <w:r w:rsidRPr="00FE1AEF">
        <w:rPr>
          <w:rFonts w:asciiTheme="majorHAnsi" w:hAnsiTheme="majorHAnsi"/>
          <w:u w:val="single"/>
          <w:lang w:val="en-US"/>
        </w:rPr>
        <w:t>: reporting foreign currency transactions in the functional currency, subsequent recognition and measurement</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On 24 December 20X1 an entity with a functional currency of CU buys raw materials from a supplier on credit for FCU100</w:t>
      </w:r>
      <w:proofErr w:type="gramStart"/>
      <w:r w:rsidRPr="00FE1AEF">
        <w:rPr>
          <w:rFonts w:asciiTheme="majorHAnsi" w:hAnsiTheme="majorHAnsi"/>
          <w:lang w:val="en-US"/>
        </w:rPr>
        <w:t>,000</w:t>
      </w:r>
      <w:proofErr w:type="gramEnd"/>
      <w:r w:rsidRPr="00FE1AEF">
        <w:rPr>
          <w:rFonts w:asciiTheme="majorHAnsi" w:hAnsiTheme="majorHAnsi"/>
          <w:lang w:val="en-US"/>
        </w:rPr>
        <w:t>. The entity pays the supplier on 17 January 20X2. The entity has a financial year-end of 31 December 20X1.</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The spot exchange rates are as follows:</w:t>
      </w:r>
    </w:p>
    <w:p w:rsidR="00E109C5" w:rsidRPr="00FE1AEF" w:rsidRDefault="00E109C5" w:rsidP="00E109C5">
      <w:pPr>
        <w:pStyle w:val="ListParagraph"/>
        <w:numPr>
          <w:ilvl w:val="0"/>
          <w:numId w:val="28"/>
        </w:numPr>
        <w:jc w:val="both"/>
        <w:rPr>
          <w:rFonts w:asciiTheme="majorHAnsi" w:hAnsiTheme="majorHAnsi"/>
          <w:lang w:val="en-US"/>
        </w:rPr>
      </w:pPr>
      <w:r w:rsidRPr="00FE1AEF">
        <w:rPr>
          <w:rFonts w:asciiTheme="majorHAnsi" w:hAnsiTheme="majorHAnsi"/>
          <w:lang w:val="en-US"/>
        </w:rPr>
        <w:t>24 December 20X1: CU2 = FCU1</w:t>
      </w:r>
    </w:p>
    <w:p w:rsidR="00E109C5" w:rsidRPr="00FE1AEF" w:rsidRDefault="00E109C5" w:rsidP="00E109C5">
      <w:pPr>
        <w:pStyle w:val="ListParagraph"/>
        <w:numPr>
          <w:ilvl w:val="0"/>
          <w:numId w:val="28"/>
        </w:numPr>
        <w:jc w:val="both"/>
        <w:rPr>
          <w:rFonts w:asciiTheme="majorHAnsi" w:hAnsiTheme="majorHAnsi"/>
          <w:lang w:val="en-US"/>
        </w:rPr>
      </w:pPr>
      <w:r w:rsidRPr="00FE1AEF">
        <w:rPr>
          <w:rFonts w:asciiTheme="majorHAnsi" w:hAnsiTheme="majorHAnsi"/>
          <w:lang w:val="en-US"/>
        </w:rPr>
        <w:lastRenderedPageBreak/>
        <w:t>31 December 20X1: CU2.1 = FCU1</w:t>
      </w:r>
    </w:p>
    <w:p w:rsidR="00E109C5" w:rsidRPr="00FE1AEF" w:rsidRDefault="00E109C5" w:rsidP="00E109C5">
      <w:pPr>
        <w:pStyle w:val="ListParagraph"/>
        <w:numPr>
          <w:ilvl w:val="0"/>
          <w:numId w:val="28"/>
        </w:numPr>
        <w:jc w:val="both"/>
        <w:rPr>
          <w:rFonts w:asciiTheme="majorHAnsi" w:hAnsiTheme="majorHAnsi"/>
          <w:lang w:val="en-US"/>
        </w:rPr>
      </w:pPr>
      <w:r w:rsidRPr="00FE1AEF">
        <w:rPr>
          <w:rFonts w:asciiTheme="majorHAnsi" w:hAnsiTheme="majorHAnsi"/>
          <w:lang w:val="en-US"/>
        </w:rPr>
        <w:t>17 January 20X2: CU2.05 = FCU1</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 xml:space="preserve">What is the recognized amount of purchase of inventories? How it </w:t>
      </w:r>
      <w:proofErr w:type="gramStart"/>
      <w:r w:rsidRPr="00FE1AEF">
        <w:rPr>
          <w:rFonts w:asciiTheme="majorHAnsi" w:hAnsiTheme="majorHAnsi"/>
          <w:lang w:val="en-US"/>
        </w:rPr>
        <w:t>should be accounted for</w:t>
      </w:r>
      <w:proofErr w:type="gramEnd"/>
      <w:r w:rsidRPr="00FE1AEF">
        <w:rPr>
          <w:rFonts w:asciiTheme="majorHAnsi" w:hAnsiTheme="majorHAnsi"/>
          <w:lang w:val="en-US"/>
        </w:rPr>
        <w:t>?</w:t>
      </w:r>
    </w:p>
    <w:p w:rsidR="00E109C5" w:rsidRPr="00FE1AEF" w:rsidRDefault="00E109C5" w:rsidP="00E109C5">
      <w:pPr>
        <w:pStyle w:val="NoSpacing"/>
        <w:jc w:val="both"/>
        <w:rPr>
          <w:rFonts w:asciiTheme="majorHAnsi" w:hAnsiTheme="majorHAnsi"/>
          <w:lang w:val="en-US"/>
        </w:rPr>
      </w:pPr>
    </w:p>
    <w:p w:rsidR="00E109C5" w:rsidRPr="00FE1AEF" w:rsidRDefault="00E109C5" w:rsidP="00E109C5">
      <w:pPr>
        <w:jc w:val="both"/>
        <w:rPr>
          <w:rFonts w:asciiTheme="majorHAnsi" w:hAnsiTheme="majorHAnsi"/>
          <w:u w:val="single"/>
          <w:lang w:val="en-US"/>
        </w:rPr>
      </w:pPr>
      <w:r w:rsidRPr="00FE1AEF">
        <w:rPr>
          <w:rFonts w:asciiTheme="majorHAnsi" w:hAnsiTheme="majorHAnsi"/>
          <w:u w:val="single"/>
          <w:lang w:val="en-US"/>
        </w:rPr>
        <w:t xml:space="preserve">Example </w:t>
      </w:r>
      <w:r>
        <w:rPr>
          <w:rFonts w:asciiTheme="majorHAnsi" w:hAnsiTheme="majorHAnsi"/>
          <w:u w:val="single"/>
          <w:lang w:val="en-US"/>
        </w:rPr>
        <w:t>2</w:t>
      </w:r>
      <w:r w:rsidRPr="00FE1AEF">
        <w:rPr>
          <w:rFonts w:asciiTheme="majorHAnsi" w:hAnsiTheme="majorHAnsi"/>
          <w:u w:val="single"/>
          <w:lang w:val="en-US"/>
        </w:rPr>
        <w:t>: reporting foreign currency transactions in the functional currency, subsequent recognition and measurement</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On 1 January 20X1 a bank transfers FCU5,000 to an entity in return for a promise to pay fixed interest of 8 per cent per year for two years (due at the end of each year of the loan period, i.e. 31 December) and a payment of FCU5,000 at the end of the two-year period.</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At the inception of the loan 8 per cent is the market rate for similar two-year fixed-interest FCU-denominated loans.</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The entity’s functional currency is CU.</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Exchange rates over the loan are:</w:t>
      </w:r>
    </w:p>
    <w:p w:rsidR="00E109C5" w:rsidRPr="00FE1AEF" w:rsidRDefault="00E109C5" w:rsidP="00E109C5">
      <w:pPr>
        <w:pStyle w:val="ListParagraph"/>
        <w:numPr>
          <w:ilvl w:val="0"/>
          <w:numId w:val="29"/>
        </w:numPr>
        <w:jc w:val="both"/>
        <w:rPr>
          <w:rFonts w:asciiTheme="majorHAnsi" w:hAnsiTheme="majorHAnsi"/>
          <w:lang w:val="en-US"/>
        </w:rPr>
      </w:pPr>
      <w:r w:rsidRPr="00FE1AEF">
        <w:rPr>
          <w:rFonts w:asciiTheme="majorHAnsi" w:hAnsiTheme="majorHAnsi"/>
          <w:lang w:val="en-US"/>
        </w:rPr>
        <w:t>1 January 20X1: CU1 = FCU5</w:t>
      </w:r>
    </w:p>
    <w:p w:rsidR="00E109C5" w:rsidRPr="00FE1AEF" w:rsidRDefault="00E109C5" w:rsidP="00E109C5">
      <w:pPr>
        <w:pStyle w:val="ListParagraph"/>
        <w:jc w:val="both"/>
        <w:rPr>
          <w:rFonts w:asciiTheme="majorHAnsi" w:hAnsiTheme="majorHAnsi"/>
          <w:lang w:val="en-US"/>
        </w:rPr>
      </w:pPr>
      <w:r w:rsidRPr="00FE1AEF">
        <w:rPr>
          <w:rFonts w:asciiTheme="majorHAnsi" w:hAnsiTheme="majorHAnsi"/>
          <w:lang w:val="en-US"/>
        </w:rPr>
        <w:t>Average exchange rate in 20X1: CU1 = FCU5.06</w:t>
      </w:r>
    </w:p>
    <w:p w:rsidR="00E109C5" w:rsidRPr="00FE1AEF" w:rsidRDefault="00E109C5" w:rsidP="00E109C5">
      <w:pPr>
        <w:pStyle w:val="ListParagraph"/>
        <w:numPr>
          <w:ilvl w:val="0"/>
          <w:numId w:val="29"/>
        </w:numPr>
        <w:jc w:val="both"/>
        <w:rPr>
          <w:rFonts w:asciiTheme="majorHAnsi" w:hAnsiTheme="majorHAnsi"/>
          <w:lang w:val="en-US"/>
        </w:rPr>
      </w:pPr>
      <w:r w:rsidRPr="00FE1AEF">
        <w:rPr>
          <w:rFonts w:asciiTheme="majorHAnsi" w:hAnsiTheme="majorHAnsi"/>
          <w:lang w:val="en-US"/>
        </w:rPr>
        <w:t>31 December 20X1: CU1 = FCU5.1</w:t>
      </w:r>
    </w:p>
    <w:p w:rsidR="00E109C5" w:rsidRPr="00FE1AEF" w:rsidRDefault="00E109C5" w:rsidP="00E109C5">
      <w:pPr>
        <w:pStyle w:val="ListParagraph"/>
        <w:jc w:val="both"/>
        <w:rPr>
          <w:rFonts w:asciiTheme="majorHAnsi" w:hAnsiTheme="majorHAnsi"/>
          <w:lang w:val="en-US"/>
        </w:rPr>
      </w:pPr>
      <w:r w:rsidRPr="00FE1AEF">
        <w:rPr>
          <w:rFonts w:asciiTheme="majorHAnsi" w:hAnsiTheme="majorHAnsi"/>
          <w:lang w:val="en-US"/>
        </w:rPr>
        <w:t>Average exchange rate in 20X2: CU1 = FCU4.9</w:t>
      </w:r>
    </w:p>
    <w:p w:rsidR="00E109C5" w:rsidRPr="00FE1AEF" w:rsidRDefault="00E109C5" w:rsidP="00E109C5">
      <w:pPr>
        <w:pStyle w:val="ListParagraph"/>
        <w:numPr>
          <w:ilvl w:val="0"/>
          <w:numId w:val="29"/>
        </w:numPr>
        <w:jc w:val="both"/>
        <w:rPr>
          <w:rFonts w:asciiTheme="majorHAnsi" w:hAnsiTheme="majorHAnsi"/>
          <w:lang w:val="en-US"/>
        </w:rPr>
      </w:pPr>
      <w:r w:rsidRPr="00FE1AEF">
        <w:rPr>
          <w:rFonts w:asciiTheme="majorHAnsi" w:hAnsiTheme="majorHAnsi"/>
          <w:lang w:val="en-US"/>
        </w:rPr>
        <w:t>31 December 20X2: CU1 = FCU4.8</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In this example, the average currency exchange rate for the year is not materially different from the actual rate.</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 xml:space="preserve">What is the recognized amount of loan during its lifetime? How it </w:t>
      </w:r>
      <w:proofErr w:type="gramStart"/>
      <w:r w:rsidRPr="00FE1AEF">
        <w:rPr>
          <w:rFonts w:asciiTheme="majorHAnsi" w:hAnsiTheme="majorHAnsi"/>
          <w:lang w:val="en-US"/>
        </w:rPr>
        <w:t>should be accounted for</w:t>
      </w:r>
      <w:proofErr w:type="gramEnd"/>
      <w:r w:rsidRPr="00FE1AEF">
        <w:rPr>
          <w:rFonts w:asciiTheme="majorHAnsi" w:hAnsiTheme="majorHAnsi"/>
          <w:lang w:val="en-US"/>
        </w:rPr>
        <w:t>?</w:t>
      </w:r>
    </w:p>
    <w:p w:rsidR="00E109C5" w:rsidRPr="00FE1AEF" w:rsidRDefault="00E109C5" w:rsidP="00E109C5">
      <w:pPr>
        <w:pStyle w:val="NoSpacing"/>
        <w:jc w:val="both"/>
        <w:rPr>
          <w:rFonts w:asciiTheme="majorHAnsi" w:hAnsiTheme="majorHAnsi"/>
          <w:lang w:val="en-US"/>
        </w:rPr>
      </w:pPr>
    </w:p>
    <w:p w:rsidR="00E109C5" w:rsidRPr="00FE1AEF" w:rsidRDefault="00E109C5" w:rsidP="00E109C5">
      <w:pPr>
        <w:jc w:val="both"/>
        <w:rPr>
          <w:rFonts w:asciiTheme="majorHAnsi" w:hAnsiTheme="majorHAnsi"/>
          <w:u w:val="single"/>
          <w:lang w:val="en-US"/>
        </w:rPr>
      </w:pPr>
      <w:r w:rsidRPr="00FE1AEF">
        <w:rPr>
          <w:rFonts w:asciiTheme="majorHAnsi" w:hAnsiTheme="majorHAnsi"/>
          <w:u w:val="single"/>
          <w:lang w:val="en-US"/>
        </w:rPr>
        <w:t xml:space="preserve">Example </w:t>
      </w:r>
      <w:r>
        <w:rPr>
          <w:rFonts w:asciiTheme="majorHAnsi" w:hAnsiTheme="majorHAnsi"/>
          <w:u w:val="single"/>
          <w:lang w:val="en-US"/>
        </w:rPr>
        <w:t>3</w:t>
      </w:r>
      <w:r w:rsidRPr="00FE1AEF">
        <w:rPr>
          <w:rFonts w:asciiTheme="majorHAnsi" w:hAnsiTheme="majorHAnsi"/>
          <w:u w:val="single"/>
          <w:lang w:val="en-US"/>
        </w:rPr>
        <w:t>: reporting at the end of the subsequent reporting periods, overseas investment property</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On 1 June 20X0 an entity based in country A with a functional currency of CU buys an investment property in country B (local currency FCU) for FCU500</w:t>
      </w:r>
      <w:proofErr w:type="gramStart"/>
      <w:r w:rsidRPr="00FE1AEF">
        <w:rPr>
          <w:rFonts w:asciiTheme="majorHAnsi" w:hAnsiTheme="majorHAnsi"/>
          <w:lang w:val="en-US"/>
        </w:rPr>
        <w:t>,000</w:t>
      </w:r>
      <w:proofErr w:type="gramEnd"/>
      <w:r w:rsidRPr="00FE1AEF">
        <w:rPr>
          <w:rFonts w:asciiTheme="majorHAnsi" w:hAnsiTheme="majorHAnsi"/>
          <w:lang w:val="en-US"/>
        </w:rPr>
        <w:t>.</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 xml:space="preserve">The fair value of the investment property is reliably measurable in FCU without undue cost or effort on an ongoing basis. Consequently, in accordance with Section 16 Investment Property, the entity measures its investment property, after initial </w:t>
      </w:r>
      <w:proofErr w:type="gramStart"/>
      <w:r w:rsidRPr="00FE1AEF">
        <w:rPr>
          <w:rFonts w:asciiTheme="majorHAnsi" w:hAnsiTheme="majorHAnsi"/>
          <w:lang w:val="en-US"/>
        </w:rPr>
        <w:t>recognition ,at</w:t>
      </w:r>
      <w:proofErr w:type="gramEnd"/>
      <w:r w:rsidRPr="00FE1AEF">
        <w:rPr>
          <w:rFonts w:asciiTheme="majorHAnsi" w:hAnsiTheme="majorHAnsi"/>
          <w:lang w:val="en-US"/>
        </w:rPr>
        <w:t xml:space="preserve"> fair value through profit or loss.</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The entity has a year-end of 31 December.</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The spot exchange rates and fair values of the investment property (FVIP) are as follows:</w:t>
      </w:r>
    </w:p>
    <w:p w:rsidR="00E109C5" w:rsidRPr="00FE1AEF" w:rsidRDefault="00E109C5" w:rsidP="00E109C5">
      <w:pPr>
        <w:pStyle w:val="ListParagraph"/>
        <w:numPr>
          <w:ilvl w:val="0"/>
          <w:numId w:val="29"/>
        </w:numPr>
        <w:jc w:val="both"/>
        <w:rPr>
          <w:rFonts w:asciiTheme="majorHAnsi" w:hAnsiTheme="majorHAnsi"/>
          <w:lang w:val="en-US"/>
        </w:rPr>
      </w:pPr>
      <w:r w:rsidRPr="00FE1AEF">
        <w:rPr>
          <w:rFonts w:asciiTheme="majorHAnsi" w:hAnsiTheme="majorHAnsi"/>
          <w:lang w:val="en-US"/>
        </w:rPr>
        <w:t>1 June 20X0: CU1 = FCU1.1 and FVIP = FCU500,000</w:t>
      </w:r>
    </w:p>
    <w:p w:rsidR="00E109C5" w:rsidRPr="00FE1AEF" w:rsidRDefault="00E109C5" w:rsidP="00E109C5">
      <w:pPr>
        <w:pStyle w:val="ListParagraph"/>
        <w:numPr>
          <w:ilvl w:val="0"/>
          <w:numId w:val="29"/>
        </w:numPr>
        <w:jc w:val="both"/>
        <w:rPr>
          <w:rFonts w:asciiTheme="majorHAnsi" w:hAnsiTheme="majorHAnsi"/>
          <w:lang w:val="en-US"/>
        </w:rPr>
      </w:pPr>
      <w:r w:rsidRPr="00FE1AEF">
        <w:rPr>
          <w:rFonts w:asciiTheme="majorHAnsi" w:hAnsiTheme="majorHAnsi"/>
          <w:lang w:val="en-US"/>
        </w:rPr>
        <w:t>31 December 20X0: CU1 = FCU1.05 and FVIP = FCU520,000</w:t>
      </w:r>
    </w:p>
    <w:p w:rsidR="00E109C5" w:rsidRPr="00FE1AEF" w:rsidRDefault="00E109C5" w:rsidP="00E109C5">
      <w:pPr>
        <w:pStyle w:val="ListParagraph"/>
        <w:numPr>
          <w:ilvl w:val="0"/>
          <w:numId w:val="29"/>
        </w:numPr>
        <w:jc w:val="both"/>
        <w:rPr>
          <w:rFonts w:asciiTheme="majorHAnsi" w:hAnsiTheme="majorHAnsi"/>
          <w:lang w:val="en-US"/>
        </w:rPr>
      </w:pPr>
      <w:r w:rsidRPr="00FE1AEF">
        <w:rPr>
          <w:rFonts w:asciiTheme="majorHAnsi" w:hAnsiTheme="majorHAnsi"/>
          <w:lang w:val="en-US"/>
        </w:rPr>
        <w:t>31 December 20X1: CU1 = FCU1.2 and FVIP = FCU540,000</w:t>
      </w:r>
    </w:p>
    <w:p w:rsidR="00E109C5" w:rsidRPr="00FE1AEF" w:rsidRDefault="00E109C5" w:rsidP="00E109C5">
      <w:pPr>
        <w:jc w:val="both"/>
        <w:rPr>
          <w:rFonts w:asciiTheme="majorHAnsi" w:hAnsiTheme="majorHAnsi"/>
          <w:lang w:val="en-US"/>
        </w:rPr>
      </w:pPr>
      <w:r w:rsidRPr="00FE1AEF">
        <w:rPr>
          <w:rFonts w:asciiTheme="majorHAnsi" w:hAnsiTheme="majorHAnsi"/>
          <w:lang w:val="en-US"/>
        </w:rPr>
        <w:lastRenderedPageBreak/>
        <w:t>On 1 April 20X2 the investment property is sold for FCU570</w:t>
      </w:r>
      <w:proofErr w:type="gramStart"/>
      <w:r w:rsidRPr="00FE1AEF">
        <w:rPr>
          <w:rFonts w:asciiTheme="majorHAnsi" w:hAnsiTheme="majorHAnsi"/>
          <w:lang w:val="en-US"/>
        </w:rPr>
        <w:t>,000</w:t>
      </w:r>
      <w:proofErr w:type="gramEnd"/>
      <w:r w:rsidRPr="00FE1AEF">
        <w:rPr>
          <w:rFonts w:asciiTheme="majorHAnsi" w:hAnsiTheme="majorHAnsi"/>
          <w:lang w:val="en-US"/>
        </w:rPr>
        <w:t xml:space="preserve"> when the exchange rate is CU1 = FCU1.1.</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 xml:space="preserve">What is the recognized amount overseas investment property during its lifetime? How it </w:t>
      </w:r>
      <w:proofErr w:type="gramStart"/>
      <w:r w:rsidRPr="00FE1AEF">
        <w:rPr>
          <w:rFonts w:asciiTheme="majorHAnsi" w:hAnsiTheme="majorHAnsi"/>
          <w:lang w:val="en-US"/>
        </w:rPr>
        <w:t>should be accounted for</w:t>
      </w:r>
      <w:proofErr w:type="gramEnd"/>
      <w:r w:rsidRPr="00FE1AEF">
        <w:rPr>
          <w:rFonts w:asciiTheme="majorHAnsi" w:hAnsiTheme="majorHAnsi"/>
          <w:lang w:val="en-US"/>
        </w:rPr>
        <w:t>?</w:t>
      </w:r>
    </w:p>
    <w:p w:rsidR="00E109C5" w:rsidRPr="00FE1AEF" w:rsidRDefault="00E109C5" w:rsidP="00E109C5">
      <w:pPr>
        <w:pStyle w:val="NoSpacing"/>
        <w:rPr>
          <w:rFonts w:asciiTheme="majorHAnsi" w:hAnsiTheme="majorHAnsi"/>
          <w:lang w:val="en-US"/>
        </w:rPr>
      </w:pPr>
    </w:p>
    <w:p w:rsidR="00E109C5" w:rsidRPr="00FE1AEF" w:rsidRDefault="00E109C5" w:rsidP="00E109C5">
      <w:pPr>
        <w:rPr>
          <w:rFonts w:asciiTheme="majorHAnsi" w:hAnsiTheme="majorHAnsi"/>
          <w:lang w:val="en-US"/>
        </w:rPr>
      </w:pPr>
    </w:p>
    <w:p w:rsidR="00E109C5" w:rsidRPr="00FE1AEF"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Default="00E109C5" w:rsidP="00E109C5">
      <w:pPr>
        <w:rPr>
          <w:lang w:val="en-US"/>
        </w:rPr>
      </w:pPr>
    </w:p>
    <w:p w:rsidR="00E109C5" w:rsidRPr="00FE1AEF" w:rsidRDefault="00E109C5" w:rsidP="00E109C5">
      <w:pPr>
        <w:rPr>
          <w:lang w:val="en-US"/>
        </w:rPr>
      </w:pPr>
    </w:p>
    <w:p w:rsidR="00E109C5" w:rsidRPr="00FE1AEF" w:rsidRDefault="00E109C5" w:rsidP="00E109C5">
      <w:pPr>
        <w:rPr>
          <w:lang w:val="en-US"/>
        </w:rPr>
      </w:pPr>
    </w:p>
    <w:p w:rsidR="00E109C5" w:rsidRDefault="00E109C5" w:rsidP="00E109C5">
      <w:pPr>
        <w:rPr>
          <w:lang w:val="en-US"/>
        </w:rPr>
      </w:pPr>
    </w:p>
    <w:p w:rsidR="00E109C5" w:rsidRPr="00FE1AEF" w:rsidRDefault="00E109C5" w:rsidP="00E109C5">
      <w:pPr>
        <w:rPr>
          <w:lang w:val="en-US"/>
        </w:rPr>
      </w:pPr>
    </w:p>
    <w:p w:rsidR="00E109C5" w:rsidRPr="00FE1AEF" w:rsidRDefault="00E109C5" w:rsidP="00E109C5">
      <w:pPr>
        <w:rPr>
          <w:lang w:val="en-US"/>
        </w:rPr>
      </w:pPr>
    </w:p>
    <w:p w:rsidR="00E109C5" w:rsidRPr="00FE1AEF" w:rsidRDefault="00E109C5" w:rsidP="00E109C5">
      <w:pPr>
        <w:rPr>
          <w:lang w:val="en-US"/>
        </w:rPr>
      </w:pPr>
    </w:p>
    <w:p w:rsidR="00E109C5" w:rsidRPr="00FE1AEF" w:rsidRDefault="00E109C5" w:rsidP="00E109C5">
      <w:pPr>
        <w:pStyle w:val="IFRS"/>
      </w:pPr>
      <w:bookmarkStart w:id="2" w:name="_Toc408303316"/>
      <w:r w:rsidRPr="00FE1AEF">
        <w:lastRenderedPageBreak/>
        <w:t>Transition to IFRS</w:t>
      </w:r>
      <w:bookmarkEnd w:id="2"/>
    </w:p>
    <w:p w:rsidR="00E109C5" w:rsidRPr="00FE1AEF" w:rsidRDefault="00E109C5" w:rsidP="00E109C5">
      <w:pPr>
        <w:pStyle w:val="ListParagraph"/>
        <w:numPr>
          <w:ilvl w:val="0"/>
          <w:numId w:val="37"/>
        </w:numPr>
        <w:ind w:left="360"/>
        <w:jc w:val="both"/>
        <w:rPr>
          <w:rFonts w:asciiTheme="majorHAnsi" w:hAnsiTheme="majorHAnsi"/>
          <w:lang w:val="en-US"/>
        </w:rPr>
      </w:pPr>
      <w:r w:rsidRPr="00FE1AEF">
        <w:rPr>
          <w:rFonts w:asciiTheme="majorHAnsi" w:hAnsiTheme="majorHAnsi"/>
          <w:lang w:val="en-US"/>
        </w:rPr>
        <w:t>Financial statements prepared in accordance with these IFRS are an entity’s first such financial statements if, for example, the entity:</w:t>
      </w:r>
    </w:p>
    <w:p w:rsidR="00E109C5" w:rsidRPr="00FE1AEF" w:rsidRDefault="00E109C5" w:rsidP="00E109C5">
      <w:pPr>
        <w:pStyle w:val="ListParagraph"/>
        <w:numPr>
          <w:ilvl w:val="0"/>
          <w:numId w:val="39"/>
        </w:numPr>
        <w:jc w:val="both"/>
        <w:rPr>
          <w:rFonts w:asciiTheme="majorHAnsi" w:hAnsiTheme="majorHAnsi"/>
          <w:lang w:val="en-US"/>
        </w:rPr>
      </w:pPr>
      <w:proofErr w:type="gramStart"/>
      <w:r w:rsidRPr="00FE1AEF">
        <w:rPr>
          <w:rFonts w:asciiTheme="majorHAnsi" w:hAnsiTheme="majorHAnsi"/>
          <w:lang w:val="en-US"/>
        </w:rPr>
        <w:t>did</w:t>
      </w:r>
      <w:proofErr w:type="gramEnd"/>
      <w:r w:rsidRPr="00FE1AEF">
        <w:rPr>
          <w:rFonts w:asciiTheme="majorHAnsi" w:hAnsiTheme="majorHAnsi"/>
          <w:lang w:val="en-US"/>
        </w:rPr>
        <w:t xml:space="preserve"> not present financial stat</w:t>
      </w:r>
      <w:r>
        <w:rPr>
          <w:rFonts w:asciiTheme="majorHAnsi" w:hAnsiTheme="majorHAnsi"/>
          <w:lang w:val="en-US"/>
        </w:rPr>
        <w:t>ements for previous periods.</w:t>
      </w:r>
    </w:p>
    <w:p w:rsidR="00E109C5" w:rsidRPr="00FE1AEF" w:rsidRDefault="00E109C5" w:rsidP="00E109C5">
      <w:pPr>
        <w:pStyle w:val="ListParagraph"/>
        <w:numPr>
          <w:ilvl w:val="0"/>
          <w:numId w:val="39"/>
        </w:numPr>
        <w:jc w:val="both"/>
        <w:rPr>
          <w:rFonts w:asciiTheme="majorHAnsi" w:hAnsiTheme="majorHAnsi"/>
          <w:lang w:val="en-US"/>
        </w:rPr>
      </w:pPr>
      <w:proofErr w:type="gramStart"/>
      <w:r w:rsidRPr="00FE1AEF">
        <w:rPr>
          <w:rFonts w:asciiTheme="majorHAnsi" w:hAnsiTheme="majorHAnsi"/>
          <w:lang w:val="en-US"/>
        </w:rPr>
        <w:t>presented</w:t>
      </w:r>
      <w:proofErr w:type="gramEnd"/>
      <w:r w:rsidRPr="00FE1AEF">
        <w:rPr>
          <w:rFonts w:asciiTheme="majorHAnsi" w:hAnsiTheme="majorHAnsi"/>
          <w:lang w:val="en-US"/>
        </w:rPr>
        <w:t xml:space="preserve"> its most recent previous financial statements under national requirements that are consistent with these IFRS in all respects</w:t>
      </w:r>
      <w:r>
        <w:rPr>
          <w:rFonts w:asciiTheme="majorHAnsi" w:hAnsiTheme="majorHAnsi"/>
          <w:lang w:val="en-US"/>
        </w:rPr>
        <w:t>.</w:t>
      </w:r>
      <w:r w:rsidRPr="00FE1AEF">
        <w:rPr>
          <w:rFonts w:asciiTheme="majorHAnsi" w:hAnsiTheme="majorHAnsi"/>
          <w:lang w:val="en-US"/>
        </w:rPr>
        <w:t xml:space="preserve"> </w:t>
      </w:r>
    </w:p>
    <w:p w:rsidR="00E109C5" w:rsidRDefault="00E109C5" w:rsidP="00E109C5">
      <w:pPr>
        <w:pStyle w:val="ListParagraph"/>
        <w:numPr>
          <w:ilvl w:val="0"/>
          <w:numId w:val="39"/>
        </w:numPr>
        <w:jc w:val="both"/>
        <w:rPr>
          <w:rFonts w:asciiTheme="majorHAnsi" w:hAnsiTheme="majorHAnsi"/>
          <w:lang w:val="en-US"/>
        </w:rPr>
      </w:pPr>
      <w:proofErr w:type="gramStart"/>
      <w:r w:rsidRPr="00FE1AEF">
        <w:rPr>
          <w:rFonts w:asciiTheme="majorHAnsi" w:hAnsiTheme="majorHAnsi"/>
          <w:lang w:val="en-US"/>
        </w:rPr>
        <w:t>presented</w:t>
      </w:r>
      <w:proofErr w:type="gramEnd"/>
      <w:r w:rsidRPr="00FE1AEF">
        <w:rPr>
          <w:rFonts w:asciiTheme="majorHAnsi" w:hAnsiTheme="majorHAnsi"/>
          <w:lang w:val="en-US"/>
        </w:rPr>
        <w:t xml:space="preserve"> its most recent previous financial statements in </w:t>
      </w:r>
      <w:r>
        <w:rPr>
          <w:rFonts w:asciiTheme="majorHAnsi" w:hAnsiTheme="majorHAnsi"/>
          <w:lang w:val="en-US"/>
        </w:rPr>
        <w:t xml:space="preserve">conformity with full IFRSs. </w:t>
      </w:r>
    </w:p>
    <w:p w:rsidR="00E109C5" w:rsidRPr="00FE1AEF" w:rsidRDefault="00E109C5" w:rsidP="00E109C5">
      <w:pPr>
        <w:pStyle w:val="ListParagraph"/>
        <w:jc w:val="both"/>
        <w:rPr>
          <w:rFonts w:asciiTheme="majorHAnsi" w:hAnsiTheme="majorHAnsi"/>
          <w:lang w:val="en-US"/>
        </w:rPr>
      </w:pPr>
    </w:p>
    <w:p w:rsidR="00E109C5" w:rsidRPr="00FE1AEF" w:rsidRDefault="00E109C5" w:rsidP="00E109C5">
      <w:pPr>
        <w:pStyle w:val="ListParagraph"/>
        <w:numPr>
          <w:ilvl w:val="0"/>
          <w:numId w:val="37"/>
        </w:numPr>
        <w:ind w:left="360"/>
        <w:jc w:val="both"/>
        <w:rPr>
          <w:rFonts w:asciiTheme="majorHAnsi" w:hAnsiTheme="majorHAnsi"/>
          <w:lang w:val="en-US"/>
        </w:rPr>
      </w:pPr>
      <w:r w:rsidRPr="00FE1AEF">
        <w:rPr>
          <w:rFonts w:asciiTheme="majorHAnsi" w:hAnsiTheme="majorHAnsi"/>
          <w:lang w:val="en-US"/>
        </w:rPr>
        <w:t>Decide in which order individual procedures which are presented below should take place while compiling entity’s opening statement of financial position as of its date of transition to the IFRS for SMEs (i.e. the beginning of the earliest period presented):</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w:t>
      </w:r>
      <w:proofErr w:type="spellStart"/>
      <w:r w:rsidRPr="00FE1AEF">
        <w:rPr>
          <w:rFonts w:asciiTheme="majorHAnsi" w:hAnsiTheme="majorHAnsi"/>
          <w:lang w:val="en-US"/>
        </w:rPr>
        <w:t>i</w:t>
      </w:r>
      <w:proofErr w:type="spellEnd"/>
      <w:r w:rsidRPr="00FE1AEF">
        <w:rPr>
          <w:rFonts w:asciiTheme="majorHAnsi" w:hAnsiTheme="majorHAnsi"/>
          <w:lang w:val="en-US"/>
        </w:rPr>
        <w:t xml:space="preserve">) </w:t>
      </w:r>
      <w:proofErr w:type="gramStart"/>
      <w:r w:rsidRPr="00FE1AEF">
        <w:rPr>
          <w:rFonts w:asciiTheme="majorHAnsi" w:hAnsiTheme="majorHAnsi"/>
          <w:lang w:val="en-US"/>
        </w:rPr>
        <w:t>reclassify</w:t>
      </w:r>
      <w:proofErr w:type="gramEnd"/>
      <w:r w:rsidRPr="00FE1AEF">
        <w:rPr>
          <w:rFonts w:asciiTheme="majorHAnsi" w:hAnsiTheme="majorHAnsi"/>
          <w:lang w:val="en-US"/>
        </w:rPr>
        <w:t xml:space="preserve"> items that it recognized under its previous financial reporting framework as one type of asset, liability or component of equity, but are a different type of asset, liability or component of equity under these IFRS</w:t>
      </w:r>
      <w:r>
        <w:rPr>
          <w:rFonts w:asciiTheme="majorHAnsi" w:hAnsiTheme="majorHAnsi"/>
          <w:lang w:val="en-US"/>
        </w:rPr>
        <w:t>.</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 xml:space="preserve">(ii) </w:t>
      </w:r>
      <w:proofErr w:type="gramStart"/>
      <w:r w:rsidRPr="00FE1AEF">
        <w:rPr>
          <w:rFonts w:asciiTheme="majorHAnsi" w:hAnsiTheme="majorHAnsi"/>
          <w:lang w:val="en-US"/>
        </w:rPr>
        <w:t>apply</w:t>
      </w:r>
      <w:proofErr w:type="gramEnd"/>
      <w:r w:rsidRPr="00FE1AEF">
        <w:rPr>
          <w:rFonts w:asciiTheme="majorHAnsi" w:hAnsiTheme="majorHAnsi"/>
          <w:lang w:val="en-US"/>
        </w:rPr>
        <w:t xml:space="preserve"> this IFRS in measuring all recognized assets and liabilities</w:t>
      </w:r>
      <w:r>
        <w:rPr>
          <w:rFonts w:asciiTheme="majorHAnsi" w:hAnsiTheme="majorHAnsi"/>
          <w:lang w:val="en-US"/>
        </w:rPr>
        <w:t>.</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 xml:space="preserve">(iii) </w:t>
      </w:r>
      <w:proofErr w:type="gramStart"/>
      <w:r w:rsidRPr="00FE1AEF">
        <w:rPr>
          <w:rFonts w:asciiTheme="majorHAnsi" w:hAnsiTheme="majorHAnsi"/>
          <w:lang w:val="en-US"/>
        </w:rPr>
        <w:t>recognize</w:t>
      </w:r>
      <w:proofErr w:type="gramEnd"/>
      <w:r w:rsidRPr="00FE1AEF">
        <w:rPr>
          <w:rFonts w:asciiTheme="majorHAnsi" w:hAnsiTheme="majorHAnsi"/>
          <w:lang w:val="en-US"/>
        </w:rPr>
        <w:t xml:space="preserve"> all assets and liabilities whose recognition is required by the IFRS for SMEs</w:t>
      </w:r>
      <w:r>
        <w:rPr>
          <w:rFonts w:asciiTheme="majorHAnsi" w:hAnsiTheme="majorHAnsi"/>
          <w:lang w:val="en-US"/>
        </w:rPr>
        <w:t>.</w:t>
      </w:r>
    </w:p>
    <w:p w:rsidR="00E109C5" w:rsidRPr="00FE1AEF" w:rsidRDefault="00E109C5" w:rsidP="00E109C5">
      <w:pPr>
        <w:jc w:val="both"/>
        <w:rPr>
          <w:rFonts w:asciiTheme="majorHAnsi" w:hAnsiTheme="majorHAnsi"/>
          <w:lang w:val="en-US"/>
        </w:rPr>
      </w:pPr>
      <w:r w:rsidRPr="00FE1AEF">
        <w:rPr>
          <w:rFonts w:asciiTheme="majorHAnsi" w:hAnsiTheme="majorHAnsi"/>
          <w:lang w:val="en-US"/>
        </w:rPr>
        <w:t xml:space="preserve">(iv) </w:t>
      </w:r>
      <w:proofErr w:type="gramStart"/>
      <w:r w:rsidRPr="00FE1AEF">
        <w:rPr>
          <w:rFonts w:asciiTheme="majorHAnsi" w:hAnsiTheme="majorHAnsi"/>
          <w:lang w:val="en-US"/>
        </w:rPr>
        <w:t>not</w:t>
      </w:r>
      <w:proofErr w:type="gramEnd"/>
      <w:r w:rsidRPr="00FE1AEF">
        <w:rPr>
          <w:rFonts w:asciiTheme="majorHAnsi" w:hAnsiTheme="majorHAnsi"/>
          <w:lang w:val="en-US"/>
        </w:rPr>
        <w:t xml:space="preserve"> recognize items as assets or liabilities if these IFRS does not permit such recognition</w:t>
      </w:r>
      <w:r>
        <w:rPr>
          <w:rFonts w:asciiTheme="majorHAnsi" w:hAnsiTheme="majorHAnsi"/>
          <w:lang w:val="en-US"/>
        </w:rPr>
        <w:t>.</w:t>
      </w:r>
    </w:p>
    <w:p w:rsidR="00E109C5" w:rsidRPr="00FE1AEF" w:rsidRDefault="00E109C5" w:rsidP="00E109C5">
      <w:pPr>
        <w:pStyle w:val="ListParagraph"/>
        <w:numPr>
          <w:ilvl w:val="0"/>
          <w:numId w:val="40"/>
        </w:numPr>
        <w:jc w:val="both"/>
        <w:rPr>
          <w:rFonts w:asciiTheme="majorHAnsi" w:hAnsiTheme="majorHAnsi"/>
          <w:lang w:val="en-US"/>
        </w:rPr>
      </w:pPr>
      <w:r w:rsidRPr="00FE1AEF">
        <w:rPr>
          <w:rFonts w:asciiTheme="majorHAnsi" w:hAnsiTheme="majorHAnsi"/>
          <w:lang w:val="en-US"/>
        </w:rPr>
        <w:t>(</w:t>
      </w:r>
      <w:proofErr w:type="spellStart"/>
      <w:proofErr w:type="gramStart"/>
      <w:r w:rsidRPr="00FE1AEF">
        <w:rPr>
          <w:rFonts w:asciiTheme="majorHAnsi" w:hAnsiTheme="majorHAnsi"/>
          <w:lang w:val="en-US"/>
        </w:rPr>
        <w:t>i</w:t>
      </w:r>
      <w:proofErr w:type="spellEnd"/>
      <w:proofErr w:type="gramEnd"/>
      <w:r w:rsidRPr="00FE1AEF">
        <w:rPr>
          <w:rFonts w:asciiTheme="majorHAnsi" w:hAnsiTheme="majorHAnsi"/>
          <w:lang w:val="en-US"/>
        </w:rPr>
        <w:t>), (ii), (iii), (iv)</w:t>
      </w:r>
      <w:r>
        <w:rPr>
          <w:rFonts w:asciiTheme="majorHAnsi" w:hAnsiTheme="majorHAnsi"/>
          <w:lang w:val="en-US"/>
        </w:rPr>
        <w:t>.</w:t>
      </w:r>
    </w:p>
    <w:p w:rsidR="00E109C5" w:rsidRPr="00FE1AEF" w:rsidRDefault="00E109C5" w:rsidP="00E109C5">
      <w:pPr>
        <w:pStyle w:val="ListParagraph"/>
        <w:numPr>
          <w:ilvl w:val="0"/>
          <w:numId w:val="40"/>
        </w:numPr>
        <w:jc w:val="both"/>
        <w:rPr>
          <w:rFonts w:asciiTheme="majorHAnsi" w:hAnsiTheme="majorHAnsi"/>
          <w:lang w:val="en-US"/>
        </w:rPr>
      </w:pPr>
      <w:proofErr w:type="gramStart"/>
      <w:r w:rsidRPr="00FE1AEF">
        <w:rPr>
          <w:rFonts w:asciiTheme="majorHAnsi" w:hAnsiTheme="majorHAnsi"/>
          <w:lang w:val="en-US"/>
        </w:rPr>
        <w:t>(iv)</w:t>
      </w:r>
      <w:proofErr w:type="gramEnd"/>
      <w:r w:rsidRPr="00FE1AEF">
        <w:rPr>
          <w:rFonts w:asciiTheme="majorHAnsi" w:hAnsiTheme="majorHAnsi"/>
          <w:lang w:val="en-US"/>
        </w:rPr>
        <w:t>, (iii), (ii), (</w:t>
      </w:r>
      <w:proofErr w:type="spellStart"/>
      <w:r w:rsidRPr="00FE1AEF">
        <w:rPr>
          <w:rFonts w:asciiTheme="majorHAnsi" w:hAnsiTheme="majorHAnsi"/>
          <w:lang w:val="en-US"/>
        </w:rPr>
        <w:t>i</w:t>
      </w:r>
      <w:proofErr w:type="spellEnd"/>
      <w:r w:rsidRPr="00FE1AEF">
        <w:rPr>
          <w:rFonts w:asciiTheme="majorHAnsi" w:hAnsiTheme="majorHAnsi"/>
          <w:lang w:val="en-US"/>
        </w:rPr>
        <w:t>)</w:t>
      </w:r>
      <w:r>
        <w:rPr>
          <w:rFonts w:asciiTheme="majorHAnsi" w:hAnsiTheme="majorHAnsi"/>
          <w:lang w:val="en-US"/>
        </w:rPr>
        <w:t>.</w:t>
      </w:r>
    </w:p>
    <w:p w:rsidR="00E109C5" w:rsidRPr="00FE1AEF" w:rsidRDefault="00E109C5" w:rsidP="00E109C5">
      <w:pPr>
        <w:pStyle w:val="ListParagraph"/>
        <w:numPr>
          <w:ilvl w:val="0"/>
          <w:numId w:val="40"/>
        </w:numPr>
        <w:jc w:val="both"/>
        <w:rPr>
          <w:rFonts w:asciiTheme="majorHAnsi" w:hAnsiTheme="majorHAnsi"/>
          <w:lang w:val="en-US"/>
        </w:rPr>
      </w:pPr>
      <w:r>
        <w:rPr>
          <w:rFonts w:asciiTheme="majorHAnsi" w:hAnsiTheme="majorHAnsi"/>
          <w:lang w:val="en-US"/>
        </w:rPr>
        <w:t>(iii), (</w:t>
      </w:r>
      <w:proofErr w:type="gramStart"/>
      <w:r>
        <w:rPr>
          <w:rFonts w:asciiTheme="majorHAnsi" w:hAnsiTheme="majorHAnsi"/>
          <w:lang w:val="en-US"/>
        </w:rPr>
        <w:t>iv</w:t>
      </w:r>
      <w:proofErr w:type="gramEnd"/>
      <w:r>
        <w:rPr>
          <w:rFonts w:asciiTheme="majorHAnsi" w:hAnsiTheme="majorHAnsi"/>
          <w:lang w:val="en-US"/>
        </w:rPr>
        <w:t>), (</w:t>
      </w:r>
      <w:proofErr w:type="spellStart"/>
      <w:r>
        <w:rPr>
          <w:rFonts w:asciiTheme="majorHAnsi" w:hAnsiTheme="majorHAnsi"/>
          <w:lang w:val="en-US"/>
        </w:rPr>
        <w:t>i</w:t>
      </w:r>
      <w:proofErr w:type="spellEnd"/>
      <w:r>
        <w:rPr>
          <w:rFonts w:asciiTheme="majorHAnsi" w:hAnsiTheme="majorHAnsi"/>
          <w:lang w:val="en-US"/>
        </w:rPr>
        <w:t>), (ii).</w:t>
      </w:r>
    </w:p>
    <w:p w:rsidR="00E109C5" w:rsidRDefault="00E109C5" w:rsidP="00E109C5">
      <w:pPr>
        <w:pStyle w:val="ListParagraph"/>
        <w:numPr>
          <w:ilvl w:val="0"/>
          <w:numId w:val="40"/>
        </w:numPr>
        <w:jc w:val="both"/>
        <w:rPr>
          <w:rFonts w:asciiTheme="majorHAnsi" w:hAnsiTheme="majorHAnsi"/>
          <w:lang w:val="en-US"/>
        </w:rPr>
      </w:pPr>
      <w:r w:rsidRPr="00FE1AEF">
        <w:rPr>
          <w:rFonts w:asciiTheme="majorHAnsi" w:hAnsiTheme="majorHAnsi"/>
          <w:lang w:val="en-US"/>
        </w:rPr>
        <w:t>(ii), (</w:t>
      </w:r>
      <w:proofErr w:type="spellStart"/>
      <w:r w:rsidRPr="00FE1AEF">
        <w:rPr>
          <w:rFonts w:asciiTheme="majorHAnsi" w:hAnsiTheme="majorHAnsi"/>
          <w:lang w:val="en-US"/>
        </w:rPr>
        <w:t>i</w:t>
      </w:r>
      <w:proofErr w:type="spellEnd"/>
      <w:r w:rsidRPr="00FE1AEF">
        <w:rPr>
          <w:rFonts w:asciiTheme="majorHAnsi" w:hAnsiTheme="majorHAnsi"/>
          <w:lang w:val="en-US"/>
        </w:rPr>
        <w:t>), (</w:t>
      </w:r>
      <w:proofErr w:type="gramStart"/>
      <w:r w:rsidRPr="00FE1AEF">
        <w:rPr>
          <w:rFonts w:asciiTheme="majorHAnsi" w:hAnsiTheme="majorHAnsi"/>
          <w:lang w:val="en-US"/>
        </w:rPr>
        <w:t>iv</w:t>
      </w:r>
      <w:proofErr w:type="gramEnd"/>
      <w:r w:rsidRPr="00FE1AEF">
        <w:rPr>
          <w:rFonts w:asciiTheme="majorHAnsi" w:hAnsiTheme="majorHAnsi"/>
          <w:lang w:val="en-US"/>
        </w:rPr>
        <w:t>), (iii)</w:t>
      </w:r>
      <w:r>
        <w:rPr>
          <w:rFonts w:asciiTheme="majorHAnsi" w:hAnsiTheme="majorHAnsi"/>
          <w:lang w:val="en-US"/>
        </w:rPr>
        <w:t>.</w:t>
      </w:r>
    </w:p>
    <w:p w:rsidR="00E109C5" w:rsidRPr="00FE1AEF" w:rsidRDefault="00E109C5" w:rsidP="00E109C5">
      <w:pPr>
        <w:pStyle w:val="ListParagraph"/>
        <w:jc w:val="both"/>
        <w:rPr>
          <w:rFonts w:asciiTheme="majorHAnsi" w:hAnsiTheme="majorHAnsi"/>
          <w:lang w:val="en-US"/>
        </w:rPr>
      </w:pPr>
    </w:p>
    <w:p w:rsidR="00E109C5" w:rsidRPr="00FE1AEF" w:rsidRDefault="00E109C5" w:rsidP="00E109C5">
      <w:pPr>
        <w:pStyle w:val="ListParagraph"/>
        <w:numPr>
          <w:ilvl w:val="0"/>
          <w:numId w:val="37"/>
        </w:numPr>
        <w:ind w:left="360"/>
        <w:jc w:val="both"/>
        <w:rPr>
          <w:rFonts w:asciiTheme="majorHAnsi" w:hAnsiTheme="majorHAnsi"/>
          <w:lang w:val="en-US"/>
        </w:rPr>
      </w:pPr>
      <w:r w:rsidRPr="00FE1AEF">
        <w:rPr>
          <w:rFonts w:asciiTheme="majorHAnsi" w:hAnsiTheme="majorHAnsi"/>
          <w:lang w:val="en-US"/>
        </w:rPr>
        <w:t xml:space="preserve">Quiz 3: An entity that had never presented financial statements decided to adopt the IFRS for SMEs in 20X8. The entity’s financial statements for the year ended 31 December 20X8 conformed to the IFRS for SMEs. Full comparative information </w:t>
      </w:r>
      <w:proofErr w:type="gramStart"/>
      <w:r w:rsidRPr="00FE1AEF">
        <w:rPr>
          <w:rFonts w:asciiTheme="majorHAnsi" w:hAnsiTheme="majorHAnsi"/>
          <w:lang w:val="en-US"/>
        </w:rPr>
        <w:t>is provided</w:t>
      </w:r>
      <w:proofErr w:type="gramEnd"/>
      <w:r w:rsidRPr="00FE1AEF">
        <w:rPr>
          <w:rFonts w:asciiTheme="majorHAnsi" w:hAnsiTheme="majorHAnsi"/>
          <w:lang w:val="en-US"/>
        </w:rPr>
        <w:t xml:space="preserve"> for one year. What is the entity’s date of transition to the IFRS for SMEs?</w:t>
      </w:r>
    </w:p>
    <w:p w:rsidR="00E109C5" w:rsidRPr="00FE1AEF" w:rsidRDefault="00E109C5" w:rsidP="00E109C5">
      <w:pPr>
        <w:pStyle w:val="ListParagraph"/>
        <w:numPr>
          <w:ilvl w:val="0"/>
          <w:numId w:val="41"/>
        </w:numPr>
        <w:jc w:val="both"/>
        <w:rPr>
          <w:rFonts w:asciiTheme="majorHAnsi" w:hAnsiTheme="majorHAnsi"/>
          <w:lang w:val="en-US"/>
        </w:rPr>
      </w:pPr>
      <w:r w:rsidRPr="00FE1AEF">
        <w:rPr>
          <w:rFonts w:asciiTheme="majorHAnsi" w:hAnsiTheme="majorHAnsi"/>
          <w:lang w:val="en-US"/>
        </w:rPr>
        <w:t>1 January 20X5</w:t>
      </w:r>
      <w:r>
        <w:rPr>
          <w:rFonts w:asciiTheme="majorHAnsi" w:hAnsiTheme="majorHAnsi"/>
          <w:lang w:val="en-US"/>
        </w:rPr>
        <w:t>.</w:t>
      </w:r>
    </w:p>
    <w:p w:rsidR="00E109C5" w:rsidRPr="00FE1AEF" w:rsidRDefault="00E109C5" w:rsidP="00E109C5">
      <w:pPr>
        <w:pStyle w:val="ListParagraph"/>
        <w:numPr>
          <w:ilvl w:val="0"/>
          <w:numId w:val="41"/>
        </w:numPr>
        <w:jc w:val="both"/>
        <w:rPr>
          <w:rFonts w:asciiTheme="majorHAnsi" w:hAnsiTheme="majorHAnsi"/>
          <w:lang w:val="en-US"/>
        </w:rPr>
      </w:pPr>
      <w:r w:rsidRPr="00FE1AEF">
        <w:rPr>
          <w:rFonts w:asciiTheme="majorHAnsi" w:hAnsiTheme="majorHAnsi"/>
          <w:lang w:val="en-US"/>
        </w:rPr>
        <w:t>1 January 20X6</w:t>
      </w:r>
      <w:r>
        <w:rPr>
          <w:rFonts w:asciiTheme="majorHAnsi" w:hAnsiTheme="majorHAnsi"/>
          <w:lang w:val="en-US"/>
        </w:rPr>
        <w:t>.</w:t>
      </w:r>
    </w:p>
    <w:p w:rsidR="00E109C5" w:rsidRPr="00FE1AEF" w:rsidRDefault="00E109C5" w:rsidP="00E109C5">
      <w:pPr>
        <w:pStyle w:val="ListParagraph"/>
        <w:numPr>
          <w:ilvl w:val="0"/>
          <w:numId w:val="41"/>
        </w:numPr>
        <w:jc w:val="both"/>
        <w:rPr>
          <w:rFonts w:asciiTheme="majorHAnsi" w:hAnsiTheme="majorHAnsi"/>
          <w:lang w:val="en-US"/>
        </w:rPr>
      </w:pPr>
      <w:r>
        <w:rPr>
          <w:rFonts w:asciiTheme="majorHAnsi" w:hAnsiTheme="majorHAnsi"/>
          <w:lang w:val="en-US"/>
        </w:rPr>
        <w:t>1 January 20X7.</w:t>
      </w:r>
    </w:p>
    <w:p w:rsidR="00E109C5" w:rsidRPr="00FE1AEF" w:rsidRDefault="00E109C5" w:rsidP="00E109C5">
      <w:pPr>
        <w:pStyle w:val="ListParagraph"/>
        <w:numPr>
          <w:ilvl w:val="0"/>
          <w:numId w:val="41"/>
        </w:numPr>
        <w:jc w:val="both"/>
        <w:rPr>
          <w:rFonts w:asciiTheme="majorHAnsi" w:hAnsiTheme="majorHAnsi"/>
          <w:lang w:val="en-US"/>
        </w:rPr>
      </w:pPr>
      <w:r w:rsidRPr="00FE1AEF">
        <w:rPr>
          <w:rFonts w:asciiTheme="majorHAnsi" w:hAnsiTheme="majorHAnsi"/>
          <w:lang w:val="en-US"/>
        </w:rPr>
        <w:t>1 January 20X8.</w:t>
      </w:r>
    </w:p>
    <w:p w:rsidR="00A4393C" w:rsidRPr="00F40DA1" w:rsidRDefault="00A4393C" w:rsidP="00105BBC">
      <w:pPr>
        <w:jc w:val="center"/>
        <w:rPr>
          <w:rFonts w:asciiTheme="majorHAnsi" w:eastAsia="Calibri" w:hAnsiTheme="majorHAnsi" w:cs="Times New Roman"/>
          <w:b/>
          <w:sz w:val="24"/>
          <w:szCs w:val="24"/>
          <w:lang w:val="en-US"/>
        </w:rPr>
      </w:pPr>
    </w:p>
    <w:sectPr w:rsidR="00A4393C" w:rsidRPr="00F40DA1" w:rsidSect="00A439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4A" w:rsidRDefault="00C3454A" w:rsidP="00C3454A">
      <w:pPr>
        <w:spacing w:after="0" w:line="240" w:lineRule="auto"/>
      </w:pPr>
      <w:r>
        <w:separator/>
      </w:r>
    </w:p>
  </w:endnote>
  <w:endnote w:type="continuationSeparator" w:id="0">
    <w:p w:rsidR="00C3454A" w:rsidRDefault="00C3454A" w:rsidP="00C3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24089"/>
      <w:docPartObj>
        <w:docPartGallery w:val="Page Numbers (Bottom of Page)"/>
        <w:docPartUnique/>
      </w:docPartObj>
    </w:sdtPr>
    <w:sdtEndPr>
      <w:rPr>
        <w:rFonts w:asciiTheme="majorHAnsi" w:hAnsiTheme="majorHAnsi"/>
        <w:noProof/>
      </w:rPr>
    </w:sdtEndPr>
    <w:sdtContent>
      <w:p w:rsidR="000F1589" w:rsidRPr="000F1589" w:rsidRDefault="000F1589">
        <w:pPr>
          <w:pStyle w:val="Footer"/>
          <w:jc w:val="right"/>
          <w:rPr>
            <w:rFonts w:asciiTheme="majorHAnsi" w:hAnsiTheme="majorHAnsi"/>
          </w:rPr>
        </w:pPr>
        <w:r w:rsidRPr="000F1589">
          <w:rPr>
            <w:rFonts w:asciiTheme="majorHAnsi" w:hAnsiTheme="majorHAnsi"/>
          </w:rPr>
          <w:fldChar w:fldCharType="begin"/>
        </w:r>
        <w:r w:rsidRPr="000F1589">
          <w:rPr>
            <w:rFonts w:asciiTheme="majorHAnsi" w:hAnsiTheme="majorHAnsi"/>
          </w:rPr>
          <w:instrText xml:space="preserve"> PAGE   \* MERGEFORMAT </w:instrText>
        </w:r>
        <w:r w:rsidRPr="000F1589">
          <w:rPr>
            <w:rFonts w:asciiTheme="majorHAnsi" w:hAnsiTheme="majorHAnsi"/>
          </w:rPr>
          <w:fldChar w:fldCharType="separate"/>
        </w:r>
        <w:r>
          <w:rPr>
            <w:rFonts w:asciiTheme="majorHAnsi" w:hAnsiTheme="majorHAnsi"/>
            <w:noProof/>
          </w:rPr>
          <w:t>4</w:t>
        </w:r>
        <w:r w:rsidRPr="000F1589">
          <w:rPr>
            <w:rFonts w:asciiTheme="majorHAnsi" w:hAnsiTheme="majorHAnsi"/>
            <w:noProof/>
          </w:rPr>
          <w:fldChar w:fldCharType="end"/>
        </w:r>
      </w:p>
    </w:sdtContent>
  </w:sdt>
  <w:p w:rsidR="00C3454A" w:rsidRDefault="00C34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4A" w:rsidRDefault="00C3454A" w:rsidP="00C3454A">
      <w:pPr>
        <w:spacing w:after="0" w:line="240" w:lineRule="auto"/>
      </w:pPr>
      <w:r>
        <w:separator/>
      </w:r>
    </w:p>
  </w:footnote>
  <w:footnote w:type="continuationSeparator" w:id="0">
    <w:p w:rsidR="00C3454A" w:rsidRDefault="00C3454A" w:rsidP="00C34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535"/>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73A11"/>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0283E"/>
    <w:multiLevelType w:val="hybridMultilevel"/>
    <w:tmpl w:val="F67E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2521A"/>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B1164"/>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C6E37"/>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C3213"/>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12CBA"/>
    <w:multiLevelType w:val="hybridMultilevel"/>
    <w:tmpl w:val="1B0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73DE7"/>
    <w:multiLevelType w:val="hybridMultilevel"/>
    <w:tmpl w:val="27F8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A4AFA"/>
    <w:multiLevelType w:val="hybridMultilevel"/>
    <w:tmpl w:val="21AC1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945FD"/>
    <w:multiLevelType w:val="hybridMultilevel"/>
    <w:tmpl w:val="907C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FF14EF"/>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73C77"/>
    <w:multiLevelType w:val="hybridMultilevel"/>
    <w:tmpl w:val="D4847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961C8"/>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4371C"/>
    <w:multiLevelType w:val="hybridMultilevel"/>
    <w:tmpl w:val="F242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701D2"/>
    <w:multiLevelType w:val="hybridMultilevel"/>
    <w:tmpl w:val="EF5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33E91"/>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63592"/>
    <w:multiLevelType w:val="hybridMultilevel"/>
    <w:tmpl w:val="E5FA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362BC"/>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82F7E"/>
    <w:multiLevelType w:val="hybridMultilevel"/>
    <w:tmpl w:val="6DFA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80ADC"/>
    <w:multiLevelType w:val="hybridMultilevel"/>
    <w:tmpl w:val="8BFC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C2048"/>
    <w:multiLevelType w:val="hybridMultilevel"/>
    <w:tmpl w:val="53F2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1A4F53"/>
    <w:multiLevelType w:val="hybridMultilevel"/>
    <w:tmpl w:val="E368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56966"/>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1E00A2"/>
    <w:multiLevelType w:val="hybridMultilevel"/>
    <w:tmpl w:val="27F8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4B8F"/>
    <w:multiLevelType w:val="hybridMultilevel"/>
    <w:tmpl w:val="CDD0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E65CC"/>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B6A7E"/>
    <w:multiLevelType w:val="hybridMultilevel"/>
    <w:tmpl w:val="42E2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11C35"/>
    <w:multiLevelType w:val="hybridMultilevel"/>
    <w:tmpl w:val="C9D2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A7A39"/>
    <w:multiLevelType w:val="hybridMultilevel"/>
    <w:tmpl w:val="553A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14BBA"/>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66E74"/>
    <w:multiLevelType w:val="hybridMultilevel"/>
    <w:tmpl w:val="4926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363EF6"/>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FA5607"/>
    <w:multiLevelType w:val="hybridMultilevel"/>
    <w:tmpl w:val="42C2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C0557"/>
    <w:multiLevelType w:val="hybridMultilevel"/>
    <w:tmpl w:val="3A46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E3C46"/>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246F16"/>
    <w:multiLevelType w:val="hybridMultilevel"/>
    <w:tmpl w:val="56F2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785FDA"/>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A580D"/>
    <w:multiLevelType w:val="hybridMultilevel"/>
    <w:tmpl w:val="27F8A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91B99"/>
    <w:multiLevelType w:val="hybridMultilevel"/>
    <w:tmpl w:val="D77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344E2"/>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14"/>
  </w:num>
  <w:num w:numId="4">
    <w:abstractNumId w:val="10"/>
  </w:num>
  <w:num w:numId="5">
    <w:abstractNumId w:val="19"/>
  </w:num>
  <w:num w:numId="6">
    <w:abstractNumId w:val="34"/>
  </w:num>
  <w:num w:numId="7">
    <w:abstractNumId w:val="21"/>
  </w:num>
  <w:num w:numId="8">
    <w:abstractNumId w:val="20"/>
  </w:num>
  <w:num w:numId="9">
    <w:abstractNumId w:val="9"/>
  </w:num>
  <w:num w:numId="10">
    <w:abstractNumId w:val="22"/>
  </w:num>
  <w:num w:numId="11">
    <w:abstractNumId w:val="33"/>
  </w:num>
  <w:num w:numId="12">
    <w:abstractNumId w:val="8"/>
  </w:num>
  <w:num w:numId="13">
    <w:abstractNumId w:val="38"/>
  </w:num>
  <w:num w:numId="14">
    <w:abstractNumId w:val="11"/>
  </w:num>
  <w:num w:numId="15">
    <w:abstractNumId w:val="13"/>
  </w:num>
  <w:num w:numId="16">
    <w:abstractNumId w:val="37"/>
  </w:num>
  <w:num w:numId="17">
    <w:abstractNumId w:val="4"/>
  </w:num>
  <w:num w:numId="18">
    <w:abstractNumId w:val="35"/>
  </w:num>
  <w:num w:numId="19">
    <w:abstractNumId w:val="1"/>
  </w:num>
  <w:num w:numId="20">
    <w:abstractNumId w:val="30"/>
  </w:num>
  <w:num w:numId="21">
    <w:abstractNumId w:val="23"/>
  </w:num>
  <w:num w:numId="22">
    <w:abstractNumId w:val="32"/>
  </w:num>
  <w:num w:numId="23">
    <w:abstractNumId w:val="5"/>
  </w:num>
  <w:num w:numId="24">
    <w:abstractNumId w:val="6"/>
  </w:num>
  <w:num w:numId="25">
    <w:abstractNumId w:val="28"/>
  </w:num>
  <w:num w:numId="26">
    <w:abstractNumId w:val="40"/>
  </w:num>
  <w:num w:numId="27">
    <w:abstractNumId w:val="18"/>
  </w:num>
  <w:num w:numId="28">
    <w:abstractNumId w:val="29"/>
  </w:num>
  <w:num w:numId="29">
    <w:abstractNumId w:val="36"/>
  </w:num>
  <w:num w:numId="30">
    <w:abstractNumId w:val="27"/>
  </w:num>
  <w:num w:numId="31">
    <w:abstractNumId w:val="15"/>
  </w:num>
  <w:num w:numId="32">
    <w:abstractNumId w:val="17"/>
  </w:num>
  <w:num w:numId="33">
    <w:abstractNumId w:val="39"/>
  </w:num>
  <w:num w:numId="34">
    <w:abstractNumId w:val="2"/>
  </w:num>
  <w:num w:numId="35">
    <w:abstractNumId w:val="31"/>
  </w:num>
  <w:num w:numId="36">
    <w:abstractNumId w:val="12"/>
  </w:num>
  <w:num w:numId="37">
    <w:abstractNumId w:val="24"/>
  </w:num>
  <w:num w:numId="38">
    <w:abstractNumId w:val="0"/>
  </w:num>
  <w:num w:numId="39">
    <w:abstractNumId w:val="16"/>
  </w:num>
  <w:num w:numId="40">
    <w:abstractNumId w:val="3"/>
  </w:num>
  <w:num w:numId="41">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BC"/>
    <w:rsid w:val="00026E79"/>
    <w:rsid w:val="00040071"/>
    <w:rsid w:val="000922A8"/>
    <w:rsid w:val="000B6236"/>
    <w:rsid w:val="000D0FD5"/>
    <w:rsid w:val="000D2F66"/>
    <w:rsid w:val="000F1589"/>
    <w:rsid w:val="00105BBC"/>
    <w:rsid w:val="00126388"/>
    <w:rsid w:val="00151C77"/>
    <w:rsid w:val="0015207E"/>
    <w:rsid w:val="001D3047"/>
    <w:rsid w:val="00241BF9"/>
    <w:rsid w:val="002B1E14"/>
    <w:rsid w:val="002B64F7"/>
    <w:rsid w:val="0031071D"/>
    <w:rsid w:val="00327CB9"/>
    <w:rsid w:val="00386289"/>
    <w:rsid w:val="003C1F08"/>
    <w:rsid w:val="003D1E09"/>
    <w:rsid w:val="003D2B37"/>
    <w:rsid w:val="00400D77"/>
    <w:rsid w:val="004536CC"/>
    <w:rsid w:val="004B379D"/>
    <w:rsid w:val="00515CF8"/>
    <w:rsid w:val="0056619B"/>
    <w:rsid w:val="005D168C"/>
    <w:rsid w:val="00662A6E"/>
    <w:rsid w:val="00667852"/>
    <w:rsid w:val="00672D7F"/>
    <w:rsid w:val="00673156"/>
    <w:rsid w:val="006965A9"/>
    <w:rsid w:val="006E23C2"/>
    <w:rsid w:val="00730874"/>
    <w:rsid w:val="00736661"/>
    <w:rsid w:val="00745528"/>
    <w:rsid w:val="007B60FC"/>
    <w:rsid w:val="007F4310"/>
    <w:rsid w:val="00806D4C"/>
    <w:rsid w:val="00832585"/>
    <w:rsid w:val="008859EF"/>
    <w:rsid w:val="008F3C9E"/>
    <w:rsid w:val="0095538F"/>
    <w:rsid w:val="00957A40"/>
    <w:rsid w:val="009867C0"/>
    <w:rsid w:val="009A65B3"/>
    <w:rsid w:val="00A0330B"/>
    <w:rsid w:val="00A16FD0"/>
    <w:rsid w:val="00A43517"/>
    <w:rsid w:val="00A4393C"/>
    <w:rsid w:val="00A608F0"/>
    <w:rsid w:val="00A64C5A"/>
    <w:rsid w:val="00A76153"/>
    <w:rsid w:val="00AA16AE"/>
    <w:rsid w:val="00BC1855"/>
    <w:rsid w:val="00BE4B6B"/>
    <w:rsid w:val="00C324B0"/>
    <w:rsid w:val="00C3454A"/>
    <w:rsid w:val="00C47A61"/>
    <w:rsid w:val="00CA0BE4"/>
    <w:rsid w:val="00CB78AE"/>
    <w:rsid w:val="00CD2BB5"/>
    <w:rsid w:val="00CF1C9B"/>
    <w:rsid w:val="00D14A1B"/>
    <w:rsid w:val="00D222DF"/>
    <w:rsid w:val="00D76878"/>
    <w:rsid w:val="00D9636F"/>
    <w:rsid w:val="00DA0BC7"/>
    <w:rsid w:val="00DA736D"/>
    <w:rsid w:val="00DC1B2D"/>
    <w:rsid w:val="00E109C5"/>
    <w:rsid w:val="00E554FB"/>
    <w:rsid w:val="00E57B92"/>
    <w:rsid w:val="00EB64AA"/>
    <w:rsid w:val="00EF2FA3"/>
    <w:rsid w:val="00EF432E"/>
    <w:rsid w:val="00F02188"/>
    <w:rsid w:val="00F15479"/>
    <w:rsid w:val="00F40DA1"/>
    <w:rsid w:val="00F66210"/>
    <w:rsid w:val="00F7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F27F0-4A35-44C4-BFAB-A0BC9A08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3C"/>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eastAsia="Calibri" w:hAnsi="Times New Roman" w:cs="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NoSpacing">
    <w:name w:val="No Spacing"/>
    <w:uiPriority w:val="1"/>
    <w:qFormat/>
    <w:rsid w:val="006E23C2"/>
    <w:pPr>
      <w:spacing w:after="0" w:line="240" w:lineRule="auto"/>
    </w:pPr>
    <w:rPr>
      <w:lang w:val="cs-CZ"/>
    </w:rPr>
  </w:style>
  <w:style w:type="table" w:styleId="TableGrid">
    <w:name w:val="Table Grid"/>
    <w:basedOn w:val="TableNormal"/>
    <w:uiPriority w:val="59"/>
    <w:rsid w:val="006E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7C0"/>
    <w:pPr>
      <w:ind w:left="720"/>
      <w:contextualSpacing/>
    </w:pPr>
  </w:style>
  <w:style w:type="paragraph" w:styleId="Header">
    <w:name w:val="header"/>
    <w:basedOn w:val="Normal"/>
    <w:link w:val="HeaderChar"/>
    <w:uiPriority w:val="99"/>
    <w:unhideWhenUsed/>
    <w:rsid w:val="00C34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54A"/>
    <w:rPr>
      <w:lang w:val="cs-CZ"/>
    </w:rPr>
  </w:style>
  <w:style w:type="paragraph" w:styleId="Footer">
    <w:name w:val="footer"/>
    <w:basedOn w:val="Normal"/>
    <w:link w:val="FooterChar"/>
    <w:uiPriority w:val="99"/>
    <w:unhideWhenUsed/>
    <w:rsid w:val="00C34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54A"/>
    <w:rPr>
      <w:lang w:val="cs-CZ"/>
    </w:rPr>
  </w:style>
  <w:style w:type="paragraph" w:styleId="FootnoteText">
    <w:name w:val="footnote text"/>
    <w:basedOn w:val="Normal"/>
    <w:link w:val="FootnoteTextChar"/>
    <w:uiPriority w:val="99"/>
    <w:semiHidden/>
    <w:unhideWhenUsed/>
    <w:rsid w:val="00EF43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432E"/>
    <w:rPr>
      <w:sz w:val="20"/>
      <w:szCs w:val="20"/>
      <w:lang w:val="cs-CZ"/>
    </w:rPr>
  </w:style>
  <w:style w:type="character" w:styleId="FootnoteReference">
    <w:name w:val="footnote reference"/>
    <w:basedOn w:val="DefaultParagraphFont"/>
    <w:uiPriority w:val="99"/>
    <w:semiHidden/>
    <w:unhideWhenUsed/>
    <w:rsid w:val="00EF432E"/>
    <w:rPr>
      <w:vertAlign w:val="superscript"/>
    </w:rPr>
  </w:style>
  <w:style w:type="paragraph" w:customStyle="1" w:styleId="IFRS">
    <w:name w:val="IFRS"/>
    <w:basedOn w:val="Normal"/>
    <w:link w:val="IFRS0"/>
    <w:qFormat/>
    <w:rsid w:val="00EF432E"/>
    <w:pPr>
      <w:jc w:val="center"/>
    </w:pPr>
    <w:rPr>
      <w:rFonts w:asciiTheme="majorHAnsi" w:eastAsia="Calibri" w:hAnsiTheme="majorHAnsi" w:cs="Times New Roman"/>
      <w:b/>
      <w:sz w:val="24"/>
      <w:szCs w:val="24"/>
      <w:lang w:val="en-US"/>
    </w:rPr>
  </w:style>
  <w:style w:type="character" w:customStyle="1" w:styleId="IFRS0">
    <w:name w:val="IFRS Знак"/>
    <w:basedOn w:val="DefaultParagraphFont"/>
    <w:link w:val="IFRS"/>
    <w:rsid w:val="00EF432E"/>
    <w:rPr>
      <w:rFonts w:asciiTheme="majorHAnsi" w:eastAsia="Calibri" w:hAnsiTheme="majorHAns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3245">
      <w:bodyDiv w:val="1"/>
      <w:marLeft w:val="0"/>
      <w:marRight w:val="0"/>
      <w:marTop w:val="0"/>
      <w:marBottom w:val="0"/>
      <w:divBdr>
        <w:top w:val="none" w:sz="0" w:space="0" w:color="auto"/>
        <w:left w:val="none" w:sz="0" w:space="0" w:color="auto"/>
        <w:bottom w:val="none" w:sz="0" w:space="0" w:color="auto"/>
        <w:right w:val="none" w:sz="0" w:space="0" w:color="auto"/>
      </w:divBdr>
    </w:div>
    <w:div w:id="523717382">
      <w:bodyDiv w:val="1"/>
      <w:marLeft w:val="0"/>
      <w:marRight w:val="0"/>
      <w:marTop w:val="0"/>
      <w:marBottom w:val="0"/>
      <w:divBdr>
        <w:top w:val="none" w:sz="0" w:space="0" w:color="auto"/>
        <w:left w:val="none" w:sz="0" w:space="0" w:color="auto"/>
        <w:bottom w:val="none" w:sz="0" w:space="0" w:color="auto"/>
        <w:right w:val="none" w:sz="0" w:space="0" w:color="auto"/>
      </w:divBdr>
    </w:div>
    <w:div w:id="535894134">
      <w:bodyDiv w:val="1"/>
      <w:marLeft w:val="0"/>
      <w:marRight w:val="0"/>
      <w:marTop w:val="0"/>
      <w:marBottom w:val="0"/>
      <w:divBdr>
        <w:top w:val="none" w:sz="0" w:space="0" w:color="auto"/>
        <w:left w:val="none" w:sz="0" w:space="0" w:color="auto"/>
        <w:bottom w:val="none" w:sz="0" w:space="0" w:color="auto"/>
        <w:right w:val="none" w:sz="0" w:space="0" w:color="auto"/>
      </w:divBdr>
    </w:div>
    <w:div w:id="1241216105">
      <w:bodyDiv w:val="1"/>
      <w:marLeft w:val="0"/>
      <w:marRight w:val="0"/>
      <w:marTop w:val="0"/>
      <w:marBottom w:val="0"/>
      <w:divBdr>
        <w:top w:val="none" w:sz="0" w:space="0" w:color="auto"/>
        <w:left w:val="none" w:sz="0" w:space="0" w:color="auto"/>
        <w:bottom w:val="none" w:sz="0" w:space="0" w:color="auto"/>
        <w:right w:val="none" w:sz="0" w:space="0" w:color="auto"/>
      </w:divBdr>
    </w:div>
    <w:div w:id="1284581242">
      <w:bodyDiv w:val="1"/>
      <w:marLeft w:val="0"/>
      <w:marRight w:val="0"/>
      <w:marTop w:val="0"/>
      <w:marBottom w:val="0"/>
      <w:divBdr>
        <w:top w:val="none" w:sz="0" w:space="0" w:color="auto"/>
        <w:left w:val="none" w:sz="0" w:space="0" w:color="auto"/>
        <w:bottom w:val="none" w:sz="0" w:space="0" w:color="auto"/>
        <w:right w:val="none" w:sz="0" w:space="0" w:color="auto"/>
      </w:divBdr>
    </w:div>
    <w:div w:id="1579945129">
      <w:bodyDiv w:val="1"/>
      <w:marLeft w:val="0"/>
      <w:marRight w:val="0"/>
      <w:marTop w:val="0"/>
      <w:marBottom w:val="0"/>
      <w:divBdr>
        <w:top w:val="none" w:sz="0" w:space="0" w:color="auto"/>
        <w:left w:val="none" w:sz="0" w:space="0" w:color="auto"/>
        <w:bottom w:val="none" w:sz="0" w:space="0" w:color="auto"/>
        <w:right w:val="none" w:sz="0" w:space="0" w:color="auto"/>
      </w:divBdr>
    </w:div>
    <w:div w:id="21428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4</Pages>
  <Words>863</Words>
  <Characters>4924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cp:lastModifiedBy>
  <cp:revision>42</cp:revision>
  <dcterms:created xsi:type="dcterms:W3CDTF">2016-11-02T09:38:00Z</dcterms:created>
  <dcterms:modified xsi:type="dcterms:W3CDTF">2016-12-08T13:02:00Z</dcterms:modified>
</cp:coreProperties>
</file>