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6A" w:rsidRPr="009F75FA" w:rsidRDefault="009F75FA" w:rsidP="00DC056A">
      <w:pPr>
        <w:pStyle w:val="IFRS"/>
      </w:pPr>
      <w:r w:rsidRPr="009F75FA">
        <w:t>Preparation for exam. Part 2.</w:t>
      </w:r>
    </w:p>
    <w:p w:rsidR="00FF2F02" w:rsidRPr="009F75FA" w:rsidRDefault="00FF2F02" w:rsidP="00FF2F02">
      <w:pPr>
        <w:jc w:val="both"/>
        <w:rPr>
          <w:rFonts w:asciiTheme="majorHAnsi" w:hAnsiTheme="majorHAnsi"/>
          <w:u w:val="single"/>
          <w:lang w:val="en-US"/>
        </w:rPr>
      </w:pPr>
      <w:r w:rsidRPr="009F75FA">
        <w:rPr>
          <w:rFonts w:asciiTheme="majorHAnsi" w:hAnsiTheme="majorHAnsi"/>
          <w:u w:val="single"/>
          <w:lang w:val="en-US"/>
        </w:rPr>
        <w:t>Example 1: Perform impairment test for goodwill and estimate the recognized amount of impairment loss</w:t>
      </w:r>
    </w:p>
    <w:p w:rsidR="00FF2F02" w:rsidRPr="009F75FA" w:rsidRDefault="00FF2F02" w:rsidP="00FF2F02">
      <w:pPr>
        <w:jc w:val="both"/>
        <w:rPr>
          <w:rFonts w:asciiTheme="majorHAnsi" w:hAnsiTheme="majorHAnsi"/>
          <w:lang w:val="en-US"/>
        </w:rPr>
      </w:pPr>
      <w:r w:rsidRPr="009F75FA">
        <w:rPr>
          <w:rFonts w:asciiTheme="majorHAnsi" w:hAnsiTheme="majorHAnsi"/>
          <w:lang w:val="en-US"/>
        </w:rPr>
        <w:t>On 31 December 20X1, Entity T acquires 100% of voting rights in Entity M for CU10,000. Entity M has manufacturing plants in three countries. The data below relates to the end of 20X1.</w:t>
      </w:r>
    </w:p>
    <w:tbl>
      <w:tblPr>
        <w:tblW w:w="93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117"/>
        <w:gridCol w:w="2117"/>
        <w:gridCol w:w="2246"/>
      </w:tblGrid>
      <w:tr w:rsidR="00FF2F02" w:rsidRPr="009F75FA" w:rsidTr="0043473F">
        <w:trPr>
          <w:trHeight w:val="300"/>
        </w:trPr>
        <w:tc>
          <w:tcPr>
            <w:tcW w:w="2901"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b/>
                <w:color w:val="000000"/>
                <w:lang w:val="en-US"/>
              </w:rPr>
            </w:pPr>
          </w:p>
        </w:tc>
        <w:tc>
          <w:tcPr>
            <w:tcW w:w="2117"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b/>
                <w:color w:val="000000"/>
                <w:lang w:val="en-US"/>
              </w:rPr>
            </w:pPr>
            <w:r w:rsidRPr="009F75FA">
              <w:rPr>
                <w:rFonts w:asciiTheme="majorHAnsi" w:eastAsia="Times New Roman" w:hAnsiTheme="majorHAnsi"/>
                <w:b/>
                <w:color w:val="000000"/>
                <w:lang w:val="en-US"/>
              </w:rPr>
              <w:t>Allocation of purchase price</w:t>
            </w:r>
          </w:p>
        </w:tc>
        <w:tc>
          <w:tcPr>
            <w:tcW w:w="2117"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b/>
                <w:color w:val="000000"/>
                <w:lang w:val="en-US"/>
              </w:rPr>
            </w:pPr>
            <w:r w:rsidRPr="009F75FA">
              <w:rPr>
                <w:rFonts w:asciiTheme="majorHAnsi" w:eastAsia="Times New Roman" w:hAnsiTheme="majorHAnsi"/>
                <w:b/>
                <w:color w:val="000000"/>
                <w:lang w:val="en-US"/>
              </w:rPr>
              <w:t>Fair value of identifiable assets</w:t>
            </w:r>
          </w:p>
        </w:tc>
        <w:tc>
          <w:tcPr>
            <w:tcW w:w="2246"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b/>
                <w:color w:val="000000"/>
                <w:lang w:val="en-US"/>
              </w:rPr>
            </w:pPr>
            <w:r w:rsidRPr="009F75FA">
              <w:rPr>
                <w:rFonts w:asciiTheme="majorHAnsi" w:eastAsia="Times New Roman" w:hAnsiTheme="majorHAnsi"/>
                <w:b/>
                <w:color w:val="000000"/>
                <w:lang w:val="en-US"/>
              </w:rPr>
              <w:t>Goodwill</w:t>
            </w:r>
          </w:p>
        </w:tc>
      </w:tr>
      <w:tr w:rsidR="00FF2F02" w:rsidRPr="009F75FA" w:rsidTr="0043473F">
        <w:trPr>
          <w:trHeight w:val="300"/>
        </w:trPr>
        <w:tc>
          <w:tcPr>
            <w:tcW w:w="2901" w:type="dxa"/>
            <w:shd w:val="clear" w:color="auto" w:fill="auto"/>
            <w:noWrap/>
            <w:vAlign w:val="center"/>
            <w:hideMark/>
          </w:tcPr>
          <w:p w:rsidR="00FF2F02" w:rsidRPr="009F75FA" w:rsidRDefault="00FF2F02" w:rsidP="0043473F">
            <w:pPr>
              <w:spacing w:after="0" w:line="240" w:lineRule="auto"/>
              <w:rPr>
                <w:rFonts w:asciiTheme="majorHAnsi" w:eastAsia="Times New Roman" w:hAnsiTheme="majorHAnsi"/>
                <w:color w:val="000000"/>
                <w:lang w:val="en-US"/>
              </w:rPr>
            </w:pPr>
            <w:r w:rsidRPr="009F75FA">
              <w:rPr>
                <w:rFonts w:asciiTheme="majorHAnsi" w:eastAsia="Times New Roman" w:hAnsiTheme="majorHAnsi"/>
                <w:color w:val="000000"/>
                <w:lang w:val="en-US"/>
              </w:rPr>
              <w:t>Activities in Country A</w:t>
            </w:r>
          </w:p>
        </w:tc>
        <w:tc>
          <w:tcPr>
            <w:tcW w:w="2117"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r w:rsidRPr="009F75FA">
              <w:rPr>
                <w:rFonts w:asciiTheme="majorHAnsi" w:eastAsia="Times New Roman" w:hAnsiTheme="majorHAnsi"/>
                <w:color w:val="000000"/>
                <w:lang w:val="en-US"/>
              </w:rPr>
              <w:t>5,000</w:t>
            </w:r>
          </w:p>
        </w:tc>
        <w:tc>
          <w:tcPr>
            <w:tcW w:w="2117"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r w:rsidRPr="009F75FA">
              <w:rPr>
                <w:rFonts w:asciiTheme="majorHAnsi" w:eastAsia="Times New Roman" w:hAnsiTheme="majorHAnsi"/>
                <w:color w:val="000000"/>
                <w:lang w:val="en-US"/>
              </w:rPr>
              <w:t>3,500</w:t>
            </w:r>
          </w:p>
        </w:tc>
        <w:tc>
          <w:tcPr>
            <w:tcW w:w="2246"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r>
      <w:tr w:rsidR="00FF2F02" w:rsidRPr="009F75FA" w:rsidTr="0043473F">
        <w:trPr>
          <w:trHeight w:val="300"/>
        </w:trPr>
        <w:tc>
          <w:tcPr>
            <w:tcW w:w="2901" w:type="dxa"/>
            <w:shd w:val="clear" w:color="auto" w:fill="auto"/>
            <w:noWrap/>
            <w:vAlign w:val="center"/>
            <w:hideMark/>
          </w:tcPr>
          <w:p w:rsidR="00FF2F02" w:rsidRPr="009F75FA" w:rsidRDefault="00FF2F02" w:rsidP="0043473F">
            <w:pPr>
              <w:spacing w:after="0" w:line="240" w:lineRule="auto"/>
              <w:rPr>
                <w:rFonts w:asciiTheme="majorHAnsi" w:eastAsia="Times New Roman" w:hAnsiTheme="majorHAnsi"/>
                <w:color w:val="000000"/>
                <w:lang w:val="en-US"/>
              </w:rPr>
            </w:pPr>
            <w:r w:rsidRPr="009F75FA">
              <w:rPr>
                <w:rFonts w:asciiTheme="majorHAnsi" w:eastAsia="Times New Roman" w:hAnsiTheme="majorHAnsi"/>
                <w:color w:val="000000"/>
                <w:lang w:val="en-US"/>
              </w:rPr>
              <w:t>Activities in Country B</w:t>
            </w:r>
          </w:p>
        </w:tc>
        <w:tc>
          <w:tcPr>
            <w:tcW w:w="2117"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r w:rsidRPr="009F75FA">
              <w:rPr>
                <w:rFonts w:asciiTheme="majorHAnsi" w:eastAsia="Times New Roman" w:hAnsiTheme="majorHAnsi"/>
                <w:color w:val="000000"/>
                <w:lang w:val="en-US"/>
              </w:rPr>
              <w:t>2,000</w:t>
            </w:r>
          </w:p>
        </w:tc>
        <w:tc>
          <w:tcPr>
            <w:tcW w:w="2117"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r w:rsidRPr="009F75FA">
              <w:rPr>
                <w:rFonts w:asciiTheme="majorHAnsi" w:eastAsia="Times New Roman" w:hAnsiTheme="majorHAnsi"/>
                <w:color w:val="000000"/>
                <w:lang w:val="en-US"/>
              </w:rPr>
              <w:t>1,500</w:t>
            </w:r>
          </w:p>
        </w:tc>
        <w:tc>
          <w:tcPr>
            <w:tcW w:w="2246"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r>
      <w:tr w:rsidR="00FF2F02" w:rsidRPr="009F75FA" w:rsidTr="0043473F">
        <w:trPr>
          <w:trHeight w:val="300"/>
        </w:trPr>
        <w:tc>
          <w:tcPr>
            <w:tcW w:w="2901" w:type="dxa"/>
            <w:shd w:val="clear" w:color="auto" w:fill="auto"/>
            <w:noWrap/>
            <w:vAlign w:val="center"/>
            <w:hideMark/>
          </w:tcPr>
          <w:p w:rsidR="00FF2F02" w:rsidRPr="009F75FA" w:rsidRDefault="00FF2F02" w:rsidP="0043473F">
            <w:pPr>
              <w:spacing w:after="0" w:line="240" w:lineRule="auto"/>
              <w:rPr>
                <w:rFonts w:asciiTheme="majorHAnsi" w:eastAsia="Times New Roman" w:hAnsiTheme="majorHAnsi"/>
                <w:color w:val="000000"/>
                <w:lang w:val="en-US"/>
              </w:rPr>
            </w:pPr>
            <w:r w:rsidRPr="009F75FA">
              <w:rPr>
                <w:rFonts w:asciiTheme="majorHAnsi" w:eastAsia="Times New Roman" w:hAnsiTheme="majorHAnsi"/>
                <w:color w:val="000000"/>
                <w:lang w:val="en-US"/>
              </w:rPr>
              <w:t>Activities in Country C</w:t>
            </w:r>
          </w:p>
        </w:tc>
        <w:tc>
          <w:tcPr>
            <w:tcW w:w="2117"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r w:rsidRPr="009F75FA">
              <w:rPr>
                <w:rFonts w:asciiTheme="majorHAnsi" w:eastAsia="Times New Roman" w:hAnsiTheme="majorHAnsi"/>
                <w:color w:val="000000"/>
                <w:lang w:val="en-US"/>
              </w:rPr>
              <w:t>5,000</w:t>
            </w:r>
          </w:p>
        </w:tc>
        <w:tc>
          <w:tcPr>
            <w:tcW w:w="2117"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r w:rsidRPr="009F75FA">
              <w:rPr>
                <w:rFonts w:asciiTheme="majorHAnsi" w:eastAsia="Times New Roman" w:hAnsiTheme="majorHAnsi"/>
                <w:color w:val="000000"/>
                <w:lang w:val="en-US"/>
              </w:rPr>
              <w:t>3,500</w:t>
            </w:r>
          </w:p>
        </w:tc>
        <w:tc>
          <w:tcPr>
            <w:tcW w:w="2246"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r>
    </w:tbl>
    <w:p w:rsidR="00FF2F02" w:rsidRPr="009F75FA" w:rsidRDefault="00FF2F02" w:rsidP="00FF2F02">
      <w:pPr>
        <w:pStyle w:val="NoSpacing"/>
        <w:rPr>
          <w:rFonts w:asciiTheme="majorHAnsi" w:hAnsiTheme="majorHAnsi"/>
          <w:lang w:val="en-US"/>
        </w:rPr>
      </w:pPr>
    </w:p>
    <w:p w:rsidR="00FF2F02" w:rsidRPr="009F75FA" w:rsidRDefault="00FF2F02" w:rsidP="00FF2F02">
      <w:pPr>
        <w:jc w:val="both"/>
        <w:rPr>
          <w:rFonts w:asciiTheme="majorHAnsi" w:hAnsiTheme="majorHAnsi"/>
          <w:lang w:val="en-US"/>
        </w:rPr>
      </w:pPr>
      <w:r w:rsidRPr="009F75FA">
        <w:rPr>
          <w:rFonts w:asciiTheme="majorHAnsi" w:hAnsiTheme="majorHAnsi"/>
          <w:lang w:val="en-US"/>
        </w:rPr>
        <w:t>Goodwill arising on the acquisition of Entity M has been allocated to three cash-generating units (Countries A, B and C).</w:t>
      </w:r>
    </w:p>
    <w:p w:rsidR="00FF2F02" w:rsidRPr="009F75FA" w:rsidRDefault="00FF2F02" w:rsidP="00FF2F02">
      <w:pPr>
        <w:jc w:val="both"/>
        <w:rPr>
          <w:rFonts w:asciiTheme="majorHAnsi" w:hAnsiTheme="majorHAnsi"/>
          <w:lang w:val="en-US"/>
        </w:rPr>
      </w:pPr>
      <w:r w:rsidRPr="009F75FA">
        <w:rPr>
          <w:rFonts w:asciiTheme="majorHAnsi" w:hAnsiTheme="majorHAnsi"/>
          <w:lang w:val="en-US"/>
        </w:rPr>
        <w:t>During 20X2, a new government is elected in Country A. It passed legislation that significantly restricts exports of the main product produced by Entity T and its subsidiaries (ie Group T). As a result, and for the foreseeable future, Group T’s production in Country A will be cut by 40 per cent. The significant export restriction and the resulting production decrease require Group T to estimate the recoverable amount of Country A’s cash-generating unit at the end of 20X2. Management estimates cash flow forecasts for Country A operations and determines the cash-generating unit’s recoverable amount to be CU 2,750.</w:t>
      </w:r>
    </w:p>
    <w:tbl>
      <w:tblPr>
        <w:tblW w:w="944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1728"/>
        <w:gridCol w:w="1728"/>
        <w:gridCol w:w="1728"/>
      </w:tblGrid>
      <w:tr w:rsidR="00FF2F02" w:rsidRPr="009F75FA" w:rsidTr="0043473F">
        <w:trPr>
          <w:trHeight w:val="300"/>
        </w:trPr>
        <w:tc>
          <w:tcPr>
            <w:tcW w:w="4261"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b/>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b/>
                <w:color w:val="000000"/>
                <w:lang w:val="en-US"/>
              </w:rPr>
            </w:pPr>
            <w:r w:rsidRPr="009F75FA">
              <w:rPr>
                <w:rFonts w:asciiTheme="majorHAnsi" w:eastAsia="Times New Roman" w:hAnsiTheme="majorHAnsi"/>
                <w:b/>
                <w:color w:val="000000"/>
                <w:lang w:val="en-US"/>
              </w:rPr>
              <w:t>Goodwill</w:t>
            </w: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b/>
                <w:color w:val="000000"/>
                <w:lang w:val="en-US"/>
              </w:rPr>
            </w:pPr>
            <w:r w:rsidRPr="009F75FA">
              <w:rPr>
                <w:rFonts w:asciiTheme="majorHAnsi" w:eastAsia="Times New Roman" w:hAnsiTheme="majorHAnsi"/>
                <w:b/>
                <w:color w:val="000000"/>
                <w:lang w:val="en-US"/>
              </w:rPr>
              <w:t>Identifiable assets</w:t>
            </w: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b/>
                <w:color w:val="000000"/>
                <w:lang w:val="en-US"/>
              </w:rPr>
            </w:pPr>
            <w:r w:rsidRPr="009F75FA">
              <w:rPr>
                <w:rFonts w:asciiTheme="majorHAnsi" w:eastAsia="Times New Roman" w:hAnsiTheme="majorHAnsi"/>
                <w:b/>
                <w:color w:val="000000"/>
                <w:lang w:val="en-US"/>
              </w:rPr>
              <w:t>Total</w:t>
            </w:r>
          </w:p>
        </w:tc>
      </w:tr>
      <w:tr w:rsidR="00FF2F02" w:rsidRPr="009F75FA" w:rsidTr="0043473F">
        <w:trPr>
          <w:trHeight w:val="300"/>
        </w:trPr>
        <w:tc>
          <w:tcPr>
            <w:tcW w:w="4261" w:type="dxa"/>
            <w:shd w:val="clear" w:color="auto" w:fill="auto"/>
            <w:noWrap/>
            <w:vAlign w:val="center"/>
            <w:hideMark/>
          </w:tcPr>
          <w:p w:rsidR="00FF2F02" w:rsidRPr="009F75FA" w:rsidRDefault="00FF2F02" w:rsidP="0043473F">
            <w:pPr>
              <w:spacing w:after="0" w:line="240" w:lineRule="auto"/>
              <w:rPr>
                <w:rFonts w:asciiTheme="majorHAnsi" w:eastAsia="Times New Roman" w:hAnsiTheme="majorHAnsi"/>
                <w:color w:val="000000"/>
                <w:lang w:val="en-US"/>
              </w:rPr>
            </w:pPr>
            <w:r w:rsidRPr="009F75FA">
              <w:rPr>
                <w:rFonts w:asciiTheme="majorHAnsi" w:eastAsia="Times New Roman" w:hAnsiTheme="majorHAnsi"/>
                <w:color w:val="000000"/>
                <w:lang w:val="en-US"/>
              </w:rPr>
              <w:t>Historical cost</w:t>
            </w: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r>
      <w:tr w:rsidR="00FF2F02" w:rsidRPr="009F75FA" w:rsidTr="0043473F">
        <w:trPr>
          <w:trHeight w:val="300"/>
        </w:trPr>
        <w:tc>
          <w:tcPr>
            <w:tcW w:w="4261" w:type="dxa"/>
            <w:shd w:val="clear" w:color="auto" w:fill="auto"/>
            <w:noWrap/>
            <w:vAlign w:val="center"/>
            <w:hideMark/>
          </w:tcPr>
          <w:p w:rsidR="00FF2F02" w:rsidRPr="009F75FA" w:rsidRDefault="00FF2F02" w:rsidP="0043473F">
            <w:pPr>
              <w:spacing w:after="0" w:line="240" w:lineRule="auto"/>
              <w:rPr>
                <w:rFonts w:asciiTheme="majorHAnsi" w:eastAsia="Times New Roman" w:hAnsiTheme="majorHAnsi"/>
                <w:color w:val="000000"/>
                <w:lang w:val="en-US"/>
              </w:rPr>
            </w:pPr>
            <w:r w:rsidRPr="009F75FA">
              <w:rPr>
                <w:rFonts w:asciiTheme="majorHAnsi" w:eastAsia="Times New Roman" w:hAnsiTheme="majorHAnsi"/>
                <w:color w:val="000000"/>
                <w:lang w:val="en-US"/>
              </w:rPr>
              <w:t>Accumulated amortization/depreciation (31 December 20X2)</w:t>
            </w: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r>
      <w:tr w:rsidR="00FF2F02" w:rsidRPr="009F75FA" w:rsidTr="0043473F">
        <w:trPr>
          <w:trHeight w:val="300"/>
        </w:trPr>
        <w:tc>
          <w:tcPr>
            <w:tcW w:w="4261" w:type="dxa"/>
            <w:shd w:val="clear" w:color="auto" w:fill="auto"/>
            <w:noWrap/>
            <w:vAlign w:val="center"/>
            <w:hideMark/>
          </w:tcPr>
          <w:p w:rsidR="00FF2F02" w:rsidRPr="009F75FA" w:rsidRDefault="00FF2F02" w:rsidP="0043473F">
            <w:pPr>
              <w:spacing w:after="0" w:line="240" w:lineRule="auto"/>
              <w:rPr>
                <w:rFonts w:asciiTheme="majorHAnsi" w:eastAsia="Times New Roman" w:hAnsiTheme="majorHAnsi"/>
                <w:color w:val="000000"/>
                <w:lang w:val="en-US"/>
              </w:rPr>
            </w:pPr>
            <w:r w:rsidRPr="009F75FA">
              <w:rPr>
                <w:rFonts w:asciiTheme="majorHAnsi" w:eastAsia="Times New Roman" w:hAnsiTheme="majorHAnsi"/>
                <w:color w:val="000000"/>
                <w:lang w:val="en-US"/>
              </w:rPr>
              <w:t>Carrying amount 31 December 20X2</w:t>
            </w: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r>
      <w:tr w:rsidR="00FF2F02" w:rsidRPr="009F75FA" w:rsidTr="0043473F">
        <w:trPr>
          <w:trHeight w:val="300"/>
        </w:trPr>
        <w:tc>
          <w:tcPr>
            <w:tcW w:w="4261" w:type="dxa"/>
            <w:shd w:val="clear" w:color="auto" w:fill="auto"/>
            <w:noWrap/>
            <w:vAlign w:val="center"/>
            <w:hideMark/>
          </w:tcPr>
          <w:p w:rsidR="00FF2F02" w:rsidRPr="009F75FA" w:rsidRDefault="00FF2F02" w:rsidP="0043473F">
            <w:pPr>
              <w:spacing w:after="0" w:line="240" w:lineRule="auto"/>
              <w:rPr>
                <w:rFonts w:asciiTheme="majorHAnsi" w:eastAsia="Times New Roman" w:hAnsiTheme="majorHAnsi"/>
                <w:color w:val="000000"/>
                <w:lang w:val="en-US"/>
              </w:rPr>
            </w:pPr>
            <w:r w:rsidRPr="009F75FA">
              <w:rPr>
                <w:rFonts w:asciiTheme="majorHAnsi" w:eastAsia="Times New Roman" w:hAnsiTheme="majorHAnsi"/>
                <w:color w:val="000000"/>
                <w:lang w:val="en-US"/>
              </w:rPr>
              <w:t>Impairment loss 31 December 20X2</w:t>
            </w: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r>
      <w:tr w:rsidR="00FF2F02" w:rsidRPr="009F75FA" w:rsidTr="0043473F">
        <w:trPr>
          <w:trHeight w:val="300"/>
        </w:trPr>
        <w:tc>
          <w:tcPr>
            <w:tcW w:w="4261" w:type="dxa"/>
            <w:shd w:val="clear" w:color="auto" w:fill="auto"/>
            <w:noWrap/>
            <w:vAlign w:val="center"/>
            <w:hideMark/>
          </w:tcPr>
          <w:p w:rsidR="00FF2F02" w:rsidRPr="009F75FA" w:rsidRDefault="00FF2F02" w:rsidP="0043473F">
            <w:pPr>
              <w:spacing w:after="0" w:line="240" w:lineRule="auto"/>
              <w:rPr>
                <w:rFonts w:asciiTheme="majorHAnsi" w:eastAsia="Times New Roman" w:hAnsiTheme="majorHAnsi"/>
                <w:color w:val="000000"/>
                <w:lang w:val="en-US"/>
              </w:rPr>
            </w:pPr>
            <w:r w:rsidRPr="009F75FA">
              <w:rPr>
                <w:rFonts w:asciiTheme="majorHAnsi" w:eastAsia="Times New Roman" w:hAnsiTheme="majorHAnsi"/>
                <w:color w:val="000000"/>
                <w:lang w:val="en-US"/>
              </w:rPr>
              <w:t>Carrying amount after impairment loss           31 December 20X2</w:t>
            </w:r>
          </w:p>
        </w:tc>
        <w:tc>
          <w:tcPr>
            <w:tcW w:w="1728" w:type="dxa"/>
            <w:shd w:val="clear" w:color="auto" w:fill="auto"/>
            <w:vAlign w:val="center"/>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c>
          <w:tcPr>
            <w:tcW w:w="1728" w:type="dxa"/>
            <w:shd w:val="clear" w:color="auto" w:fill="auto"/>
            <w:noWrap/>
            <w:vAlign w:val="center"/>
            <w:hideMark/>
          </w:tcPr>
          <w:p w:rsidR="00FF2F02" w:rsidRPr="009F75FA" w:rsidRDefault="00FF2F02" w:rsidP="0043473F">
            <w:pPr>
              <w:spacing w:after="0" w:line="240" w:lineRule="auto"/>
              <w:jc w:val="center"/>
              <w:rPr>
                <w:rFonts w:asciiTheme="majorHAnsi" w:eastAsia="Times New Roman" w:hAnsiTheme="majorHAnsi"/>
                <w:color w:val="000000"/>
                <w:lang w:val="en-US"/>
              </w:rPr>
            </w:pPr>
          </w:p>
        </w:tc>
      </w:tr>
    </w:tbl>
    <w:p w:rsidR="00FF2F02" w:rsidRPr="009F75FA" w:rsidRDefault="00FF2F02" w:rsidP="00FF2F02">
      <w:pPr>
        <w:pStyle w:val="NoSpacing"/>
        <w:rPr>
          <w:rFonts w:asciiTheme="majorHAnsi" w:hAnsiTheme="majorHAnsi"/>
          <w:lang w:val="en-US"/>
        </w:rPr>
      </w:pPr>
    </w:p>
    <w:p w:rsidR="00FF2F02" w:rsidRPr="009F75FA" w:rsidRDefault="00FF2F02" w:rsidP="00FF2F02">
      <w:pPr>
        <w:jc w:val="both"/>
        <w:rPr>
          <w:rFonts w:asciiTheme="majorHAnsi" w:eastAsia="Times New Roman" w:hAnsiTheme="majorHAnsi"/>
          <w:color w:val="000000"/>
          <w:lang w:val="en-US"/>
        </w:rPr>
      </w:pPr>
      <w:r w:rsidRPr="009F75FA">
        <w:rPr>
          <w:rFonts w:asciiTheme="majorHAnsi" w:hAnsiTheme="majorHAnsi"/>
          <w:lang w:val="en-US"/>
        </w:rPr>
        <w:t xml:space="preserve">At the end of 20X2, accumulated amortization for goodwill and identifiable assets for cash-generating unit from country A was CU 350 and CU 400 respectively. Estimate impairment loss and new carrying amount of intangible assets for cash-generating unit from country A at </w:t>
      </w:r>
      <w:r w:rsidRPr="009F75FA">
        <w:rPr>
          <w:rFonts w:asciiTheme="majorHAnsi" w:eastAsia="Times New Roman" w:hAnsiTheme="majorHAnsi"/>
          <w:color w:val="000000"/>
          <w:lang w:val="en-US"/>
        </w:rPr>
        <w:t>31 December 20X2.</w:t>
      </w:r>
    </w:p>
    <w:p w:rsidR="00FF2F02" w:rsidRPr="009F75FA" w:rsidRDefault="00FF2F02" w:rsidP="00866390">
      <w:pPr>
        <w:rPr>
          <w:rFonts w:asciiTheme="majorHAnsi" w:hAnsiTheme="majorHAnsi"/>
          <w:u w:val="single"/>
          <w:lang w:val="en-US"/>
        </w:rPr>
      </w:pPr>
    </w:p>
    <w:p w:rsidR="007B515F" w:rsidRPr="009F75FA" w:rsidRDefault="007B515F" w:rsidP="00866390">
      <w:pPr>
        <w:rPr>
          <w:rFonts w:asciiTheme="majorHAnsi" w:hAnsiTheme="majorHAnsi"/>
          <w:u w:val="single"/>
          <w:lang w:val="en-US"/>
        </w:rPr>
      </w:pPr>
      <w:r w:rsidRPr="009F75FA">
        <w:rPr>
          <w:rFonts w:asciiTheme="majorHAnsi" w:hAnsiTheme="majorHAnsi"/>
          <w:u w:val="single"/>
          <w:lang w:val="en-US"/>
        </w:rPr>
        <w:t xml:space="preserve">Example </w:t>
      </w:r>
      <w:r w:rsidR="00FF2F02" w:rsidRPr="009F75FA">
        <w:rPr>
          <w:rFonts w:asciiTheme="majorHAnsi" w:hAnsiTheme="majorHAnsi"/>
          <w:u w:val="single"/>
          <w:lang w:val="en-US"/>
        </w:rPr>
        <w:t>2</w:t>
      </w:r>
      <w:r w:rsidRPr="009F75FA">
        <w:rPr>
          <w:rFonts w:asciiTheme="majorHAnsi" w:hAnsiTheme="majorHAnsi"/>
          <w:u w:val="single"/>
          <w:lang w:val="en-US"/>
        </w:rPr>
        <w:t xml:space="preserve">: </w:t>
      </w:r>
      <w:r w:rsidR="00FE26B9" w:rsidRPr="009F75FA">
        <w:rPr>
          <w:rFonts w:asciiTheme="majorHAnsi" w:hAnsiTheme="majorHAnsi"/>
          <w:u w:val="single"/>
          <w:lang w:val="en-US"/>
        </w:rPr>
        <w:t>Estimate the value of a provision</w:t>
      </w:r>
    </w:p>
    <w:p w:rsidR="00A1054C" w:rsidRPr="009F75FA" w:rsidRDefault="00A1054C" w:rsidP="00A1054C">
      <w:pPr>
        <w:jc w:val="both"/>
        <w:rPr>
          <w:rFonts w:asciiTheme="majorHAnsi" w:hAnsiTheme="majorHAnsi"/>
          <w:lang w:val="en-US"/>
        </w:rPr>
      </w:pPr>
      <w:r w:rsidRPr="009F75FA">
        <w:rPr>
          <w:rFonts w:asciiTheme="majorHAnsi" w:hAnsiTheme="majorHAnsi"/>
          <w:lang w:val="en-US"/>
        </w:rPr>
        <w:t>A customer has initiated a lawsuit against an entity associated with personal injury when using one of the entity’s products. The entity’s lawyers estimate from experience that at the reporting date (31 December 20X1) the entity has:</w:t>
      </w:r>
    </w:p>
    <w:p w:rsidR="00A1054C" w:rsidRPr="009F75FA" w:rsidRDefault="008E4C98" w:rsidP="00A1054C">
      <w:pPr>
        <w:pStyle w:val="ListParagraph"/>
        <w:numPr>
          <w:ilvl w:val="0"/>
          <w:numId w:val="7"/>
        </w:numPr>
        <w:jc w:val="both"/>
        <w:rPr>
          <w:rFonts w:asciiTheme="majorHAnsi" w:hAnsiTheme="majorHAnsi"/>
          <w:lang w:val="en-US"/>
        </w:rPr>
      </w:pPr>
      <w:r w:rsidRPr="009F75FA">
        <w:rPr>
          <w:rFonts w:asciiTheme="majorHAnsi" w:hAnsiTheme="majorHAnsi"/>
          <w:lang w:val="en-US"/>
        </w:rPr>
        <w:t>a 4</w:t>
      </w:r>
      <w:r w:rsidR="00A1054C" w:rsidRPr="009F75FA">
        <w:rPr>
          <w:rFonts w:asciiTheme="majorHAnsi" w:hAnsiTheme="majorHAnsi"/>
          <w:lang w:val="en-US"/>
        </w:rPr>
        <w:t>0 per cent chance of being ordered to pay the customer com</w:t>
      </w:r>
      <w:r w:rsidRPr="009F75FA">
        <w:rPr>
          <w:rFonts w:asciiTheme="majorHAnsi" w:hAnsiTheme="majorHAnsi"/>
          <w:lang w:val="en-US"/>
        </w:rPr>
        <w:t>pensation of CU1,500,000 and a 6</w:t>
      </w:r>
      <w:r w:rsidR="00A1054C" w:rsidRPr="009F75FA">
        <w:rPr>
          <w:rFonts w:asciiTheme="majorHAnsi" w:hAnsiTheme="majorHAnsi"/>
          <w:lang w:val="en-US"/>
        </w:rPr>
        <w:t>0 per cent chance of being ordered to pay</w:t>
      </w:r>
      <w:r w:rsidRPr="009F75FA">
        <w:rPr>
          <w:rFonts w:asciiTheme="majorHAnsi" w:hAnsiTheme="majorHAnsi"/>
          <w:lang w:val="en-US"/>
        </w:rPr>
        <w:t xml:space="preserve"> compensation of CU75</w:t>
      </w:r>
      <w:r w:rsidR="00A1054C" w:rsidRPr="009F75FA">
        <w:rPr>
          <w:rFonts w:asciiTheme="majorHAnsi" w:hAnsiTheme="majorHAnsi"/>
          <w:lang w:val="en-US"/>
        </w:rPr>
        <w:t xml:space="preserve">0,000. The ruling is </w:t>
      </w:r>
      <w:r w:rsidR="00A1054C" w:rsidRPr="009F75FA">
        <w:rPr>
          <w:rFonts w:asciiTheme="majorHAnsi" w:hAnsiTheme="majorHAnsi"/>
          <w:lang w:val="en-US"/>
        </w:rPr>
        <w:lastRenderedPageBreak/>
        <w:t>expected to take place in two years’ time. The entity determines that a discount rate of 4 per cent is appropriate to adjust for the risks specific to the liability.</w:t>
      </w:r>
    </w:p>
    <w:p w:rsidR="00A1054C" w:rsidRPr="009F75FA" w:rsidRDefault="008E4C98" w:rsidP="00A1054C">
      <w:pPr>
        <w:pStyle w:val="ListParagraph"/>
        <w:numPr>
          <w:ilvl w:val="0"/>
          <w:numId w:val="7"/>
        </w:numPr>
        <w:jc w:val="both"/>
        <w:rPr>
          <w:rFonts w:asciiTheme="majorHAnsi" w:hAnsiTheme="majorHAnsi"/>
          <w:lang w:val="en-US"/>
        </w:rPr>
      </w:pPr>
      <w:r w:rsidRPr="009F75FA">
        <w:rPr>
          <w:rFonts w:asciiTheme="majorHAnsi" w:hAnsiTheme="majorHAnsi"/>
          <w:lang w:val="en-US"/>
        </w:rPr>
        <w:t>a 15</w:t>
      </w:r>
      <w:r w:rsidR="00A1054C" w:rsidRPr="009F75FA">
        <w:rPr>
          <w:rFonts w:asciiTheme="majorHAnsi" w:hAnsiTheme="majorHAnsi"/>
          <w:lang w:val="en-US"/>
        </w:rPr>
        <w:t xml:space="preserve"> per cent chance of being ordered to pay the</w:t>
      </w:r>
      <w:r w:rsidRPr="009F75FA">
        <w:rPr>
          <w:rFonts w:asciiTheme="majorHAnsi" w:hAnsiTheme="majorHAnsi"/>
          <w:lang w:val="en-US"/>
        </w:rPr>
        <w:t xml:space="preserve"> customer compensation of CU800,000, a 45</w:t>
      </w:r>
      <w:r w:rsidR="00A1054C" w:rsidRPr="009F75FA">
        <w:rPr>
          <w:rFonts w:asciiTheme="majorHAnsi" w:hAnsiTheme="majorHAnsi"/>
          <w:lang w:val="en-US"/>
        </w:rPr>
        <w:t xml:space="preserve"> per cent chance of being or</w:t>
      </w:r>
      <w:r w:rsidRPr="009F75FA">
        <w:rPr>
          <w:rFonts w:asciiTheme="majorHAnsi" w:hAnsiTheme="majorHAnsi"/>
          <w:lang w:val="en-US"/>
        </w:rPr>
        <w:t>dered to pay compensation of CU1,000,000 and a 40</w:t>
      </w:r>
      <w:r w:rsidR="00A1054C" w:rsidRPr="009F75FA">
        <w:rPr>
          <w:rFonts w:asciiTheme="majorHAnsi" w:hAnsiTheme="majorHAnsi"/>
          <w:lang w:val="en-US"/>
        </w:rPr>
        <w:t xml:space="preserve"> per cent chance of being ordered to pay compensation of CU</w:t>
      </w:r>
      <w:r w:rsidRPr="009F75FA">
        <w:rPr>
          <w:rFonts w:asciiTheme="majorHAnsi" w:hAnsiTheme="majorHAnsi"/>
          <w:lang w:val="en-US"/>
        </w:rPr>
        <w:t>1,20</w:t>
      </w:r>
      <w:r w:rsidR="00A1054C" w:rsidRPr="009F75FA">
        <w:rPr>
          <w:rFonts w:asciiTheme="majorHAnsi" w:hAnsiTheme="majorHAnsi"/>
          <w:lang w:val="en-US"/>
        </w:rPr>
        <w:t>0,000. For the purpose of this example, the risks specific to the liability and the time value of money have been ignored.</w:t>
      </w:r>
    </w:p>
    <w:p w:rsidR="00A1054C" w:rsidRPr="009F75FA" w:rsidRDefault="008E4C98" w:rsidP="004B723C">
      <w:pPr>
        <w:pStyle w:val="ListParagraph"/>
        <w:numPr>
          <w:ilvl w:val="0"/>
          <w:numId w:val="7"/>
        </w:numPr>
        <w:jc w:val="both"/>
        <w:rPr>
          <w:rFonts w:asciiTheme="majorHAnsi" w:hAnsiTheme="majorHAnsi"/>
          <w:lang w:val="en-US"/>
        </w:rPr>
      </w:pPr>
      <w:r w:rsidRPr="009F75FA">
        <w:rPr>
          <w:rFonts w:asciiTheme="majorHAnsi" w:hAnsiTheme="majorHAnsi"/>
          <w:lang w:val="en-US"/>
        </w:rPr>
        <w:t xml:space="preserve">a </w:t>
      </w:r>
      <w:r w:rsidR="00FF2F02" w:rsidRPr="009F75FA">
        <w:rPr>
          <w:rFonts w:asciiTheme="majorHAnsi" w:hAnsiTheme="majorHAnsi"/>
          <w:lang w:val="en-US"/>
        </w:rPr>
        <w:t>60</w:t>
      </w:r>
      <w:r w:rsidR="00A1054C" w:rsidRPr="009F75FA">
        <w:rPr>
          <w:rFonts w:asciiTheme="majorHAnsi" w:hAnsiTheme="majorHAnsi"/>
          <w:lang w:val="en-US"/>
        </w:rPr>
        <w:t xml:space="preserve"> per cent chance of winning the lawsuit and thereby avoiding the payment of compensation. Furthermore, the entity’s lawyers estimate that the entity has a 1</w:t>
      </w:r>
      <w:r w:rsidRPr="009F75FA">
        <w:rPr>
          <w:rFonts w:asciiTheme="majorHAnsi" w:hAnsiTheme="majorHAnsi"/>
          <w:lang w:val="en-US"/>
        </w:rPr>
        <w:t>5</w:t>
      </w:r>
      <w:r w:rsidR="00A1054C" w:rsidRPr="009F75FA">
        <w:rPr>
          <w:rFonts w:asciiTheme="majorHAnsi" w:hAnsiTheme="majorHAnsi"/>
          <w:lang w:val="en-US"/>
        </w:rPr>
        <w:t xml:space="preserve"> per cent chance of being ordered to pay the custom</w:t>
      </w:r>
      <w:r w:rsidR="00FF2F02" w:rsidRPr="009F75FA">
        <w:rPr>
          <w:rFonts w:asciiTheme="majorHAnsi" w:hAnsiTheme="majorHAnsi"/>
          <w:lang w:val="en-US"/>
        </w:rPr>
        <w:t>er compensation of CU50</w:t>
      </w:r>
      <w:r w:rsidRPr="009F75FA">
        <w:rPr>
          <w:rFonts w:asciiTheme="majorHAnsi" w:hAnsiTheme="majorHAnsi"/>
          <w:lang w:val="en-US"/>
        </w:rPr>
        <w:t>0,000</w:t>
      </w:r>
      <w:r w:rsidR="00FF2F02" w:rsidRPr="009F75FA">
        <w:rPr>
          <w:rFonts w:asciiTheme="majorHAnsi" w:hAnsiTheme="majorHAnsi"/>
          <w:lang w:val="en-US"/>
        </w:rPr>
        <w:t xml:space="preserve"> and 15 per cent chance of being ordered to pay the customer compensation of CU1,000,000. </w:t>
      </w:r>
      <w:r w:rsidR="00A1054C" w:rsidRPr="009F75FA">
        <w:rPr>
          <w:rFonts w:asciiTheme="majorHAnsi" w:hAnsiTheme="majorHAnsi"/>
          <w:lang w:val="en-US"/>
        </w:rPr>
        <w:t xml:space="preserve"> For the purpose of this example, the risks specific to the liability and the time value of money have been ignored.</w:t>
      </w:r>
    </w:p>
    <w:p w:rsidR="00A1054C" w:rsidRPr="009F75FA" w:rsidRDefault="00A1054C" w:rsidP="00A1054C">
      <w:pPr>
        <w:jc w:val="both"/>
        <w:rPr>
          <w:rFonts w:asciiTheme="majorHAnsi" w:hAnsiTheme="majorHAnsi"/>
          <w:lang w:val="en-US"/>
        </w:rPr>
      </w:pPr>
      <w:r w:rsidRPr="009F75FA">
        <w:rPr>
          <w:rFonts w:asciiTheme="majorHAnsi" w:hAnsiTheme="majorHAnsi"/>
          <w:lang w:val="en-US"/>
        </w:rPr>
        <w:t>What is the recognized amount of provision, if any, in every of these cases?</w:t>
      </w:r>
    </w:p>
    <w:p w:rsidR="00FE26B9" w:rsidRPr="009F75FA" w:rsidRDefault="00FE26B9" w:rsidP="00866390">
      <w:pPr>
        <w:pStyle w:val="NoSpacing"/>
        <w:rPr>
          <w:rFonts w:asciiTheme="majorHAnsi" w:hAnsiTheme="majorHAnsi"/>
          <w:lang w:val="en-US"/>
        </w:rPr>
      </w:pPr>
    </w:p>
    <w:p w:rsidR="003C5C5E" w:rsidRPr="009F75FA" w:rsidRDefault="0038713F" w:rsidP="00866390">
      <w:pPr>
        <w:pStyle w:val="NoSpacing"/>
        <w:rPr>
          <w:rFonts w:asciiTheme="majorHAnsi" w:hAnsiTheme="majorHAnsi"/>
          <w:u w:val="single"/>
          <w:lang w:val="en-US"/>
        </w:rPr>
      </w:pPr>
      <w:r w:rsidRPr="009F75FA">
        <w:rPr>
          <w:rFonts w:asciiTheme="majorHAnsi" w:hAnsiTheme="majorHAnsi"/>
          <w:u w:val="single"/>
          <w:lang w:val="en-US"/>
        </w:rPr>
        <w:t xml:space="preserve">Example </w:t>
      </w:r>
      <w:r w:rsidR="00FF2F02" w:rsidRPr="009F75FA">
        <w:rPr>
          <w:rFonts w:asciiTheme="majorHAnsi" w:hAnsiTheme="majorHAnsi"/>
          <w:u w:val="single"/>
          <w:lang w:val="en-US"/>
        </w:rPr>
        <w:t>3</w:t>
      </w:r>
      <w:r w:rsidR="003C5C5E" w:rsidRPr="009F75FA">
        <w:rPr>
          <w:rFonts w:asciiTheme="majorHAnsi" w:hAnsiTheme="majorHAnsi"/>
          <w:u w:val="single"/>
          <w:lang w:val="en-US"/>
        </w:rPr>
        <w:t xml:space="preserve">: </w:t>
      </w:r>
      <w:r w:rsidR="00FE26B9" w:rsidRPr="009F75FA">
        <w:rPr>
          <w:rFonts w:asciiTheme="majorHAnsi" w:hAnsiTheme="majorHAnsi"/>
          <w:u w:val="single"/>
          <w:lang w:val="en-US"/>
        </w:rPr>
        <w:t>Estimate the value of financial instruments</w:t>
      </w:r>
    </w:p>
    <w:p w:rsidR="007E644B" w:rsidRPr="009F75FA" w:rsidRDefault="007E644B" w:rsidP="00866390">
      <w:pPr>
        <w:pStyle w:val="NoSpacing"/>
        <w:rPr>
          <w:rFonts w:asciiTheme="majorHAnsi" w:hAnsiTheme="majorHAnsi"/>
          <w:u w:val="single"/>
          <w:lang w:val="en-US"/>
        </w:rPr>
      </w:pPr>
    </w:p>
    <w:p w:rsidR="007E644B" w:rsidRPr="009F75FA" w:rsidRDefault="008E4C98" w:rsidP="007E644B">
      <w:pPr>
        <w:jc w:val="both"/>
        <w:rPr>
          <w:rFonts w:asciiTheme="majorHAnsi" w:hAnsiTheme="majorHAnsi"/>
          <w:lang w:val="en-US"/>
        </w:rPr>
      </w:pPr>
      <w:r w:rsidRPr="009F75FA">
        <w:rPr>
          <w:rFonts w:asciiTheme="majorHAnsi" w:hAnsiTheme="majorHAnsi"/>
          <w:lang w:val="en-US"/>
        </w:rPr>
        <w:t>An entity bought 10</w:t>
      </w:r>
      <w:r w:rsidR="007E644B" w:rsidRPr="009F75FA">
        <w:rPr>
          <w:rFonts w:asciiTheme="majorHAnsi" w:hAnsiTheme="majorHAnsi"/>
          <w:lang w:val="en-US"/>
        </w:rPr>
        <w:t>0 non-puttable ordinary shares</w:t>
      </w:r>
      <w:r w:rsidRPr="009F75FA">
        <w:rPr>
          <w:rFonts w:asciiTheme="majorHAnsi" w:hAnsiTheme="majorHAnsi"/>
          <w:lang w:val="en-US"/>
        </w:rPr>
        <w:t xml:space="preserve"> during the year for cash of CU100</w:t>
      </w:r>
      <w:r w:rsidR="007E644B" w:rsidRPr="009F75FA">
        <w:rPr>
          <w:rFonts w:asciiTheme="majorHAnsi" w:hAnsiTheme="majorHAnsi"/>
          <w:lang w:val="en-US"/>
        </w:rPr>
        <w:t>0 and incurre</w:t>
      </w:r>
      <w:r w:rsidRPr="009F75FA">
        <w:rPr>
          <w:rFonts w:asciiTheme="majorHAnsi" w:hAnsiTheme="majorHAnsi"/>
          <w:lang w:val="en-US"/>
        </w:rPr>
        <w:t>d broker transaction fees of CU25</w:t>
      </w:r>
      <w:r w:rsidR="007E644B" w:rsidRPr="009F75FA">
        <w:rPr>
          <w:rFonts w:asciiTheme="majorHAnsi" w:hAnsiTheme="majorHAnsi"/>
          <w:lang w:val="en-US"/>
        </w:rPr>
        <w:t xml:space="preserve"> in:</w:t>
      </w:r>
    </w:p>
    <w:p w:rsidR="007E644B" w:rsidRPr="009F75FA" w:rsidRDefault="007E644B" w:rsidP="007E644B">
      <w:pPr>
        <w:pStyle w:val="ListParagraph"/>
        <w:numPr>
          <w:ilvl w:val="0"/>
          <w:numId w:val="8"/>
        </w:numPr>
        <w:jc w:val="both"/>
        <w:rPr>
          <w:rFonts w:asciiTheme="majorHAnsi" w:hAnsiTheme="majorHAnsi"/>
          <w:lang w:val="en-US"/>
        </w:rPr>
      </w:pPr>
      <w:r w:rsidRPr="009F75FA">
        <w:rPr>
          <w:rFonts w:asciiTheme="majorHAnsi" w:hAnsiTheme="majorHAnsi"/>
          <w:lang w:val="en-US"/>
        </w:rPr>
        <w:t>a listed company. At the year-end the shares are quoted at CU1</w:t>
      </w:r>
      <w:r w:rsidR="008E4C98" w:rsidRPr="009F75FA">
        <w:rPr>
          <w:rFonts w:asciiTheme="majorHAnsi" w:hAnsiTheme="majorHAnsi"/>
          <w:lang w:val="en-US"/>
        </w:rPr>
        <w:t>2</w:t>
      </w:r>
      <w:r w:rsidRPr="009F75FA">
        <w:rPr>
          <w:rFonts w:asciiTheme="majorHAnsi" w:hAnsiTheme="majorHAnsi"/>
          <w:lang w:val="en-US"/>
        </w:rPr>
        <w:t xml:space="preserve"> per share.</w:t>
      </w:r>
    </w:p>
    <w:p w:rsidR="007E644B" w:rsidRPr="009F75FA" w:rsidRDefault="007E644B" w:rsidP="007E644B">
      <w:pPr>
        <w:pStyle w:val="ListParagraph"/>
        <w:numPr>
          <w:ilvl w:val="0"/>
          <w:numId w:val="8"/>
        </w:numPr>
        <w:jc w:val="both"/>
        <w:rPr>
          <w:rFonts w:asciiTheme="majorHAnsi" w:hAnsiTheme="majorHAnsi"/>
          <w:lang w:val="en-US"/>
        </w:rPr>
      </w:pPr>
      <w:r w:rsidRPr="009F75FA">
        <w:rPr>
          <w:rFonts w:asciiTheme="majorHAnsi" w:hAnsiTheme="majorHAnsi"/>
          <w:lang w:val="en-US"/>
        </w:rPr>
        <w:t>an unlisted company. The shares are not publicly traded and the fair value of the shares cannot otherwise be measured reliably.</w:t>
      </w:r>
    </w:p>
    <w:p w:rsidR="007E644B" w:rsidRPr="009F75FA" w:rsidRDefault="007E644B" w:rsidP="007E644B">
      <w:pPr>
        <w:jc w:val="both"/>
        <w:rPr>
          <w:rFonts w:asciiTheme="majorHAnsi" w:hAnsiTheme="majorHAnsi"/>
          <w:lang w:val="en-US"/>
        </w:rPr>
      </w:pPr>
      <w:r w:rsidRPr="009F75FA">
        <w:rPr>
          <w:rFonts w:asciiTheme="majorHAnsi" w:hAnsiTheme="majorHAnsi"/>
          <w:lang w:val="en-US"/>
        </w:rPr>
        <w:t>What is the recognized and subsequently measured value of ordinary shares acquired in case of listed company and in case of unlisted company?</w:t>
      </w:r>
    </w:p>
    <w:p w:rsidR="007E644B" w:rsidRPr="009F75FA" w:rsidRDefault="007E644B" w:rsidP="00866390">
      <w:pPr>
        <w:pStyle w:val="NoSpacing"/>
        <w:rPr>
          <w:rFonts w:asciiTheme="majorHAnsi" w:hAnsiTheme="majorHAnsi"/>
          <w:u w:val="single"/>
          <w:lang w:val="en-US"/>
        </w:rPr>
      </w:pPr>
    </w:p>
    <w:p w:rsidR="007E644B" w:rsidRPr="009F75FA" w:rsidRDefault="00465919" w:rsidP="007E644B">
      <w:pPr>
        <w:jc w:val="both"/>
        <w:rPr>
          <w:rFonts w:asciiTheme="majorHAnsi" w:hAnsiTheme="majorHAnsi"/>
          <w:u w:val="single"/>
          <w:lang w:val="en-US"/>
        </w:rPr>
      </w:pPr>
      <w:r w:rsidRPr="009F75FA">
        <w:rPr>
          <w:rFonts w:asciiTheme="majorHAnsi" w:hAnsiTheme="majorHAnsi"/>
          <w:u w:val="single"/>
          <w:lang w:val="en-US"/>
        </w:rPr>
        <w:t xml:space="preserve">Example </w:t>
      </w:r>
      <w:r w:rsidR="00FF2F02" w:rsidRPr="009F75FA">
        <w:rPr>
          <w:rFonts w:asciiTheme="majorHAnsi" w:hAnsiTheme="majorHAnsi"/>
          <w:u w:val="single"/>
          <w:lang w:val="en-US"/>
        </w:rPr>
        <w:t>4</w:t>
      </w:r>
      <w:r w:rsidR="007E644B" w:rsidRPr="009F75FA">
        <w:rPr>
          <w:rFonts w:asciiTheme="majorHAnsi" w:hAnsiTheme="majorHAnsi"/>
          <w:u w:val="single"/>
          <w:lang w:val="en-US"/>
        </w:rPr>
        <w:t xml:space="preserve">: </w:t>
      </w:r>
      <w:r w:rsidRPr="009F75FA">
        <w:rPr>
          <w:rFonts w:asciiTheme="majorHAnsi" w:hAnsiTheme="majorHAnsi"/>
          <w:u w:val="single"/>
          <w:lang w:val="en-US"/>
        </w:rPr>
        <w:t>Estimate the value of impairment loss</w:t>
      </w:r>
    </w:p>
    <w:p w:rsidR="007E644B" w:rsidRPr="009F75FA" w:rsidRDefault="007E644B" w:rsidP="007E644B">
      <w:pPr>
        <w:jc w:val="both"/>
        <w:rPr>
          <w:rFonts w:asciiTheme="majorHAnsi" w:hAnsiTheme="majorHAnsi"/>
          <w:lang w:val="en-US"/>
        </w:rPr>
      </w:pPr>
      <w:r w:rsidRPr="009F75FA">
        <w:rPr>
          <w:rFonts w:asciiTheme="majorHAnsi" w:hAnsiTheme="majorHAnsi"/>
          <w:lang w:val="en-US"/>
        </w:rPr>
        <w:t>At the end of a financial reporting period an entity h</w:t>
      </w:r>
      <w:r w:rsidR="008E4C98" w:rsidRPr="009F75FA">
        <w:rPr>
          <w:rFonts w:asciiTheme="majorHAnsi" w:hAnsiTheme="majorHAnsi"/>
          <w:lang w:val="en-US"/>
        </w:rPr>
        <w:t>as an outstanding balance of CU2</w:t>
      </w:r>
      <w:r w:rsidRPr="009F75FA">
        <w:rPr>
          <w:rFonts w:asciiTheme="majorHAnsi" w:hAnsiTheme="majorHAnsi"/>
          <w:lang w:val="en-US"/>
        </w:rPr>
        <w:t xml:space="preserve">,000 due from a customer. This balance was not discounted as the transaction took place on normal business terms (short-term credit) with no hidden financing transaction. </w:t>
      </w:r>
    </w:p>
    <w:p w:rsidR="007E644B" w:rsidRPr="009F75FA" w:rsidRDefault="007E644B" w:rsidP="007E644B">
      <w:pPr>
        <w:pStyle w:val="ListParagraph"/>
        <w:numPr>
          <w:ilvl w:val="0"/>
          <w:numId w:val="9"/>
        </w:numPr>
        <w:jc w:val="both"/>
        <w:rPr>
          <w:rFonts w:asciiTheme="majorHAnsi" w:hAnsiTheme="majorHAnsi"/>
          <w:lang w:val="en-US"/>
        </w:rPr>
      </w:pPr>
      <w:r w:rsidRPr="009F75FA">
        <w:rPr>
          <w:rFonts w:asciiTheme="majorHAnsi" w:hAnsiTheme="majorHAnsi"/>
          <w:lang w:val="en-US"/>
        </w:rPr>
        <w:t>Because of financial difficulties being experienced by the customer, the entity does not expect the customer to repay any of the CU</w:t>
      </w:r>
      <w:r w:rsidR="008E4C98" w:rsidRPr="009F75FA">
        <w:rPr>
          <w:rFonts w:asciiTheme="majorHAnsi" w:hAnsiTheme="majorHAnsi"/>
          <w:lang w:val="en-US"/>
        </w:rPr>
        <w:t>2</w:t>
      </w:r>
      <w:r w:rsidRPr="009F75FA">
        <w:rPr>
          <w:rFonts w:asciiTheme="majorHAnsi" w:hAnsiTheme="majorHAnsi"/>
          <w:lang w:val="en-US"/>
        </w:rPr>
        <w:t>,000.</w:t>
      </w:r>
    </w:p>
    <w:p w:rsidR="007E644B" w:rsidRPr="009F75FA" w:rsidRDefault="007E644B" w:rsidP="007E644B">
      <w:pPr>
        <w:pStyle w:val="ListParagraph"/>
        <w:numPr>
          <w:ilvl w:val="0"/>
          <w:numId w:val="9"/>
        </w:numPr>
        <w:jc w:val="both"/>
        <w:rPr>
          <w:rFonts w:asciiTheme="majorHAnsi" w:hAnsiTheme="majorHAnsi"/>
          <w:lang w:val="en-US"/>
        </w:rPr>
      </w:pPr>
      <w:r w:rsidRPr="009F75FA">
        <w:rPr>
          <w:rFonts w:asciiTheme="majorHAnsi" w:hAnsiTheme="majorHAnsi"/>
          <w:lang w:val="en-US"/>
        </w:rPr>
        <w:t>The entity has given the customer extra time to pay off the debt. The entity expects the customer will be able to pay about one year after the reporting date.</w:t>
      </w:r>
      <w:r w:rsidR="008E4C98" w:rsidRPr="009F75FA">
        <w:rPr>
          <w:rFonts w:asciiTheme="majorHAnsi" w:hAnsiTheme="majorHAnsi"/>
          <w:lang w:val="en-US"/>
        </w:rPr>
        <w:t xml:space="preserve"> Average market rate is 5%.</w:t>
      </w:r>
    </w:p>
    <w:p w:rsidR="007E644B" w:rsidRPr="009F75FA" w:rsidRDefault="007E644B" w:rsidP="007E644B">
      <w:pPr>
        <w:jc w:val="both"/>
        <w:rPr>
          <w:rFonts w:asciiTheme="majorHAnsi" w:hAnsiTheme="majorHAnsi"/>
          <w:lang w:val="en-US"/>
        </w:rPr>
      </w:pPr>
      <w:r w:rsidRPr="009F75FA">
        <w:rPr>
          <w:rFonts w:asciiTheme="majorHAnsi" w:hAnsiTheme="majorHAnsi"/>
          <w:lang w:val="en-US"/>
        </w:rPr>
        <w:t>What is the recognized amount of the impairment loss in both cases?</w:t>
      </w:r>
    </w:p>
    <w:p w:rsidR="00FE26B9" w:rsidRPr="009F75FA" w:rsidRDefault="00FE26B9" w:rsidP="00866390">
      <w:pPr>
        <w:pStyle w:val="NoSpacing"/>
        <w:rPr>
          <w:rFonts w:asciiTheme="majorHAnsi" w:hAnsiTheme="majorHAnsi"/>
          <w:lang w:val="en-US"/>
        </w:rPr>
      </w:pPr>
    </w:p>
    <w:p w:rsidR="003C5C5E" w:rsidRPr="009F75FA" w:rsidRDefault="003C5C5E" w:rsidP="00866390">
      <w:pPr>
        <w:jc w:val="both"/>
        <w:rPr>
          <w:rFonts w:asciiTheme="majorHAnsi" w:hAnsiTheme="majorHAnsi"/>
          <w:u w:val="single"/>
          <w:lang w:val="en-US"/>
        </w:rPr>
      </w:pPr>
      <w:r w:rsidRPr="009F75FA">
        <w:rPr>
          <w:rFonts w:asciiTheme="majorHAnsi" w:hAnsiTheme="majorHAnsi"/>
          <w:u w:val="single"/>
          <w:lang w:val="en-US"/>
        </w:rPr>
        <w:t xml:space="preserve">Example </w:t>
      </w:r>
      <w:r w:rsidR="00FF2F02" w:rsidRPr="009F75FA">
        <w:rPr>
          <w:rFonts w:asciiTheme="majorHAnsi" w:hAnsiTheme="majorHAnsi"/>
          <w:u w:val="single"/>
          <w:lang w:val="en-US"/>
        </w:rPr>
        <w:t>5</w:t>
      </w:r>
      <w:r w:rsidRPr="009F75FA">
        <w:rPr>
          <w:rFonts w:asciiTheme="majorHAnsi" w:hAnsiTheme="majorHAnsi"/>
          <w:u w:val="single"/>
          <w:lang w:val="en-US"/>
        </w:rPr>
        <w:t xml:space="preserve">: </w:t>
      </w:r>
      <w:r w:rsidR="00FE26B9" w:rsidRPr="009F75FA">
        <w:rPr>
          <w:rFonts w:asciiTheme="majorHAnsi" w:hAnsiTheme="majorHAnsi"/>
          <w:u w:val="single"/>
          <w:lang w:val="en-US"/>
        </w:rPr>
        <w:t>Account for issue of ordinary shares</w:t>
      </w:r>
    </w:p>
    <w:p w:rsidR="003C5C5E" w:rsidRPr="009F75FA" w:rsidRDefault="003C5C5E" w:rsidP="00866390">
      <w:pPr>
        <w:jc w:val="both"/>
        <w:rPr>
          <w:rFonts w:asciiTheme="majorHAnsi" w:hAnsiTheme="majorHAnsi"/>
          <w:lang w:val="en-US"/>
        </w:rPr>
      </w:pPr>
      <w:r w:rsidRPr="009F75FA">
        <w:rPr>
          <w:rFonts w:asciiTheme="majorHAnsi" w:hAnsiTheme="majorHAnsi"/>
          <w:lang w:val="en-US"/>
        </w:rPr>
        <w:t>O</w:t>
      </w:r>
      <w:r w:rsidR="008B6C9A" w:rsidRPr="009F75FA">
        <w:rPr>
          <w:rFonts w:asciiTheme="majorHAnsi" w:hAnsiTheme="majorHAnsi"/>
          <w:lang w:val="en-US"/>
        </w:rPr>
        <w:t>n 1 January 20X1 SME B issues 10</w:t>
      </w:r>
      <w:r w:rsidRPr="009F75FA">
        <w:rPr>
          <w:rFonts w:asciiTheme="majorHAnsi" w:hAnsiTheme="majorHAnsi"/>
          <w:lang w:val="en-US"/>
        </w:rPr>
        <w:t xml:space="preserve">0,000 ordinary shares in exchange for </w:t>
      </w:r>
      <w:r w:rsidR="008B6C9A" w:rsidRPr="009F75FA">
        <w:rPr>
          <w:rFonts w:asciiTheme="majorHAnsi" w:hAnsiTheme="majorHAnsi"/>
          <w:lang w:val="en-US"/>
        </w:rPr>
        <w:t>8</w:t>
      </w:r>
      <w:r w:rsidRPr="009F75FA">
        <w:rPr>
          <w:rFonts w:asciiTheme="majorHAnsi" w:hAnsiTheme="majorHAnsi"/>
          <w:lang w:val="en-US"/>
        </w:rPr>
        <w:t>00 ounces of gold. Th</w:t>
      </w:r>
      <w:r w:rsidR="008B6C9A" w:rsidRPr="009F75FA">
        <w:rPr>
          <w:rFonts w:asciiTheme="majorHAnsi" w:hAnsiTheme="majorHAnsi"/>
          <w:lang w:val="en-US"/>
        </w:rPr>
        <w:t>e par value of the shares is CU1</w:t>
      </w:r>
      <w:r w:rsidRPr="009F75FA">
        <w:rPr>
          <w:rFonts w:asciiTheme="majorHAnsi" w:hAnsiTheme="majorHAnsi"/>
          <w:lang w:val="en-US"/>
        </w:rPr>
        <w:t xml:space="preserve"> per share when gold was </w:t>
      </w:r>
      <w:r w:rsidR="008B6C9A" w:rsidRPr="009F75FA">
        <w:rPr>
          <w:rFonts w:asciiTheme="majorHAnsi" w:hAnsiTheme="majorHAnsi"/>
          <w:lang w:val="en-US"/>
        </w:rPr>
        <w:t>trading at CU5</w:t>
      </w:r>
      <w:r w:rsidRPr="009F75FA">
        <w:rPr>
          <w:rFonts w:asciiTheme="majorHAnsi" w:hAnsiTheme="majorHAnsi"/>
          <w:lang w:val="en-US"/>
        </w:rPr>
        <w:t>00 per ounce.</w:t>
      </w:r>
    </w:p>
    <w:p w:rsidR="003C5C5E" w:rsidRPr="009F75FA" w:rsidRDefault="003C5C5E" w:rsidP="00866390">
      <w:pPr>
        <w:jc w:val="both"/>
        <w:rPr>
          <w:rFonts w:asciiTheme="majorHAnsi" w:hAnsiTheme="majorHAnsi"/>
          <w:lang w:val="en-US"/>
        </w:rPr>
      </w:pPr>
      <w:r w:rsidRPr="009F75FA">
        <w:rPr>
          <w:rFonts w:asciiTheme="majorHAnsi" w:hAnsiTheme="majorHAnsi"/>
          <w:lang w:val="en-US"/>
        </w:rPr>
        <w:lastRenderedPageBreak/>
        <w:t xml:space="preserve">What is the accounting for issue of ordinary shares? </w:t>
      </w:r>
    </w:p>
    <w:p w:rsidR="00984E24" w:rsidRPr="009F75FA" w:rsidRDefault="00984E24" w:rsidP="00866390">
      <w:pPr>
        <w:pStyle w:val="NoSpacing"/>
        <w:rPr>
          <w:rFonts w:asciiTheme="majorHAnsi" w:hAnsiTheme="majorHAnsi"/>
          <w:lang w:val="en-US"/>
        </w:rPr>
      </w:pPr>
    </w:p>
    <w:p w:rsidR="00984E24" w:rsidRPr="009F75FA" w:rsidRDefault="00984E24" w:rsidP="00866390">
      <w:pPr>
        <w:jc w:val="both"/>
        <w:rPr>
          <w:rFonts w:asciiTheme="majorHAnsi" w:hAnsiTheme="majorHAnsi"/>
          <w:u w:val="single"/>
          <w:lang w:val="en-US"/>
        </w:rPr>
      </w:pPr>
      <w:r w:rsidRPr="009F75FA">
        <w:rPr>
          <w:rFonts w:asciiTheme="majorHAnsi" w:hAnsiTheme="majorHAnsi"/>
          <w:u w:val="single"/>
          <w:lang w:val="en-US"/>
        </w:rPr>
        <w:t xml:space="preserve">Example </w:t>
      </w:r>
      <w:r w:rsidR="00FF2F02" w:rsidRPr="009F75FA">
        <w:rPr>
          <w:rFonts w:asciiTheme="majorHAnsi" w:hAnsiTheme="majorHAnsi"/>
          <w:u w:val="single"/>
          <w:lang w:val="en-US"/>
        </w:rPr>
        <w:t>6</w:t>
      </w:r>
      <w:r w:rsidRPr="009F75FA">
        <w:rPr>
          <w:rFonts w:asciiTheme="majorHAnsi" w:hAnsiTheme="majorHAnsi"/>
          <w:u w:val="single"/>
          <w:lang w:val="en-US"/>
        </w:rPr>
        <w:t xml:space="preserve">: </w:t>
      </w:r>
      <w:r w:rsidR="00FE26B9" w:rsidRPr="009F75FA">
        <w:rPr>
          <w:rFonts w:asciiTheme="majorHAnsi" w:hAnsiTheme="majorHAnsi"/>
          <w:u w:val="single"/>
          <w:lang w:val="en-US"/>
        </w:rPr>
        <w:t>Account for issue of ordinary shares and sale of options</w:t>
      </w:r>
    </w:p>
    <w:p w:rsidR="00984E24" w:rsidRPr="009F75FA" w:rsidRDefault="00984E24" w:rsidP="00866390">
      <w:pPr>
        <w:jc w:val="both"/>
        <w:rPr>
          <w:rFonts w:asciiTheme="majorHAnsi" w:hAnsiTheme="majorHAnsi"/>
          <w:lang w:val="en-US"/>
        </w:rPr>
      </w:pPr>
      <w:r w:rsidRPr="009F75FA">
        <w:rPr>
          <w:rFonts w:asciiTheme="majorHAnsi" w:hAnsiTheme="majorHAnsi"/>
          <w:lang w:val="en-US"/>
        </w:rPr>
        <w:t>At 31 December 20X0 as a year-end SME A has ordinary share capital of CU1</w:t>
      </w:r>
      <w:r w:rsidR="00E94BF2" w:rsidRPr="009F75FA">
        <w:rPr>
          <w:rFonts w:asciiTheme="majorHAnsi" w:hAnsiTheme="majorHAnsi"/>
          <w:lang w:val="en-US"/>
        </w:rPr>
        <w:t>5</w:t>
      </w:r>
      <w:r w:rsidRPr="009F75FA">
        <w:rPr>
          <w:rFonts w:asciiTheme="majorHAnsi" w:hAnsiTheme="majorHAnsi"/>
          <w:lang w:val="en-US"/>
        </w:rPr>
        <w:t>0,000, which was contributed at par on incorporation of SME A. The par value of the shares of the entity is CU1 per share.</w:t>
      </w:r>
    </w:p>
    <w:p w:rsidR="00984E24" w:rsidRPr="009F75FA" w:rsidRDefault="00984E24" w:rsidP="00866390">
      <w:pPr>
        <w:jc w:val="both"/>
        <w:rPr>
          <w:rFonts w:asciiTheme="majorHAnsi" w:hAnsiTheme="majorHAnsi"/>
          <w:lang w:val="en-US"/>
        </w:rPr>
      </w:pPr>
      <w:r w:rsidRPr="009F75FA">
        <w:rPr>
          <w:rFonts w:asciiTheme="majorHAnsi" w:hAnsiTheme="majorHAnsi"/>
          <w:lang w:val="en-US"/>
        </w:rPr>
        <w:t>On 1 January 20X</w:t>
      </w:r>
      <w:r w:rsidR="00E94BF2" w:rsidRPr="009F75FA">
        <w:rPr>
          <w:rFonts w:asciiTheme="majorHAnsi" w:hAnsiTheme="majorHAnsi"/>
          <w:lang w:val="en-US"/>
        </w:rPr>
        <w:t>1 the entity issues a further 20</w:t>
      </w:r>
      <w:r w:rsidRPr="009F75FA">
        <w:rPr>
          <w:rFonts w:asciiTheme="majorHAnsi" w:hAnsiTheme="majorHAnsi"/>
          <w:lang w:val="en-US"/>
        </w:rPr>
        <w:t xml:space="preserve">0,000 ordinary shares at </w:t>
      </w:r>
      <w:r w:rsidR="00E94BF2" w:rsidRPr="009F75FA">
        <w:rPr>
          <w:rFonts w:asciiTheme="majorHAnsi" w:hAnsiTheme="majorHAnsi"/>
          <w:lang w:val="en-US"/>
        </w:rPr>
        <w:t>CU7</w:t>
      </w:r>
      <w:r w:rsidRPr="009F75FA">
        <w:rPr>
          <w:rFonts w:asciiTheme="majorHAnsi" w:hAnsiTheme="majorHAnsi"/>
          <w:lang w:val="en-US"/>
        </w:rPr>
        <w:t xml:space="preserve"> per share. The shares are issued for cash.</w:t>
      </w:r>
    </w:p>
    <w:p w:rsidR="00984E24" w:rsidRPr="009F75FA" w:rsidRDefault="00984E24" w:rsidP="00866390">
      <w:pPr>
        <w:jc w:val="both"/>
        <w:rPr>
          <w:rFonts w:asciiTheme="majorHAnsi" w:hAnsiTheme="majorHAnsi"/>
          <w:lang w:val="en-US"/>
        </w:rPr>
      </w:pPr>
      <w:r w:rsidRPr="009F75FA">
        <w:rPr>
          <w:rFonts w:asciiTheme="majorHAnsi" w:hAnsiTheme="majorHAnsi"/>
          <w:lang w:val="en-US"/>
        </w:rPr>
        <w:t>Also on 1 January 20X1, as an incentive to encourage investment, each shareholder is permitted to buy one share option for every share purchased on 1 January 20X1 at CU0.</w:t>
      </w:r>
      <w:r w:rsidR="00614611" w:rsidRPr="009F75FA">
        <w:rPr>
          <w:rFonts w:asciiTheme="majorHAnsi" w:hAnsiTheme="majorHAnsi"/>
          <w:lang w:val="en-US"/>
        </w:rPr>
        <w:t>6</w:t>
      </w:r>
      <w:r w:rsidRPr="009F75FA">
        <w:rPr>
          <w:rFonts w:asciiTheme="majorHAnsi" w:hAnsiTheme="majorHAnsi"/>
          <w:lang w:val="en-US"/>
        </w:rPr>
        <w:t xml:space="preserve">5 per option. Each option allows the holder to buy one share on 31 January </w:t>
      </w:r>
      <w:r w:rsidR="00614611" w:rsidRPr="009F75FA">
        <w:rPr>
          <w:rFonts w:asciiTheme="majorHAnsi" w:hAnsiTheme="majorHAnsi"/>
          <w:lang w:val="en-US"/>
        </w:rPr>
        <w:t>20X2 at CU6 per share. 7</w:t>
      </w:r>
      <w:r w:rsidRPr="009F75FA">
        <w:rPr>
          <w:rFonts w:asciiTheme="majorHAnsi" w:hAnsiTheme="majorHAnsi"/>
          <w:lang w:val="en-US"/>
        </w:rPr>
        <w:t>0,000 share options are purchased.</w:t>
      </w:r>
    </w:p>
    <w:p w:rsidR="00984E24" w:rsidRPr="009F75FA" w:rsidRDefault="00614611" w:rsidP="00866390">
      <w:pPr>
        <w:jc w:val="both"/>
        <w:rPr>
          <w:rFonts w:asciiTheme="majorHAnsi" w:hAnsiTheme="majorHAnsi"/>
          <w:lang w:val="en-US"/>
        </w:rPr>
      </w:pPr>
      <w:r w:rsidRPr="009F75FA">
        <w:rPr>
          <w:rFonts w:asciiTheme="majorHAnsi" w:hAnsiTheme="majorHAnsi"/>
          <w:lang w:val="en-US"/>
        </w:rPr>
        <w:t>On 31 January 20X2 7</w:t>
      </w:r>
      <w:r w:rsidR="00984E24" w:rsidRPr="009F75FA">
        <w:rPr>
          <w:rFonts w:asciiTheme="majorHAnsi" w:hAnsiTheme="majorHAnsi"/>
          <w:lang w:val="en-US"/>
        </w:rPr>
        <w:t>0,000 share options are converted into ordinary shares. The commercial law to which the entity is subject requires to account for depletion of share option reserve as share premium.</w:t>
      </w:r>
    </w:p>
    <w:p w:rsidR="00984E24" w:rsidRPr="009F75FA" w:rsidRDefault="00984E24" w:rsidP="00866390">
      <w:pPr>
        <w:jc w:val="both"/>
        <w:rPr>
          <w:rFonts w:asciiTheme="majorHAnsi" w:hAnsiTheme="majorHAnsi"/>
          <w:lang w:val="en-US"/>
        </w:rPr>
      </w:pPr>
      <w:r w:rsidRPr="009F75FA">
        <w:rPr>
          <w:rFonts w:asciiTheme="majorHAnsi" w:hAnsiTheme="majorHAnsi"/>
          <w:lang w:val="en-US"/>
        </w:rPr>
        <w:t xml:space="preserve">What is the accounting for conversion of options into ordinary shares?  </w:t>
      </w:r>
    </w:p>
    <w:p w:rsidR="00984E24" w:rsidRPr="009F75FA" w:rsidRDefault="00984E24" w:rsidP="00866390">
      <w:pPr>
        <w:pStyle w:val="NoSpacing"/>
        <w:jc w:val="both"/>
        <w:rPr>
          <w:rFonts w:asciiTheme="majorHAnsi" w:hAnsiTheme="majorHAnsi"/>
          <w:lang w:val="en-US"/>
        </w:rPr>
      </w:pPr>
    </w:p>
    <w:p w:rsidR="00465919" w:rsidRPr="009F75FA" w:rsidRDefault="00465919" w:rsidP="00465919">
      <w:pPr>
        <w:jc w:val="both"/>
        <w:rPr>
          <w:rFonts w:asciiTheme="majorHAnsi" w:hAnsiTheme="majorHAnsi"/>
          <w:u w:val="single"/>
          <w:lang w:val="en-US"/>
        </w:rPr>
      </w:pPr>
      <w:r w:rsidRPr="009F75FA">
        <w:rPr>
          <w:rFonts w:asciiTheme="majorHAnsi" w:hAnsiTheme="majorHAnsi"/>
          <w:u w:val="single"/>
          <w:lang w:val="en-US"/>
        </w:rPr>
        <w:t xml:space="preserve">Example </w:t>
      </w:r>
      <w:r w:rsidR="00FF2F02" w:rsidRPr="009F75FA">
        <w:rPr>
          <w:rFonts w:asciiTheme="majorHAnsi" w:hAnsiTheme="majorHAnsi"/>
          <w:u w:val="single"/>
          <w:lang w:val="en-US"/>
        </w:rPr>
        <w:t>7</w:t>
      </w:r>
      <w:r w:rsidRPr="009F75FA">
        <w:rPr>
          <w:rFonts w:asciiTheme="majorHAnsi" w:hAnsiTheme="majorHAnsi"/>
          <w:u w:val="single"/>
          <w:lang w:val="en-US"/>
        </w:rPr>
        <w:t xml:space="preserve">: Account for change in a parent’s interest </w:t>
      </w:r>
    </w:p>
    <w:p w:rsidR="00465919" w:rsidRPr="009F75FA" w:rsidRDefault="00465919" w:rsidP="00465919">
      <w:pPr>
        <w:jc w:val="both"/>
        <w:rPr>
          <w:rFonts w:asciiTheme="majorHAnsi" w:hAnsiTheme="majorHAnsi"/>
          <w:lang w:val="en-US"/>
        </w:rPr>
      </w:pPr>
      <w:r w:rsidRPr="009F75FA">
        <w:rPr>
          <w:rFonts w:asciiTheme="majorHAnsi" w:hAnsiTheme="majorHAnsi"/>
          <w:lang w:val="en-US"/>
        </w:rPr>
        <w:t>Since SME Z was formed it ha</w:t>
      </w:r>
      <w:r w:rsidR="008E4C98" w:rsidRPr="009F75FA">
        <w:rPr>
          <w:rFonts w:asciiTheme="majorHAnsi" w:hAnsiTheme="majorHAnsi"/>
          <w:lang w:val="en-US"/>
        </w:rPr>
        <w:t>s been owned 85 per cent by SME A and 1</w:t>
      </w:r>
      <w:r w:rsidRPr="009F75FA">
        <w:rPr>
          <w:rFonts w:asciiTheme="majorHAnsi" w:hAnsiTheme="majorHAnsi"/>
          <w:lang w:val="en-US"/>
        </w:rPr>
        <w:t>5 per cent by SME B. On 31 December 20X5, when the carrying amou</w:t>
      </w:r>
      <w:r w:rsidR="008E4C98" w:rsidRPr="009F75FA">
        <w:rPr>
          <w:rFonts w:asciiTheme="majorHAnsi" w:hAnsiTheme="majorHAnsi"/>
          <w:lang w:val="en-US"/>
        </w:rPr>
        <w:t>nt of SME Z’s net assets was CU2</w:t>
      </w:r>
      <w:r w:rsidRPr="009F75FA">
        <w:rPr>
          <w:rFonts w:asciiTheme="majorHAnsi" w:hAnsiTheme="majorHAnsi"/>
          <w:lang w:val="en-US"/>
        </w:rPr>
        <w:t>00,000, SME A r</w:t>
      </w:r>
      <w:r w:rsidR="008E4C98" w:rsidRPr="009F75FA">
        <w:rPr>
          <w:rFonts w:asciiTheme="majorHAnsi" w:hAnsiTheme="majorHAnsi"/>
          <w:lang w:val="en-US"/>
        </w:rPr>
        <w:t>educed its holding in SME Z to 7</w:t>
      </w:r>
      <w:r w:rsidRPr="009F75FA">
        <w:rPr>
          <w:rFonts w:asciiTheme="majorHAnsi" w:hAnsiTheme="majorHAnsi"/>
          <w:lang w:val="en-US"/>
        </w:rPr>
        <w:t>0 per cent by selling 15 per cent of</w:t>
      </w:r>
      <w:r w:rsidR="008E4C98" w:rsidRPr="009F75FA">
        <w:rPr>
          <w:rFonts w:asciiTheme="majorHAnsi" w:hAnsiTheme="majorHAnsi"/>
          <w:lang w:val="en-US"/>
        </w:rPr>
        <w:t xml:space="preserve"> SME Z’s shares to SME B for CU35</w:t>
      </w:r>
      <w:r w:rsidRPr="009F75FA">
        <w:rPr>
          <w:rFonts w:asciiTheme="majorHAnsi" w:hAnsiTheme="majorHAnsi"/>
          <w:lang w:val="en-US"/>
        </w:rPr>
        <w:t>,000.</w:t>
      </w:r>
    </w:p>
    <w:p w:rsidR="00465919" w:rsidRPr="009F75FA" w:rsidRDefault="00465919" w:rsidP="00465919">
      <w:pPr>
        <w:jc w:val="both"/>
        <w:rPr>
          <w:rFonts w:asciiTheme="majorHAnsi" w:hAnsiTheme="majorHAnsi"/>
          <w:lang w:val="en-US"/>
        </w:rPr>
      </w:pPr>
      <w:r w:rsidRPr="009F75FA">
        <w:rPr>
          <w:rFonts w:asciiTheme="majorHAnsi" w:hAnsiTheme="majorHAnsi"/>
          <w:lang w:val="en-US"/>
        </w:rPr>
        <w:t xml:space="preserve">What is the accounting for change in SME A’s interest in SME Z?  </w:t>
      </w:r>
    </w:p>
    <w:p w:rsidR="00465919" w:rsidRPr="009F75FA" w:rsidRDefault="00465919" w:rsidP="00465919">
      <w:pPr>
        <w:pStyle w:val="NoSpacing"/>
        <w:rPr>
          <w:lang w:val="en-US"/>
        </w:rPr>
      </w:pPr>
    </w:p>
    <w:p w:rsidR="00BD316A" w:rsidRPr="009F75FA" w:rsidRDefault="00BD316A" w:rsidP="00BD316A">
      <w:pPr>
        <w:rPr>
          <w:rFonts w:asciiTheme="majorHAnsi" w:hAnsiTheme="majorHAnsi"/>
          <w:u w:val="single"/>
          <w:lang w:val="en-US"/>
        </w:rPr>
      </w:pPr>
      <w:r w:rsidRPr="009F75FA">
        <w:rPr>
          <w:rFonts w:asciiTheme="majorHAnsi" w:hAnsiTheme="majorHAnsi"/>
          <w:u w:val="single"/>
          <w:lang w:val="en-US"/>
        </w:rPr>
        <w:t xml:space="preserve">Example </w:t>
      </w:r>
      <w:r w:rsidR="00FF2F02" w:rsidRPr="009F75FA">
        <w:rPr>
          <w:rFonts w:asciiTheme="majorHAnsi" w:hAnsiTheme="majorHAnsi"/>
          <w:u w:val="single"/>
          <w:lang w:val="en-US"/>
        </w:rPr>
        <w:t>8</w:t>
      </w:r>
      <w:r w:rsidRPr="009F75FA">
        <w:rPr>
          <w:rFonts w:asciiTheme="majorHAnsi" w:hAnsiTheme="majorHAnsi"/>
          <w:u w:val="single"/>
          <w:lang w:val="en-US"/>
        </w:rPr>
        <w:t>: Estimate the value of revenue</w:t>
      </w:r>
    </w:p>
    <w:p w:rsidR="00BD316A" w:rsidRPr="009F75FA" w:rsidRDefault="00BD316A" w:rsidP="008E4C98">
      <w:pPr>
        <w:jc w:val="both"/>
        <w:rPr>
          <w:rFonts w:asciiTheme="majorHAnsi" w:hAnsiTheme="majorHAnsi"/>
          <w:lang w:val="en-US"/>
        </w:rPr>
      </w:pPr>
      <w:r w:rsidRPr="009F75FA">
        <w:rPr>
          <w:rFonts w:asciiTheme="majorHAnsi" w:hAnsiTheme="majorHAnsi"/>
          <w:lang w:val="en-US"/>
        </w:rPr>
        <w:t>A vehicle dealer enters into contracts to maintain its customer’s new vehicle for a three-year period.</w:t>
      </w:r>
    </w:p>
    <w:p w:rsidR="00BD316A" w:rsidRPr="009F75FA" w:rsidRDefault="00BD316A" w:rsidP="008E4C98">
      <w:pPr>
        <w:jc w:val="both"/>
        <w:rPr>
          <w:rFonts w:asciiTheme="majorHAnsi" w:hAnsiTheme="majorHAnsi"/>
          <w:lang w:val="en-US"/>
        </w:rPr>
      </w:pPr>
      <w:r w:rsidRPr="009F75FA">
        <w:rPr>
          <w:rFonts w:asciiTheme="majorHAnsi" w:hAnsiTheme="majorHAnsi"/>
          <w:lang w:val="en-US"/>
        </w:rPr>
        <w:t>On 1 January 20X1 a customer paid the dealer CU15,000. Experience has shown that the costs to the dealer of maintaining new vehicles of the model owned by the customer are on average CU2,000 in the first year of ownership, CU2,000 in the second year and CU4,000 in the third year.</w:t>
      </w:r>
    </w:p>
    <w:p w:rsidR="00BD316A" w:rsidRPr="009F75FA" w:rsidRDefault="00BD316A" w:rsidP="008E4C98">
      <w:pPr>
        <w:jc w:val="both"/>
        <w:rPr>
          <w:rFonts w:asciiTheme="majorHAnsi" w:hAnsiTheme="majorHAnsi"/>
          <w:lang w:val="en-US"/>
        </w:rPr>
      </w:pPr>
      <w:r w:rsidRPr="009F75FA">
        <w:rPr>
          <w:rFonts w:asciiTheme="majorHAnsi" w:hAnsiTheme="majorHAnsi"/>
          <w:lang w:val="en-US"/>
        </w:rPr>
        <w:t>What is the amount of revenue recognized at the end of each reporting period during the lifetime of the contract?</w:t>
      </w:r>
    </w:p>
    <w:p w:rsidR="00BD316A" w:rsidRPr="009F75FA" w:rsidRDefault="00BD316A" w:rsidP="008E4C98">
      <w:pPr>
        <w:pStyle w:val="NoSpacing"/>
        <w:jc w:val="both"/>
        <w:rPr>
          <w:rFonts w:asciiTheme="majorHAnsi" w:hAnsiTheme="majorHAnsi"/>
          <w:lang w:val="en-US"/>
        </w:rPr>
      </w:pPr>
    </w:p>
    <w:p w:rsidR="00BD316A" w:rsidRPr="009F75FA" w:rsidRDefault="00BD316A" w:rsidP="008E4C98">
      <w:pPr>
        <w:jc w:val="both"/>
        <w:rPr>
          <w:rFonts w:asciiTheme="majorHAnsi" w:hAnsiTheme="majorHAnsi"/>
          <w:lang w:val="en-US"/>
        </w:rPr>
      </w:pPr>
      <w:r w:rsidRPr="009F75FA">
        <w:rPr>
          <w:rFonts w:asciiTheme="majorHAnsi" w:hAnsiTheme="majorHAnsi"/>
          <w:u w:val="single"/>
          <w:lang w:val="en-US"/>
        </w:rPr>
        <w:t xml:space="preserve">Example </w:t>
      </w:r>
      <w:r w:rsidR="00FF2F02" w:rsidRPr="009F75FA">
        <w:rPr>
          <w:rFonts w:asciiTheme="majorHAnsi" w:hAnsiTheme="majorHAnsi"/>
          <w:u w:val="single"/>
          <w:lang w:val="en-US"/>
        </w:rPr>
        <w:t>9</w:t>
      </w:r>
      <w:r w:rsidRPr="009F75FA">
        <w:rPr>
          <w:rFonts w:asciiTheme="majorHAnsi" w:hAnsiTheme="majorHAnsi"/>
          <w:u w:val="single"/>
          <w:lang w:val="en-US"/>
        </w:rPr>
        <w:t>: Estimate the value of revenue</w:t>
      </w:r>
      <w:r w:rsidRPr="009F75FA">
        <w:rPr>
          <w:rFonts w:asciiTheme="majorHAnsi" w:hAnsiTheme="majorHAnsi"/>
          <w:lang w:val="en-US"/>
        </w:rPr>
        <w:t xml:space="preserve"> </w:t>
      </w:r>
    </w:p>
    <w:p w:rsidR="00BD316A" w:rsidRPr="009F75FA" w:rsidRDefault="00BD316A" w:rsidP="008E4C98">
      <w:pPr>
        <w:jc w:val="both"/>
        <w:rPr>
          <w:rFonts w:asciiTheme="majorHAnsi" w:hAnsiTheme="majorHAnsi"/>
          <w:lang w:val="en-US"/>
        </w:rPr>
      </w:pPr>
      <w:r w:rsidRPr="009F75FA">
        <w:rPr>
          <w:rFonts w:asciiTheme="majorHAnsi" w:hAnsiTheme="majorHAnsi"/>
          <w:lang w:val="en-US"/>
        </w:rPr>
        <w:t xml:space="preserve">Under a construction contract, a contractor agrees to a fixed contract price of CU3,000 to refurbish the kitchen of a residential flat. The contractor’s initial estimate of contract costs at 1 February 20X1, </w:t>
      </w:r>
      <w:r w:rsidRPr="009F75FA">
        <w:rPr>
          <w:rFonts w:asciiTheme="majorHAnsi" w:hAnsiTheme="majorHAnsi"/>
          <w:lang w:val="en-US"/>
        </w:rPr>
        <w:lastRenderedPageBreak/>
        <w:t xml:space="preserve">the date the contract is agreed, is CU2,100. The contract price will be paid to the contractor on completion of the refurbishment. </w:t>
      </w:r>
    </w:p>
    <w:p w:rsidR="00BD316A" w:rsidRPr="009F75FA" w:rsidRDefault="00BD316A" w:rsidP="008E4C98">
      <w:pPr>
        <w:jc w:val="both"/>
        <w:rPr>
          <w:rFonts w:asciiTheme="majorHAnsi" w:hAnsiTheme="majorHAnsi"/>
          <w:lang w:val="en-US"/>
        </w:rPr>
      </w:pPr>
      <w:r w:rsidRPr="009F75FA">
        <w:rPr>
          <w:rFonts w:asciiTheme="majorHAnsi" w:hAnsiTheme="majorHAnsi"/>
          <w:lang w:val="en-US"/>
        </w:rPr>
        <w:t>The contractor has a 30 June year-end. As at 30 June 20X1 contract costs incurred for work performed to date are CU1,800 and the contractor estimates that costs to complete the contract will be CU300 (i.e. total contract costs will be CU2,100). The contractor determines the stage of completion of the contract by calculating the proportion that contract costs incurred for work performed to date bear to the latest estimated total contract costs.</w:t>
      </w:r>
    </w:p>
    <w:p w:rsidR="00BD316A" w:rsidRPr="009F75FA" w:rsidRDefault="00BD316A" w:rsidP="008E4C98">
      <w:pPr>
        <w:jc w:val="both"/>
        <w:rPr>
          <w:rFonts w:asciiTheme="majorHAnsi" w:hAnsiTheme="majorHAnsi"/>
          <w:lang w:val="en-US"/>
        </w:rPr>
      </w:pPr>
      <w:r w:rsidRPr="009F75FA">
        <w:rPr>
          <w:rFonts w:asciiTheme="majorHAnsi" w:hAnsiTheme="majorHAnsi"/>
          <w:lang w:val="en-US"/>
        </w:rPr>
        <w:t>What is the amount of revenue recognized at the end of each reporting period during the lifetime of the contract?</w:t>
      </w:r>
    </w:p>
    <w:p w:rsidR="00984E24" w:rsidRPr="009F75FA" w:rsidRDefault="00984E24" w:rsidP="00866390">
      <w:pPr>
        <w:pStyle w:val="NoSpacing"/>
        <w:jc w:val="both"/>
        <w:rPr>
          <w:rFonts w:asciiTheme="majorHAnsi" w:hAnsiTheme="majorHAnsi"/>
          <w:lang w:val="en-US"/>
        </w:rPr>
      </w:pPr>
    </w:p>
    <w:p w:rsidR="00465919" w:rsidRPr="009F75FA" w:rsidRDefault="00984E24" w:rsidP="00465919">
      <w:pPr>
        <w:jc w:val="both"/>
        <w:rPr>
          <w:rFonts w:asciiTheme="majorHAnsi" w:hAnsiTheme="majorHAnsi"/>
          <w:u w:val="single"/>
          <w:lang w:val="en-US"/>
        </w:rPr>
      </w:pPr>
      <w:r w:rsidRPr="009F75FA">
        <w:rPr>
          <w:rFonts w:asciiTheme="majorHAnsi" w:hAnsiTheme="majorHAnsi"/>
          <w:u w:val="single"/>
          <w:lang w:val="en-US"/>
        </w:rPr>
        <w:t xml:space="preserve">Example </w:t>
      </w:r>
      <w:r w:rsidR="00FF2F02" w:rsidRPr="009F75FA">
        <w:rPr>
          <w:rFonts w:asciiTheme="majorHAnsi" w:hAnsiTheme="majorHAnsi"/>
          <w:u w:val="single"/>
          <w:lang w:val="en-US"/>
        </w:rPr>
        <w:t>10</w:t>
      </w:r>
      <w:r w:rsidRPr="009F75FA">
        <w:rPr>
          <w:rFonts w:asciiTheme="majorHAnsi" w:hAnsiTheme="majorHAnsi"/>
          <w:u w:val="single"/>
          <w:lang w:val="en-US"/>
        </w:rPr>
        <w:t xml:space="preserve">: </w:t>
      </w:r>
      <w:r w:rsidR="00FE26B9" w:rsidRPr="009F75FA">
        <w:rPr>
          <w:rFonts w:asciiTheme="majorHAnsi" w:hAnsiTheme="majorHAnsi"/>
          <w:u w:val="single"/>
          <w:lang w:val="en-US"/>
        </w:rPr>
        <w:t xml:space="preserve">Estimate the value of </w:t>
      </w:r>
      <w:r w:rsidR="00465919" w:rsidRPr="009F75FA">
        <w:rPr>
          <w:rFonts w:asciiTheme="majorHAnsi" w:hAnsiTheme="majorHAnsi"/>
          <w:u w:val="single"/>
          <w:lang w:val="en-US"/>
        </w:rPr>
        <w:t>carryback for current tax loss</w:t>
      </w:r>
    </w:p>
    <w:p w:rsidR="00465919" w:rsidRPr="009F75FA" w:rsidRDefault="00465919" w:rsidP="00465919">
      <w:pPr>
        <w:jc w:val="both"/>
        <w:rPr>
          <w:rFonts w:asciiTheme="majorHAnsi" w:hAnsiTheme="majorHAnsi"/>
          <w:lang w:val="en-US"/>
        </w:rPr>
      </w:pPr>
      <w:r w:rsidRPr="009F75FA">
        <w:rPr>
          <w:rFonts w:asciiTheme="majorHAnsi" w:hAnsiTheme="majorHAnsi"/>
          <w:lang w:val="en-US"/>
        </w:rPr>
        <w:t>In accordance with the relevant tax rules in its jurisdiction, an entity estimates its taxable loss for</w:t>
      </w:r>
      <w:r w:rsidR="00F43627" w:rsidRPr="009F75FA">
        <w:rPr>
          <w:rFonts w:asciiTheme="majorHAnsi" w:hAnsiTheme="majorHAnsi"/>
          <w:lang w:val="en-US"/>
        </w:rPr>
        <w:t xml:space="preserve"> the tax period 20X7/20X8 at CU10</w:t>
      </w:r>
      <w:r w:rsidRPr="009F75FA">
        <w:rPr>
          <w:rFonts w:asciiTheme="majorHAnsi" w:hAnsiTheme="majorHAnsi"/>
          <w:lang w:val="en-US"/>
        </w:rPr>
        <w:t>,000. The tax legislation in the jurisdiction permits entities to carry back losses three tax years into the past. Taxable income in 20X6/20X7 was CU</w:t>
      </w:r>
      <w:r w:rsidR="00F43627" w:rsidRPr="009F75FA">
        <w:rPr>
          <w:rFonts w:asciiTheme="majorHAnsi" w:hAnsiTheme="majorHAnsi"/>
          <w:lang w:val="en-US"/>
        </w:rPr>
        <w:t>3</w:t>
      </w:r>
      <w:r w:rsidRPr="009F75FA">
        <w:rPr>
          <w:rFonts w:asciiTheme="majorHAnsi" w:hAnsiTheme="majorHAnsi"/>
          <w:lang w:val="en-US"/>
        </w:rPr>
        <w:t>,</w:t>
      </w:r>
      <w:r w:rsidR="00F43627" w:rsidRPr="009F75FA">
        <w:rPr>
          <w:rFonts w:asciiTheme="majorHAnsi" w:hAnsiTheme="majorHAnsi"/>
          <w:lang w:val="en-US"/>
        </w:rPr>
        <w:t>5</w:t>
      </w:r>
      <w:r w:rsidRPr="009F75FA">
        <w:rPr>
          <w:rFonts w:asciiTheme="majorHAnsi" w:hAnsiTheme="majorHAnsi"/>
          <w:lang w:val="en-US"/>
        </w:rPr>
        <w:t>00, in 20X5/20X6 it was CU</w:t>
      </w:r>
      <w:r w:rsidR="00F43627" w:rsidRPr="009F75FA">
        <w:rPr>
          <w:rFonts w:asciiTheme="majorHAnsi" w:hAnsiTheme="majorHAnsi"/>
          <w:lang w:val="en-US"/>
        </w:rPr>
        <w:t>4</w:t>
      </w:r>
      <w:r w:rsidRPr="009F75FA">
        <w:rPr>
          <w:rFonts w:asciiTheme="majorHAnsi" w:hAnsiTheme="majorHAnsi"/>
          <w:lang w:val="en-US"/>
        </w:rPr>
        <w:t>,000 and in 20X4/20X5 it was CU3,000. The entity has a 30 September financial year-end (end of the reporting period) and this coincides with the entity’s tax year. The relevant income tax rates are as follows:</w:t>
      </w:r>
    </w:p>
    <w:p w:rsidR="00465919" w:rsidRPr="009F75FA" w:rsidRDefault="00465919" w:rsidP="00465919">
      <w:pPr>
        <w:pStyle w:val="ListParagraph"/>
        <w:numPr>
          <w:ilvl w:val="0"/>
          <w:numId w:val="4"/>
        </w:numPr>
        <w:jc w:val="both"/>
        <w:rPr>
          <w:rFonts w:asciiTheme="majorHAnsi" w:hAnsiTheme="majorHAnsi"/>
          <w:lang w:val="en-US"/>
        </w:rPr>
      </w:pPr>
      <w:r w:rsidRPr="009F75FA">
        <w:rPr>
          <w:rFonts w:asciiTheme="majorHAnsi" w:hAnsiTheme="majorHAnsi"/>
          <w:lang w:val="en-US"/>
        </w:rPr>
        <w:t>18 per cent in 20X6/20X7 and 20X7/20X8</w:t>
      </w:r>
    </w:p>
    <w:p w:rsidR="00465919" w:rsidRPr="009F75FA" w:rsidRDefault="00F43627" w:rsidP="00465919">
      <w:pPr>
        <w:pStyle w:val="ListParagraph"/>
        <w:numPr>
          <w:ilvl w:val="0"/>
          <w:numId w:val="4"/>
        </w:numPr>
        <w:jc w:val="both"/>
        <w:rPr>
          <w:rFonts w:asciiTheme="majorHAnsi" w:hAnsiTheme="majorHAnsi"/>
          <w:lang w:val="en-US"/>
        </w:rPr>
      </w:pPr>
      <w:r w:rsidRPr="009F75FA">
        <w:rPr>
          <w:rFonts w:asciiTheme="majorHAnsi" w:hAnsiTheme="majorHAnsi"/>
          <w:lang w:val="en-US"/>
        </w:rPr>
        <w:t>19</w:t>
      </w:r>
      <w:r w:rsidR="00465919" w:rsidRPr="009F75FA">
        <w:rPr>
          <w:rFonts w:asciiTheme="majorHAnsi" w:hAnsiTheme="majorHAnsi"/>
          <w:lang w:val="en-US"/>
        </w:rPr>
        <w:t xml:space="preserve"> per cent in 20X5/20X6</w:t>
      </w:r>
    </w:p>
    <w:p w:rsidR="00465919" w:rsidRPr="009F75FA" w:rsidRDefault="00F43627" w:rsidP="00465919">
      <w:pPr>
        <w:pStyle w:val="ListParagraph"/>
        <w:numPr>
          <w:ilvl w:val="0"/>
          <w:numId w:val="4"/>
        </w:numPr>
        <w:jc w:val="both"/>
        <w:rPr>
          <w:rFonts w:asciiTheme="majorHAnsi" w:hAnsiTheme="majorHAnsi"/>
          <w:lang w:val="en-US"/>
        </w:rPr>
      </w:pPr>
      <w:r w:rsidRPr="009F75FA">
        <w:rPr>
          <w:rFonts w:asciiTheme="majorHAnsi" w:hAnsiTheme="majorHAnsi"/>
          <w:lang w:val="en-US"/>
        </w:rPr>
        <w:t>20</w:t>
      </w:r>
      <w:r w:rsidR="00465919" w:rsidRPr="009F75FA">
        <w:rPr>
          <w:rFonts w:asciiTheme="majorHAnsi" w:hAnsiTheme="majorHAnsi"/>
          <w:lang w:val="en-US"/>
        </w:rPr>
        <w:t xml:space="preserve"> per cent in 20X4/20X5.</w:t>
      </w:r>
    </w:p>
    <w:p w:rsidR="00465919" w:rsidRPr="009F75FA" w:rsidRDefault="00465919" w:rsidP="00465919">
      <w:pPr>
        <w:jc w:val="both"/>
        <w:rPr>
          <w:rFonts w:asciiTheme="majorHAnsi" w:hAnsiTheme="majorHAnsi"/>
          <w:lang w:val="en-US"/>
        </w:rPr>
      </w:pPr>
      <w:r w:rsidRPr="009F75FA">
        <w:rPr>
          <w:rFonts w:asciiTheme="majorHAnsi" w:hAnsiTheme="majorHAnsi"/>
          <w:lang w:val="en-US"/>
        </w:rPr>
        <w:t>What is the recognized amount of carryback for current tax loss if:</w:t>
      </w:r>
    </w:p>
    <w:p w:rsidR="00465919" w:rsidRPr="009F75FA" w:rsidRDefault="00465919" w:rsidP="00D81DB5">
      <w:pPr>
        <w:pStyle w:val="ListParagraph"/>
        <w:numPr>
          <w:ilvl w:val="0"/>
          <w:numId w:val="11"/>
        </w:numPr>
        <w:jc w:val="both"/>
        <w:rPr>
          <w:rFonts w:asciiTheme="majorHAnsi" w:hAnsiTheme="majorHAnsi"/>
          <w:lang w:val="en-US"/>
        </w:rPr>
      </w:pPr>
      <w:r w:rsidRPr="009F75FA">
        <w:rPr>
          <w:rFonts w:asciiTheme="majorHAnsi" w:hAnsiTheme="majorHAnsi"/>
          <w:lang w:val="en-US"/>
        </w:rPr>
        <w:t>The tax legislation in the jurisdiction permits entities to carry back losses three tax years into the past and there is no requirement on which of the three years the loss is set off against first.</w:t>
      </w:r>
    </w:p>
    <w:p w:rsidR="00465919" w:rsidRPr="009F75FA" w:rsidRDefault="00465919" w:rsidP="00D81DB5">
      <w:pPr>
        <w:pStyle w:val="ListParagraph"/>
        <w:numPr>
          <w:ilvl w:val="0"/>
          <w:numId w:val="11"/>
        </w:numPr>
        <w:jc w:val="both"/>
        <w:rPr>
          <w:rFonts w:asciiTheme="majorHAnsi" w:hAnsiTheme="majorHAnsi"/>
          <w:lang w:val="en-US"/>
        </w:rPr>
      </w:pPr>
      <w:r w:rsidRPr="009F75FA">
        <w:rPr>
          <w:rFonts w:asciiTheme="majorHAnsi" w:hAnsiTheme="majorHAnsi"/>
          <w:lang w:val="en-US"/>
        </w:rPr>
        <w:t>The tax legislation in the jurisdiction permits entities to carry back losses three tax years into the past and there is a requirement that the entity should set the losses against the most recent period possible, i.e. 20X6/20X7 first, 20X5/20X6 second and 20X4/20X5 last.</w:t>
      </w:r>
    </w:p>
    <w:p w:rsidR="00984E24" w:rsidRPr="009F75FA" w:rsidRDefault="00984E24" w:rsidP="00866390">
      <w:pPr>
        <w:pStyle w:val="NoSpacing"/>
        <w:rPr>
          <w:rFonts w:asciiTheme="majorHAnsi" w:hAnsiTheme="majorHAnsi"/>
          <w:lang w:val="en-US"/>
        </w:rPr>
      </w:pPr>
    </w:p>
    <w:p w:rsidR="00465919" w:rsidRPr="009F75FA" w:rsidRDefault="00465919" w:rsidP="00465919">
      <w:pPr>
        <w:jc w:val="both"/>
        <w:rPr>
          <w:rFonts w:asciiTheme="majorHAnsi" w:hAnsiTheme="majorHAnsi"/>
          <w:u w:val="single"/>
          <w:lang w:val="en-US"/>
        </w:rPr>
      </w:pPr>
      <w:r w:rsidRPr="009F75FA">
        <w:rPr>
          <w:rFonts w:asciiTheme="majorHAnsi" w:hAnsiTheme="majorHAnsi"/>
          <w:u w:val="single"/>
          <w:lang w:val="en-US"/>
        </w:rPr>
        <w:t>Example 1</w:t>
      </w:r>
      <w:r w:rsidR="00FF2F02" w:rsidRPr="009F75FA">
        <w:rPr>
          <w:rFonts w:asciiTheme="majorHAnsi" w:hAnsiTheme="majorHAnsi"/>
          <w:u w:val="single"/>
          <w:lang w:val="en-US"/>
        </w:rPr>
        <w:t>1</w:t>
      </w:r>
      <w:r w:rsidRPr="009F75FA">
        <w:rPr>
          <w:rFonts w:asciiTheme="majorHAnsi" w:hAnsiTheme="majorHAnsi"/>
          <w:u w:val="single"/>
          <w:lang w:val="en-US"/>
        </w:rPr>
        <w:t>: Estimate the value of deferred tax liability</w:t>
      </w:r>
    </w:p>
    <w:p w:rsidR="00465919" w:rsidRPr="009F75FA" w:rsidRDefault="00465919" w:rsidP="00465919">
      <w:pPr>
        <w:jc w:val="both"/>
        <w:rPr>
          <w:rFonts w:asciiTheme="majorHAnsi" w:hAnsiTheme="majorHAnsi"/>
          <w:lang w:val="en-US"/>
        </w:rPr>
      </w:pPr>
      <w:r w:rsidRPr="009F75FA">
        <w:rPr>
          <w:rFonts w:asciiTheme="majorHAnsi" w:hAnsiTheme="majorHAnsi"/>
          <w:lang w:val="en-US"/>
        </w:rPr>
        <w:t>An entity has an item of equipment that is depreciated faster for tax purposes than for financial reporting purposes. On 31 December 20X1 a temporary difference of CU</w:t>
      </w:r>
      <w:r w:rsidR="00F43627" w:rsidRPr="009F75FA">
        <w:rPr>
          <w:rFonts w:asciiTheme="majorHAnsi" w:hAnsiTheme="majorHAnsi"/>
          <w:lang w:val="en-US"/>
        </w:rPr>
        <w:t>2</w:t>
      </w:r>
      <w:r w:rsidRPr="009F75FA">
        <w:rPr>
          <w:rFonts w:asciiTheme="majorHAnsi" w:hAnsiTheme="majorHAnsi"/>
          <w:lang w:val="en-US"/>
        </w:rPr>
        <w:t>,000 arises related to this equipment that is expected to increase taxable profit in the future. The temporary difference is expected to reverse in five years’ time. In the entity’s jurisdiction, tax is payable</w:t>
      </w:r>
      <w:r w:rsidR="00F43627" w:rsidRPr="009F75FA">
        <w:rPr>
          <w:rFonts w:asciiTheme="majorHAnsi" w:hAnsiTheme="majorHAnsi"/>
          <w:lang w:val="en-US"/>
        </w:rPr>
        <w:t xml:space="preserve"> at 18 per cent on the first CU5</w:t>
      </w:r>
      <w:r w:rsidRPr="009F75FA">
        <w:rPr>
          <w:rFonts w:asciiTheme="majorHAnsi" w:hAnsiTheme="majorHAnsi"/>
          <w:lang w:val="en-US"/>
        </w:rPr>
        <w:t>0,000 of taxable profit earned, 2</w:t>
      </w:r>
      <w:r w:rsidR="00F43627" w:rsidRPr="009F75FA">
        <w:rPr>
          <w:rFonts w:asciiTheme="majorHAnsi" w:hAnsiTheme="majorHAnsi"/>
          <w:lang w:val="en-US"/>
        </w:rPr>
        <w:t>0</w:t>
      </w:r>
      <w:r w:rsidRPr="009F75FA">
        <w:rPr>
          <w:rFonts w:asciiTheme="majorHAnsi" w:hAnsiTheme="majorHAnsi"/>
          <w:lang w:val="en-US"/>
        </w:rPr>
        <w:t xml:space="preserve"> pe</w:t>
      </w:r>
      <w:r w:rsidR="00F43627" w:rsidRPr="009F75FA">
        <w:rPr>
          <w:rFonts w:asciiTheme="majorHAnsi" w:hAnsiTheme="majorHAnsi"/>
          <w:lang w:val="en-US"/>
        </w:rPr>
        <w:t>r cent on the next CU1</w:t>
      </w:r>
      <w:r w:rsidRPr="009F75FA">
        <w:rPr>
          <w:rFonts w:asciiTheme="majorHAnsi" w:hAnsiTheme="majorHAnsi"/>
          <w:lang w:val="en-US"/>
        </w:rPr>
        <w:t>00,000 of taxable profit ear</w:t>
      </w:r>
      <w:r w:rsidR="00F43627" w:rsidRPr="009F75FA">
        <w:rPr>
          <w:rFonts w:asciiTheme="majorHAnsi" w:hAnsiTheme="majorHAnsi"/>
          <w:lang w:val="en-US"/>
        </w:rPr>
        <w:t>ned, 24 per cent on the next CU1</w:t>
      </w:r>
      <w:r w:rsidRPr="009F75FA">
        <w:rPr>
          <w:rFonts w:asciiTheme="majorHAnsi" w:hAnsiTheme="majorHAnsi"/>
          <w:lang w:val="en-US"/>
        </w:rPr>
        <w:t xml:space="preserve">00,000 of taxable profit earned, </w:t>
      </w:r>
      <w:r w:rsidR="00F43627" w:rsidRPr="009F75FA">
        <w:rPr>
          <w:rFonts w:asciiTheme="majorHAnsi" w:hAnsiTheme="majorHAnsi"/>
          <w:lang w:val="en-US"/>
        </w:rPr>
        <w:t xml:space="preserve">26 per cent on the next CU100,000 of taxable profit earned, </w:t>
      </w:r>
      <w:r w:rsidRPr="009F75FA">
        <w:rPr>
          <w:rFonts w:asciiTheme="majorHAnsi" w:hAnsiTheme="majorHAnsi"/>
          <w:lang w:val="en-US"/>
        </w:rPr>
        <w:t>and 3</w:t>
      </w:r>
      <w:r w:rsidR="00F43627" w:rsidRPr="009F75FA">
        <w:rPr>
          <w:rFonts w:asciiTheme="majorHAnsi" w:hAnsiTheme="majorHAnsi"/>
          <w:lang w:val="en-US"/>
        </w:rPr>
        <w:t>0</w:t>
      </w:r>
      <w:r w:rsidRPr="009F75FA">
        <w:rPr>
          <w:rFonts w:asciiTheme="majorHAnsi" w:hAnsiTheme="majorHAnsi"/>
          <w:lang w:val="en-US"/>
        </w:rPr>
        <w:t xml:space="preserve"> per cent on an</w:t>
      </w:r>
      <w:r w:rsidR="00F43627" w:rsidRPr="009F75FA">
        <w:rPr>
          <w:rFonts w:asciiTheme="majorHAnsi" w:hAnsiTheme="majorHAnsi"/>
          <w:lang w:val="en-US"/>
        </w:rPr>
        <w:t>y remainder (i.e. excess above CU35</w:t>
      </w:r>
      <w:r w:rsidRPr="009F75FA">
        <w:rPr>
          <w:rFonts w:asciiTheme="majorHAnsi" w:hAnsiTheme="majorHAnsi"/>
          <w:lang w:val="en-US"/>
        </w:rPr>
        <w:t>0,000). In 20X6 the entity expec</w:t>
      </w:r>
      <w:r w:rsidR="00F43627" w:rsidRPr="009F75FA">
        <w:rPr>
          <w:rFonts w:asciiTheme="majorHAnsi" w:hAnsiTheme="majorHAnsi"/>
          <w:lang w:val="en-US"/>
        </w:rPr>
        <w:t>ts to earn taxable profit of CU50</w:t>
      </w:r>
      <w:r w:rsidRPr="009F75FA">
        <w:rPr>
          <w:rFonts w:asciiTheme="majorHAnsi" w:hAnsiTheme="majorHAnsi"/>
          <w:lang w:val="en-US"/>
        </w:rPr>
        <w:t>0,000.</w:t>
      </w:r>
    </w:p>
    <w:p w:rsidR="00465919" w:rsidRPr="009F75FA" w:rsidRDefault="00465919" w:rsidP="00465919">
      <w:pPr>
        <w:jc w:val="both"/>
        <w:rPr>
          <w:rFonts w:asciiTheme="majorHAnsi" w:hAnsiTheme="majorHAnsi"/>
          <w:lang w:val="en-US"/>
        </w:rPr>
      </w:pPr>
      <w:r w:rsidRPr="009F75FA">
        <w:rPr>
          <w:rFonts w:asciiTheme="majorHAnsi" w:hAnsiTheme="majorHAnsi"/>
          <w:lang w:val="en-US"/>
        </w:rPr>
        <w:t>What is the recognized amount of differed tax liability?</w:t>
      </w:r>
    </w:p>
    <w:p w:rsidR="00781D19" w:rsidRPr="009F75FA" w:rsidRDefault="00781D19" w:rsidP="00866390">
      <w:pPr>
        <w:jc w:val="both"/>
        <w:rPr>
          <w:rFonts w:asciiTheme="majorHAnsi" w:hAnsiTheme="majorHAnsi"/>
          <w:u w:val="single"/>
          <w:lang w:val="en-US"/>
        </w:rPr>
      </w:pPr>
      <w:r w:rsidRPr="009F75FA">
        <w:rPr>
          <w:rFonts w:asciiTheme="majorHAnsi" w:hAnsiTheme="majorHAnsi"/>
          <w:u w:val="single"/>
          <w:lang w:val="en-US"/>
        </w:rPr>
        <w:lastRenderedPageBreak/>
        <w:t>Example 1</w:t>
      </w:r>
      <w:r w:rsidR="007A3119" w:rsidRPr="009F75FA">
        <w:rPr>
          <w:rFonts w:asciiTheme="majorHAnsi" w:hAnsiTheme="majorHAnsi"/>
          <w:u w:val="single"/>
          <w:lang w:val="en-US"/>
        </w:rPr>
        <w:t>2</w:t>
      </w:r>
      <w:r w:rsidRPr="009F75FA">
        <w:rPr>
          <w:rFonts w:asciiTheme="majorHAnsi" w:hAnsiTheme="majorHAnsi"/>
          <w:u w:val="single"/>
          <w:lang w:val="en-US"/>
        </w:rPr>
        <w:t xml:space="preserve">: </w:t>
      </w:r>
      <w:r w:rsidR="00EA4407" w:rsidRPr="009F75FA">
        <w:rPr>
          <w:rFonts w:asciiTheme="majorHAnsi" w:hAnsiTheme="majorHAnsi"/>
          <w:u w:val="single"/>
          <w:lang w:val="en-US"/>
        </w:rPr>
        <w:t xml:space="preserve">Account for </w:t>
      </w:r>
      <w:r w:rsidR="003E7B91" w:rsidRPr="009F75FA">
        <w:rPr>
          <w:rFonts w:asciiTheme="majorHAnsi" w:hAnsiTheme="majorHAnsi"/>
          <w:u w:val="single"/>
          <w:lang w:val="en-US"/>
        </w:rPr>
        <w:t>a</w:t>
      </w:r>
      <w:r w:rsidR="00EA4407" w:rsidRPr="009F75FA">
        <w:rPr>
          <w:rFonts w:asciiTheme="majorHAnsi" w:hAnsiTheme="majorHAnsi"/>
          <w:u w:val="single"/>
          <w:lang w:val="en-US"/>
        </w:rPr>
        <w:t xml:space="preserve"> foreign currency transaction</w:t>
      </w:r>
    </w:p>
    <w:p w:rsidR="00781D19" w:rsidRPr="009F75FA" w:rsidRDefault="00781D19" w:rsidP="00866390">
      <w:pPr>
        <w:jc w:val="both"/>
        <w:rPr>
          <w:rFonts w:asciiTheme="majorHAnsi" w:hAnsiTheme="majorHAnsi"/>
          <w:lang w:val="en-US"/>
        </w:rPr>
      </w:pPr>
      <w:r w:rsidRPr="009F75FA">
        <w:rPr>
          <w:rFonts w:asciiTheme="majorHAnsi" w:hAnsiTheme="majorHAnsi"/>
          <w:lang w:val="en-US"/>
        </w:rPr>
        <w:t>On 24 December 20X1 an entity with a functional currency of CU buys raw materials from</w:t>
      </w:r>
      <w:r w:rsidR="00574DD5" w:rsidRPr="009F75FA">
        <w:rPr>
          <w:rFonts w:asciiTheme="majorHAnsi" w:hAnsiTheme="majorHAnsi"/>
          <w:lang w:val="en-US"/>
        </w:rPr>
        <w:t xml:space="preserve"> a supplier on credit for FCU12</w:t>
      </w:r>
      <w:r w:rsidRPr="009F75FA">
        <w:rPr>
          <w:rFonts w:asciiTheme="majorHAnsi" w:hAnsiTheme="majorHAnsi"/>
          <w:lang w:val="en-US"/>
        </w:rPr>
        <w:t>,000. The entity pays the supplier on 17 January 20X2. The entity has a financial year-end of 31 December 20X1.</w:t>
      </w:r>
    </w:p>
    <w:p w:rsidR="00781D19" w:rsidRPr="009F75FA" w:rsidRDefault="00781D19" w:rsidP="00866390">
      <w:pPr>
        <w:jc w:val="both"/>
        <w:rPr>
          <w:rFonts w:asciiTheme="majorHAnsi" w:hAnsiTheme="majorHAnsi"/>
          <w:lang w:val="en-US"/>
        </w:rPr>
      </w:pPr>
      <w:r w:rsidRPr="009F75FA">
        <w:rPr>
          <w:rFonts w:asciiTheme="majorHAnsi" w:hAnsiTheme="majorHAnsi"/>
          <w:lang w:val="en-US"/>
        </w:rPr>
        <w:t>The spot exchange rates are as follows:</w:t>
      </w:r>
    </w:p>
    <w:p w:rsidR="00781D19" w:rsidRPr="009F75FA" w:rsidRDefault="00574DD5" w:rsidP="00866390">
      <w:pPr>
        <w:pStyle w:val="ListParagraph"/>
        <w:numPr>
          <w:ilvl w:val="0"/>
          <w:numId w:val="5"/>
        </w:numPr>
        <w:jc w:val="both"/>
        <w:rPr>
          <w:rFonts w:asciiTheme="majorHAnsi" w:hAnsiTheme="majorHAnsi"/>
          <w:lang w:val="en-US"/>
        </w:rPr>
      </w:pPr>
      <w:r w:rsidRPr="009F75FA">
        <w:rPr>
          <w:rFonts w:asciiTheme="majorHAnsi" w:hAnsiTheme="majorHAnsi"/>
          <w:lang w:val="en-US"/>
        </w:rPr>
        <w:t>24 December 20X1: CU1.5</w:t>
      </w:r>
      <w:r w:rsidR="00781D19" w:rsidRPr="009F75FA">
        <w:rPr>
          <w:rFonts w:asciiTheme="majorHAnsi" w:hAnsiTheme="majorHAnsi"/>
          <w:lang w:val="en-US"/>
        </w:rPr>
        <w:t xml:space="preserve"> = FCU1</w:t>
      </w:r>
    </w:p>
    <w:p w:rsidR="00781D19" w:rsidRPr="009F75FA" w:rsidRDefault="00574DD5" w:rsidP="00866390">
      <w:pPr>
        <w:pStyle w:val="ListParagraph"/>
        <w:numPr>
          <w:ilvl w:val="0"/>
          <w:numId w:val="5"/>
        </w:numPr>
        <w:jc w:val="both"/>
        <w:rPr>
          <w:rFonts w:asciiTheme="majorHAnsi" w:hAnsiTheme="majorHAnsi"/>
          <w:lang w:val="en-US"/>
        </w:rPr>
      </w:pPr>
      <w:r w:rsidRPr="009F75FA">
        <w:rPr>
          <w:rFonts w:asciiTheme="majorHAnsi" w:hAnsiTheme="majorHAnsi"/>
          <w:lang w:val="en-US"/>
        </w:rPr>
        <w:t>31 December 20X1: CU1.7</w:t>
      </w:r>
      <w:r w:rsidR="00781D19" w:rsidRPr="009F75FA">
        <w:rPr>
          <w:rFonts w:asciiTheme="majorHAnsi" w:hAnsiTheme="majorHAnsi"/>
          <w:lang w:val="en-US"/>
        </w:rPr>
        <w:t xml:space="preserve"> = FCU1</w:t>
      </w:r>
    </w:p>
    <w:p w:rsidR="00781D19" w:rsidRPr="009F75FA" w:rsidRDefault="00574DD5" w:rsidP="00866390">
      <w:pPr>
        <w:pStyle w:val="ListParagraph"/>
        <w:numPr>
          <w:ilvl w:val="0"/>
          <w:numId w:val="5"/>
        </w:numPr>
        <w:jc w:val="both"/>
        <w:rPr>
          <w:rFonts w:asciiTheme="majorHAnsi" w:hAnsiTheme="majorHAnsi"/>
          <w:lang w:val="en-US"/>
        </w:rPr>
      </w:pPr>
      <w:r w:rsidRPr="009F75FA">
        <w:rPr>
          <w:rFonts w:asciiTheme="majorHAnsi" w:hAnsiTheme="majorHAnsi"/>
          <w:lang w:val="en-US"/>
        </w:rPr>
        <w:t>17 January 20X2: CU1.6</w:t>
      </w:r>
      <w:r w:rsidR="00781D19" w:rsidRPr="009F75FA">
        <w:rPr>
          <w:rFonts w:asciiTheme="majorHAnsi" w:hAnsiTheme="majorHAnsi"/>
          <w:lang w:val="en-US"/>
        </w:rPr>
        <w:t xml:space="preserve"> = FCU1</w:t>
      </w:r>
    </w:p>
    <w:p w:rsidR="003C5C5E" w:rsidRPr="00DC056A" w:rsidRDefault="00781D19" w:rsidP="00866390">
      <w:pPr>
        <w:jc w:val="both"/>
        <w:rPr>
          <w:rFonts w:asciiTheme="majorHAnsi" w:hAnsiTheme="majorHAnsi"/>
          <w:lang w:val="en-US"/>
        </w:rPr>
      </w:pPr>
      <w:r w:rsidRPr="009F75FA">
        <w:rPr>
          <w:rFonts w:asciiTheme="majorHAnsi" w:hAnsiTheme="majorHAnsi"/>
          <w:lang w:val="en-US"/>
        </w:rPr>
        <w:t>What is the recognized amount of purchase of inventories? How it should be accounted for?</w:t>
      </w:r>
      <w:bookmarkStart w:id="0" w:name="_GoBack"/>
      <w:bookmarkEnd w:id="0"/>
    </w:p>
    <w:sectPr w:rsidR="003C5C5E" w:rsidRPr="00DC056A" w:rsidSect="00D15C2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E8" w:rsidRDefault="009C7EE8" w:rsidP="00866390">
      <w:pPr>
        <w:spacing w:after="0" w:line="240" w:lineRule="auto"/>
      </w:pPr>
      <w:r>
        <w:separator/>
      </w:r>
    </w:p>
  </w:endnote>
  <w:endnote w:type="continuationSeparator" w:id="0">
    <w:p w:rsidR="009C7EE8" w:rsidRDefault="009C7EE8" w:rsidP="0086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E8" w:rsidRDefault="009C7EE8" w:rsidP="00866390">
      <w:pPr>
        <w:spacing w:after="0" w:line="240" w:lineRule="auto"/>
      </w:pPr>
      <w:r>
        <w:separator/>
      </w:r>
    </w:p>
  </w:footnote>
  <w:footnote w:type="continuationSeparator" w:id="0">
    <w:p w:rsidR="009C7EE8" w:rsidRDefault="009C7EE8" w:rsidP="00866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12CBA"/>
    <w:multiLevelType w:val="hybridMultilevel"/>
    <w:tmpl w:val="1B0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A1C01"/>
    <w:multiLevelType w:val="hybridMultilevel"/>
    <w:tmpl w:val="FA4AAF20"/>
    <w:lvl w:ilvl="0" w:tplc="4180169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80ADC"/>
    <w:multiLevelType w:val="hybridMultilevel"/>
    <w:tmpl w:val="8BFC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74FDB"/>
    <w:multiLevelType w:val="hybridMultilevel"/>
    <w:tmpl w:val="BB42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C2048"/>
    <w:multiLevelType w:val="hybridMultilevel"/>
    <w:tmpl w:val="53F2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75C3A"/>
    <w:multiLevelType w:val="hybridMultilevel"/>
    <w:tmpl w:val="C28E49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51B51"/>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00166"/>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A7A39"/>
    <w:multiLevelType w:val="hybridMultilevel"/>
    <w:tmpl w:val="553A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E3CA5"/>
    <w:multiLevelType w:val="hybridMultilevel"/>
    <w:tmpl w:val="AB8E11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FA2E29"/>
    <w:multiLevelType w:val="hybridMultilevel"/>
    <w:tmpl w:val="4FF4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0"/>
  </w:num>
  <w:num w:numId="7">
    <w:abstractNumId w:val="9"/>
  </w:num>
  <w:num w:numId="8">
    <w:abstractNumId w:val="7"/>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5F"/>
    <w:rsid w:val="000D56CA"/>
    <w:rsid w:val="00122E1B"/>
    <w:rsid w:val="001D5261"/>
    <w:rsid w:val="0038713F"/>
    <w:rsid w:val="00391CF3"/>
    <w:rsid w:val="003C5C5E"/>
    <w:rsid w:val="003E7B91"/>
    <w:rsid w:val="00465919"/>
    <w:rsid w:val="004978AD"/>
    <w:rsid w:val="00574DD5"/>
    <w:rsid w:val="00614611"/>
    <w:rsid w:val="00657880"/>
    <w:rsid w:val="00676C51"/>
    <w:rsid w:val="00781D19"/>
    <w:rsid w:val="007A3119"/>
    <w:rsid w:val="007B515F"/>
    <w:rsid w:val="007E644B"/>
    <w:rsid w:val="008332A9"/>
    <w:rsid w:val="00866390"/>
    <w:rsid w:val="008B3779"/>
    <w:rsid w:val="008B6C9A"/>
    <w:rsid w:val="008D3A81"/>
    <w:rsid w:val="008E4C98"/>
    <w:rsid w:val="008F51AC"/>
    <w:rsid w:val="00984E24"/>
    <w:rsid w:val="009A54ED"/>
    <w:rsid w:val="009C7EE8"/>
    <w:rsid w:val="009D110E"/>
    <w:rsid w:val="009F5781"/>
    <w:rsid w:val="009F75FA"/>
    <w:rsid w:val="00A1054C"/>
    <w:rsid w:val="00A4393C"/>
    <w:rsid w:val="00A608F0"/>
    <w:rsid w:val="00A64C5A"/>
    <w:rsid w:val="00A76153"/>
    <w:rsid w:val="00A908D2"/>
    <w:rsid w:val="00B468ED"/>
    <w:rsid w:val="00BD316A"/>
    <w:rsid w:val="00C161ED"/>
    <w:rsid w:val="00D06322"/>
    <w:rsid w:val="00D156EB"/>
    <w:rsid w:val="00D15C24"/>
    <w:rsid w:val="00D81DB5"/>
    <w:rsid w:val="00D82EEE"/>
    <w:rsid w:val="00D97256"/>
    <w:rsid w:val="00DC056A"/>
    <w:rsid w:val="00DD3665"/>
    <w:rsid w:val="00E444B3"/>
    <w:rsid w:val="00E94BF2"/>
    <w:rsid w:val="00EA4407"/>
    <w:rsid w:val="00F43627"/>
    <w:rsid w:val="00F66210"/>
    <w:rsid w:val="00FB19E0"/>
    <w:rsid w:val="00FB5182"/>
    <w:rsid w:val="00FE26B9"/>
    <w:rsid w:val="00FE35E7"/>
    <w:rsid w:val="00F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09A62-AA6A-46AA-ADA1-FE75CC54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15F"/>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ListParagraph">
    <w:name w:val="List Paragraph"/>
    <w:basedOn w:val="Normal"/>
    <w:uiPriority w:val="34"/>
    <w:qFormat/>
    <w:rsid w:val="007B515F"/>
    <w:pPr>
      <w:ind w:left="720"/>
      <w:contextualSpacing/>
    </w:pPr>
  </w:style>
  <w:style w:type="paragraph" w:styleId="NoSpacing">
    <w:name w:val="No Spacing"/>
    <w:uiPriority w:val="1"/>
    <w:qFormat/>
    <w:rsid w:val="007B515F"/>
    <w:pPr>
      <w:spacing w:after="0" w:line="240" w:lineRule="auto"/>
    </w:pPr>
    <w:rPr>
      <w:lang w:val="cs-CZ"/>
    </w:rPr>
  </w:style>
  <w:style w:type="table" w:styleId="TableGrid">
    <w:name w:val="Table Grid"/>
    <w:basedOn w:val="TableNormal"/>
    <w:uiPriority w:val="59"/>
    <w:rsid w:val="0098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663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390"/>
    <w:rPr>
      <w:lang w:val="cs-CZ"/>
    </w:rPr>
  </w:style>
  <w:style w:type="paragraph" w:styleId="Footer">
    <w:name w:val="footer"/>
    <w:basedOn w:val="Normal"/>
    <w:link w:val="FooterChar"/>
    <w:uiPriority w:val="99"/>
    <w:semiHidden/>
    <w:unhideWhenUsed/>
    <w:rsid w:val="008663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390"/>
    <w:rPr>
      <w:lang w:val="cs-CZ"/>
    </w:rPr>
  </w:style>
  <w:style w:type="paragraph" w:customStyle="1" w:styleId="IFRS">
    <w:name w:val="IFRS"/>
    <w:basedOn w:val="Normal"/>
    <w:qFormat/>
    <w:rsid w:val="00DC056A"/>
    <w:pPr>
      <w:jc w:val="center"/>
    </w:pPr>
    <w:rPr>
      <w:rFonts w:asciiTheme="majorHAnsi" w:eastAsia="Calibri" w:hAnsiTheme="majorHAnsi"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8441">
      <w:bodyDiv w:val="1"/>
      <w:marLeft w:val="0"/>
      <w:marRight w:val="0"/>
      <w:marTop w:val="0"/>
      <w:marBottom w:val="0"/>
      <w:divBdr>
        <w:top w:val="none" w:sz="0" w:space="0" w:color="auto"/>
        <w:left w:val="none" w:sz="0" w:space="0" w:color="auto"/>
        <w:bottom w:val="none" w:sz="0" w:space="0" w:color="auto"/>
        <w:right w:val="none" w:sz="0" w:space="0" w:color="auto"/>
      </w:divBdr>
    </w:div>
    <w:div w:id="469708207">
      <w:bodyDiv w:val="1"/>
      <w:marLeft w:val="0"/>
      <w:marRight w:val="0"/>
      <w:marTop w:val="0"/>
      <w:marBottom w:val="0"/>
      <w:divBdr>
        <w:top w:val="none" w:sz="0" w:space="0" w:color="auto"/>
        <w:left w:val="none" w:sz="0" w:space="0" w:color="auto"/>
        <w:bottom w:val="none" w:sz="0" w:space="0" w:color="auto"/>
        <w:right w:val="none" w:sz="0" w:space="0" w:color="auto"/>
      </w:divBdr>
    </w:div>
    <w:div w:id="673193374">
      <w:bodyDiv w:val="1"/>
      <w:marLeft w:val="0"/>
      <w:marRight w:val="0"/>
      <w:marTop w:val="0"/>
      <w:marBottom w:val="0"/>
      <w:divBdr>
        <w:top w:val="none" w:sz="0" w:space="0" w:color="auto"/>
        <w:left w:val="none" w:sz="0" w:space="0" w:color="auto"/>
        <w:bottom w:val="none" w:sz="0" w:space="0" w:color="auto"/>
        <w:right w:val="none" w:sz="0" w:space="0" w:color="auto"/>
      </w:divBdr>
    </w:div>
    <w:div w:id="707461390">
      <w:bodyDiv w:val="1"/>
      <w:marLeft w:val="0"/>
      <w:marRight w:val="0"/>
      <w:marTop w:val="0"/>
      <w:marBottom w:val="0"/>
      <w:divBdr>
        <w:top w:val="none" w:sz="0" w:space="0" w:color="auto"/>
        <w:left w:val="none" w:sz="0" w:space="0" w:color="auto"/>
        <w:bottom w:val="none" w:sz="0" w:space="0" w:color="auto"/>
        <w:right w:val="none" w:sz="0" w:space="0" w:color="auto"/>
      </w:divBdr>
    </w:div>
    <w:div w:id="1129127354">
      <w:bodyDiv w:val="1"/>
      <w:marLeft w:val="0"/>
      <w:marRight w:val="0"/>
      <w:marTop w:val="0"/>
      <w:marBottom w:val="0"/>
      <w:divBdr>
        <w:top w:val="none" w:sz="0" w:space="0" w:color="auto"/>
        <w:left w:val="none" w:sz="0" w:space="0" w:color="auto"/>
        <w:bottom w:val="none" w:sz="0" w:space="0" w:color="auto"/>
        <w:right w:val="none" w:sz="0" w:space="0" w:color="auto"/>
      </w:divBdr>
    </w:div>
    <w:div w:id="1190723841">
      <w:bodyDiv w:val="1"/>
      <w:marLeft w:val="0"/>
      <w:marRight w:val="0"/>
      <w:marTop w:val="0"/>
      <w:marBottom w:val="0"/>
      <w:divBdr>
        <w:top w:val="none" w:sz="0" w:space="0" w:color="auto"/>
        <w:left w:val="none" w:sz="0" w:space="0" w:color="auto"/>
        <w:bottom w:val="none" w:sz="0" w:space="0" w:color="auto"/>
        <w:right w:val="none" w:sz="0" w:space="0" w:color="auto"/>
      </w:divBdr>
    </w:div>
    <w:div w:id="1307394266">
      <w:bodyDiv w:val="1"/>
      <w:marLeft w:val="0"/>
      <w:marRight w:val="0"/>
      <w:marTop w:val="0"/>
      <w:marBottom w:val="0"/>
      <w:divBdr>
        <w:top w:val="none" w:sz="0" w:space="0" w:color="auto"/>
        <w:left w:val="none" w:sz="0" w:space="0" w:color="auto"/>
        <w:bottom w:val="none" w:sz="0" w:space="0" w:color="auto"/>
        <w:right w:val="none" w:sz="0" w:space="0" w:color="auto"/>
      </w:divBdr>
    </w:div>
    <w:div w:id="1386752823">
      <w:bodyDiv w:val="1"/>
      <w:marLeft w:val="0"/>
      <w:marRight w:val="0"/>
      <w:marTop w:val="0"/>
      <w:marBottom w:val="0"/>
      <w:divBdr>
        <w:top w:val="none" w:sz="0" w:space="0" w:color="auto"/>
        <w:left w:val="none" w:sz="0" w:space="0" w:color="auto"/>
        <w:bottom w:val="none" w:sz="0" w:space="0" w:color="auto"/>
        <w:right w:val="none" w:sz="0" w:space="0" w:color="auto"/>
      </w:divBdr>
    </w:div>
    <w:div w:id="1496605924">
      <w:bodyDiv w:val="1"/>
      <w:marLeft w:val="0"/>
      <w:marRight w:val="0"/>
      <w:marTop w:val="0"/>
      <w:marBottom w:val="0"/>
      <w:divBdr>
        <w:top w:val="none" w:sz="0" w:space="0" w:color="auto"/>
        <w:left w:val="none" w:sz="0" w:space="0" w:color="auto"/>
        <w:bottom w:val="none" w:sz="0" w:space="0" w:color="auto"/>
        <w:right w:val="none" w:sz="0" w:space="0" w:color="auto"/>
      </w:divBdr>
    </w:div>
    <w:div w:id="1496994208">
      <w:bodyDiv w:val="1"/>
      <w:marLeft w:val="0"/>
      <w:marRight w:val="0"/>
      <w:marTop w:val="0"/>
      <w:marBottom w:val="0"/>
      <w:divBdr>
        <w:top w:val="none" w:sz="0" w:space="0" w:color="auto"/>
        <w:left w:val="none" w:sz="0" w:space="0" w:color="auto"/>
        <w:bottom w:val="none" w:sz="0" w:space="0" w:color="auto"/>
        <w:right w:val="none" w:sz="0" w:space="0" w:color="auto"/>
      </w:divBdr>
    </w:div>
    <w:div w:id="1580360568">
      <w:bodyDiv w:val="1"/>
      <w:marLeft w:val="0"/>
      <w:marRight w:val="0"/>
      <w:marTop w:val="0"/>
      <w:marBottom w:val="0"/>
      <w:divBdr>
        <w:top w:val="none" w:sz="0" w:space="0" w:color="auto"/>
        <w:left w:val="none" w:sz="0" w:space="0" w:color="auto"/>
        <w:bottom w:val="none" w:sz="0" w:space="0" w:color="auto"/>
        <w:right w:val="none" w:sz="0" w:space="0" w:color="auto"/>
      </w:divBdr>
    </w:div>
    <w:div w:id="1740977667">
      <w:bodyDiv w:val="1"/>
      <w:marLeft w:val="0"/>
      <w:marRight w:val="0"/>
      <w:marTop w:val="0"/>
      <w:marBottom w:val="0"/>
      <w:divBdr>
        <w:top w:val="none" w:sz="0" w:space="0" w:color="auto"/>
        <w:left w:val="none" w:sz="0" w:space="0" w:color="auto"/>
        <w:bottom w:val="none" w:sz="0" w:space="0" w:color="auto"/>
        <w:right w:val="none" w:sz="0" w:space="0" w:color="auto"/>
      </w:divBdr>
    </w:div>
    <w:div w:id="1829592987">
      <w:bodyDiv w:val="1"/>
      <w:marLeft w:val="0"/>
      <w:marRight w:val="0"/>
      <w:marTop w:val="0"/>
      <w:marBottom w:val="0"/>
      <w:divBdr>
        <w:top w:val="none" w:sz="0" w:space="0" w:color="auto"/>
        <w:left w:val="none" w:sz="0" w:space="0" w:color="auto"/>
        <w:bottom w:val="none" w:sz="0" w:space="0" w:color="auto"/>
        <w:right w:val="none" w:sz="0" w:space="0" w:color="auto"/>
      </w:divBdr>
    </w:div>
    <w:div w:id="1973552893">
      <w:bodyDiv w:val="1"/>
      <w:marLeft w:val="0"/>
      <w:marRight w:val="0"/>
      <w:marTop w:val="0"/>
      <w:marBottom w:val="0"/>
      <w:divBdr>
        <w:top w:val="none" w:sz="0" w:space="0" w:color="auto"/>
        <w:left w:val="none" w:sz="0" w:space="0" w:color="auto"/>
        <w:bottom w:val="none" w:sz="0" w:space="0" w:color="auto"/>
        <w:right w:val="none" w:sz="0" w:space="0" w:color="auto"/>
      </w:divBdr>
    </w:div>
    <w:div w:id="1999111753">
      <w:bodyDiv w:val="1"/>
      <w:marLeft w:val="0"/>
      <w:marRight w:val="0"/>
      <w:marTop w:val="0"/>
      <w:marBottom w:val="0"/>
      <w:divBdr>
        <w:top w:val="none" w:sz="0" w:space="0" w:color="auto"/>
        <w:left w:val="none" w:sz="0" w:space="0" w:color="auto"/>
        <w:bottom w:val="none" w:sz="0" w:space="0" w:color="auto"/>
        <w:right w:val="none" w:sz="0" w:space="0" w:color="auto"/>
      </w:divBdr>
    </w:div>
    <w:div w:id="21178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8730</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3</cp:revision>
  <dcterms:created xsi:type="dcterms:W3CDTF">2017-12-03T15:42:00Z</dcterms:created>
  <dcterms:modified xsi:type="dcterms:W3CDTF">2017-12-03T20:02:00Z</dcterms:modified>
</cp:coreProperties>
</file>