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A7A0C" w14:textId="77777777" w:rsidR="007D461F" w:rsidRDefault="007D461F" w:rsidP="007D461F">
      <w:pPr>
        <w:jc w:val="center"/>
        <w:rPr>
          <w:b/>
          <w:sz w:val="28"/>
          <w:szCs w:val="28"/>
          <w:u w:val="single"/>
        </w:rPr>
      </w:pPr>
      <w:r>
        <w:rPr>
          <w:b/>
          <w:sz w:val="28"/>
          <w:u w:val="single"/>
        </w:rPr>
        <w:t>Obecné nařízení o blokových výjimkách (nařízení č. 651/2014) – pracovní dokument</w:t>
      </w:r>
    </w:p>
    <w:p w14:paraId="71F8E61A" w14:textId="77777777" w:rsidR="0012665D" w:rsidRDefault="00571298" w:rsidP="000C51C2">
      <w:pPr>
        <w:jc w:val="center"/>
      </w:pPr>
      <w:r>
        <w:rPr>
          <w:b/>
          <w:sz w:val="28"/>
          <w:u w:val="single"/>
        </w:rPr>
        <w:t xml:space="preserve">Regionální podpora  </w:t>
      </w:r>
    </w:p>
    <w:p w14:paraId="74A068EE" w14:textId="77777777" w:rsidR="007D461F" w:rsidRDefault="007D461F">
      <w:r>
        <w:t xml:space="preserve">Za prvé by se měly zkontrolovat obecné podmínky použití obecného nařízení o blokových výjimkách (dvanáct podmínek; články 1 až 12), JAKOŽ I podmínky týkající se regionální podpory. </w:t>
      </w:r>
    </w:p>
    <w:p w14:paraId="48E66B78" w14:textId="77777777" w:rsidR="007D461F" w:rsidRDefault="007D461F"/>
    <w:p w14:paraId="4AB5C1EB" w14:textId="77777777" w:rsidR="007D461F" w:rsidRPr="00404CBC" w:rsidRDefault="007D461F" w:rsidP="007D461F">
      <w:pPr>
        <w:jc w:val="center"/>
        <w:rPr>
          <w:b/>
          <w:sz w:val="28"/>
          <w:szCs w:val="28"/>
          <w:u w:val="single"/>
        </w:rPr>
      </w:pPr>
      <w:r>
        <w:rPr>
          <w:b/>
          <w:sz w:val="28"/>
          <w:u w:val="single"/>
        </w:rPr>
        <w:t>A. Obecné podmínky použití.</w:t>
      </w:r>
    </w:p>
    <w:p w14:paraId="39DD40B8" w14:textId="77777777" w:rsidR="007D461F" w:rsidRDefault="007D461F" w:rsidP="007D461F">
      <w:pPr>
        <w:ind w:left="-360" w:right="-134"/>
        <w:jc w:val="both"/>
      </w:pPr>
    </w:p>
    <w:p w14:paraId="78089F58" w14:textId="77777777" w:rsidR="007D461F" w:rsidRPr="00161B88" w:rsidRDefault="007D461F" w:rsidP="007D461F"/>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2"/>
        <w:gridCol w:w="2130"/>
      </w:tblGrid>
      <w:tr w:rsidR="00E442B2" w:rsidRPr="00BB2CA7" w14:paraId="326E8F00" w14:textId="77777777" w:rsidTr="00E442B2">
        <w:trPr>
          <w:trHeight w:val="145"/>
        </w:trPr>
        <w:tc>
          <w:tcPr>
            <w:tcW w:w="12482" w:type="dxa"/>
            <w:tcBorders>
              <w:bottom w:val="single" w:sz="4" w:space="0" w:color="auto"/>
            </w:tcBorders>
            <w:shd w:val="clear" w:color="auto" w:fill="333399"/>
          </w:tcPr>
          <w:p w14:paraId="7DD5DE43" w14:textId="77777777" w:rsidR="000E10AB" w:rsidRPr="00BB2CA7" w:rsidRDefault="00593387" w:rsidP="00C5368A">
            <w:pPr>
              <w:tabs>
                <w:tab w:val="center" w:pos="3549"/>
              </w:tabs>
              <w:ind w:left="360"/>
              <w:rPr>
                <w:b/>
                <w:smallCaps/>
                <w:color w:val="FFFFFF"/>
                <w:sz w:val="28"/>
                <w:szCs w:val="28"/>
              </w:rPr>
            </w:pPr>
            <w:r>
              <w:tab/>
            </w:r>
            <w:r>
              <w:rPr>
                <w:b/>
                <w:smallCaps/>
                <w:color w:val="FFFFFF"/>
                <w:sz w:val="28"/>
              </w:rPr>
              <w:t>Obecné podmínky slučitelnosti</w:t>
            </w:r>
          </w:p>
        </w:tc>
        <w:tc>
          <w:tcPr>
            <w:tcW w:w="2130" w:type="dxa"/>
            <w:shd w:val="clear" w:color="auto" w:fill="333399"/>
          </w:tcPr>
          <w:p w14:paraId="10BCB4BE" w14:textId="77777777" w:rsidR="000E10AB" w:rsidRPr="00BB2CA7" w:rsidRDefault="000E10AB" w:rsidP="00BB2CA7">
            <w:pPr>
              <w:jc w:val="center"/>
              <w:rPr>
                <w:b/>
                <w:smallCaps/>
                <w:color w:val="FFFFFF"/>
                <w:sz w:val="28"/>
                <w:szCs w:val="28"/>
              </w:rPr>
            </w:pPr>
            <w:r>
              <w:rPr>
                <w:b/>
                <w:smallCaps/>
                <w:color w:val="FFFFFF"/>
                <w:sz w:val="28"/>
              </w:rPr>
              <w:t>Kontrola souladu (souhlasí?)</w:t>
            </w:r>
          </w:p>
        </w:tc>
      </w:tr>
      <w:tr w:rsidR="00E442B2" w:rsidRPr="0017445D" w14:paraId="0AC3CA0C" w14:textId="77777777" w:rsidTr="00E442B2">
        <w:trPr>
          <w:trHeight w:val="145"/>
        </w:trPr>
        <w:tc>
          <w:tcPr>
            <w:tcW w:w="12482" w:type="dxa"/>
            <w:shd w:val="clear" w:color="auto" w:fill="D9D9D9"/>
          </w:tcPr>
          <w:p w14:paraId="5670D2C2" w14:textId="77777777" w:rsidR="000E10AB" w:rsidRPr="009F530E" w:rsidRDefault="000E10AB" w:rsidP="00772B86">
            <w:pPr>
              <w:rPr>
                <w:b/>
                <w:sz w:val="22"/>
                <w:szCs w:val="22"/>
              </w:rPr>
            </w:pPr>
            <w:r>
              <w:rPr>
                <w:b/>
                <w:sz w:val="22"/>
              </w:rPr>
              <w:t>Ustanovení čl. 1 odst. 2 – Vyloučení některých činností nebo podpor překračujících určitou částku</w:t>
            </w:r>
          </w:p>
        </w:tc>
        <w:tc>
          <w:tcPr>
            <w:tcW w:w="2130" w:type="dxa"/>
            <w:vMerge w:val="restart"/>
            <w:shd w:val="clear" w:color="auto" w:fill="auto"/>
          </w:tcPr>
          <w:p w14:paraId="41523B90" w14:textId="77777777" w:rsidR="000E10AB" w:rsidRPr="0017445D" w:rsidRDefault="000E10AB" w:rsidP="00867005"/>
        </w:tc>
      </w:tr>
      <w:tr w:rsidR="00E442B2" w:rsidRPr="0017445D" w14:paraId="3B25FB16" w14:textId="77777777" w:rsidTr="00E442B2">
        <w:trPr>
          <w:trHeight w:val="145"/>
        </w:trPr>
        <w:tc>
          <w:tcPr>
            <w:tcW w:w="12482" w:type="dxa"/>
            <w:tcBorders>
              <w:bottom w:val="single" w:sz="4" w:space="0" w:color="auto"/>
            </w:tcBorders>
            <w:shd w:val="clear" w:color="auto" w:fill="auto"/>
          </w:tcPr>
          <w:p w14:paraId="142AF3D2" w14:textId="77777777" w:rsidR="000E10AB" w:rsidRPr="009F530E" w:rsidRDefault="000E10AB" w:rsidP="00BB2CA7">
            <w:pPr>
              <w:jc w:val="both"/>
              <w:rPr>
                <w:sz w:val="22"/>
                <w:szCs w:val="22"/>
              </w:rPr>
            </w:pPr>
            <w:r>
              <w:rPr>
                <w:b/>
                <w:sz w:val="22"/>
                <w:u w:val="single"/>
              </w:rPr>
              <w:t>Nepoužije</w:t>
            </w:r>
            <w:r>
              <w:rPr>
                <w:sz w:val="22"/>
              </w:rPr>
              <w:t xml:space="preserve"> se na:</w:t>
            </w:r>
          </w:p>
          <w:p w14:paraId="4ED88160" w14:textId="77777777" w:rsidR="000E10AB" w:rsidRPr="009F530E" w:rsidRDefault="00AB57BD" w:rsidP="00D177B0">
            <w:pPr>
              <w:numPr>
                <w:ilvl w:val="0"/>
                <w:numId w:val="1"/>
              </w:numPr>
              <w:tabs>
                <w:tab w:val="num" w:pos="328"/>
              </w:tabs>
              <w:ind w:left="328" w:hanging="283"/>
              <w:jc w:val="both"/>
              <w:rPr>
                <w:color w:val="FF0000"/>
              </w:rPr>
            </w:pPr>
            <w:r>
              <w:rPr>
                <w:sz w:val="22"/>
              </w:rPr>
              <w:t xml:space="preserve">režimy regionální podpory (s výjimkou článku 15) s průměrným ročním rozpočtem státní podpory překračujícím 150 milionů EUR, a to po uplynutí šesti měsíců od jejich vstupu v platnost (toto nařízení se bude používat na jakýkoli z těchto režimů podpory i po uplynutí delšího období, a to na základě hodnocení příslušného plánu hodnocení, který byl Komisi oznámen členským státem do 20 pracovních dní </w:t>
            </w:r>
            <w:r>
              <w:t xml:space="preserve">od vstupu daného režimu v platnost); </w:t>
            </w:r>
          </w:p>
          <w:p w14:paraId="62E821A8" w14:textId="77777777" w:rsidR="000E10AB" w:rsidRPr="009F530E" w:rsidRDefault="000E10AB" w:rsidP="009F530E">
            <w:pPr>
              <w:numPr>
                <w:ilvl w:val="0"/>
                <w:numId w:val="1"/>
              </w:numPr>
              <w:tabs>
                <w:tab w:val="num" w:pos="328"/>
              </w:tabs>
              <w:ind w:left="328" w:hanging="283"/>
              <w:jc w:val="both"/>
              <w:rPr>
                <w:sz w:val="22"/>
                <w:szCs w:val="22"/>
              </w:rPr>
            </w:pPr>
            <w:r>
              <w:rPr>
                <w:sz w:val="22"/>
              </w:rPr>
              <w:t>veškeré změny výše uvedených režimů, jestliže se nejedná o změny, které nemohou mít dopad na slučitelnost režimu podpory s tímto nařízením nebo nemohou významně ovlivnit obsah schváleného plánu hodnocení;</w:t>
            </w:r>
          </w:p>
          <w:p w14:paraId="7E600571" w14:textId="77777777" w:rsidR="000E10AB" w:rsidRPr="009F530E" w:rsidRDefault="000E10AB" w:rsidP="00D177B0">
            <w:pPr>
              <w:numPr>
                <w:ilvl w:val="0"/>
                <w:numId w:val="1"/>
              </w:numPr>
              <w:tabs>
                <w:tab w:val="num" w:pos="328"/>
              </w:tabs>
              <w:ind w:left="328" w:hanging="283"/>
              <w:jc w:val="both"/>
              <w:rPr>
                <w:sz w:val="22"/>
                <w:szCs w:val="22"/>
              </w:rPr>
            </w:pPr>
            <w:r>
              <w:rPr>
                <w:sz w:val="22"/>
              </w:rPr>
              <w:t>podporu činností souvisejících s </w:t>
            </w:r>
            <w:r>
              <w:rPr>
                <w:b/>
                <w:sz w:val="22"/>
              </w:rPr>
              <w:t>vývozem</w:t>
            </w:r>
            <w:r>
              <w:rPr>
                <w:sz w:val="22"/>
              </w:rPr>
              <w:t xml:space="preserve">; </w:t>
            </w:r>
          </w:p>
          <w:p w14:paraId="44BDB0F8" w14:textId="77777777" w:rsidR="000E10AB" w:rsidRPr="009F530E" w:rsidRDefault="000E10AB" w:rsidP="009F530E">
            <w:pPr>
              <w:numPr>
                <w:ilvl w:val="0"/>
                <w:numId w:val="1"/>
              </w:numPr>
              <w:tabs>
                <w:tab w:val="num" w:pos="328"/>
              </w:tabs>
              <w:ind w:left="328" w:hanging="283"/>
              <w:jc w:val="both"/>
              <w:rPr>
                <w:sz w:val="22"/>
                <w:szCs w:val="22"/>
              </w:rPr>
            </w:pPr>
            <w:r>
              <w:rPr>
                <w:sz w:val="22"/>
              </w:rPr>
              <w:t xml:space="preserve">podporu </w:t>
            </w:r>
            <w:r>
              <w:rPr>
                <w:b/>
                <w:sz w:val="22"/>
              </w:rPr>
              <w:t>podmíněnou použitím domácího zboží</w:t>
            </w:r>
            <w:r>
              <w:rPr>
                <w:sz w:val="22"/>
              </w:rPr>
              <w:t xml:space="preserve"> na úkor zboží dováženého.</w:t>
            </w:r>
          </w:p>
        </w:tc>
        <w:tc>
          <w:tcPr>
            <w:tcW w:w="2130" w:type="dxa"/>
            <w:vMerge/>
            <w:shd w:val="clear" w:color="auto" w:fill="auto"/>
          </w:tcPr>
          <w:p w14:paraId="3C3AE9BE" w14:textId="77777777" w:rsidR="000E10AB" w:rsidRPr="0017445D" w:rsidRDefault="000E10AB" w:rsidP="00867005"/>
        </w:tc>
      </w:tr>
      <w:tr w:rsidR="00E442B2" w:rsidRPr="0017445D" w14:paraId="5C8833A2" w14:textId="77777777" w:rsidTr="00E442B2">
        <w:trPr>
          <w:trHeight w:val="145"/>
        </w:trPr>
        <w:tc>
          <w:tcPr>
            <w:tcW w:w="12482" w:type="dxa"/>
            <w:shd w:val="clear" w:color="auto" w:fill="D9D9D9"/>
          </w:tcPr>
          <w:p w14:paraId="3B1E4566" w14:textId="77777777" w:rsidR="000E10AB" w:rsidRPr="009F530E" w:rsidRDefault="000E10AB" w:rsidP="006250A2">
            <w:pPr>
              <w:jc w:val="both"/>
              <w:rPr>
                <w:b/>
                <w:sz w:val="22"/>
                <w:szCs w:val="22"/>
              </w:rPr>
            </w:pPr>
            <w:r>
              <w:rPr>
                <w:b/>
                <w:sz w:val="22"/>
              </w:rPr>
              <w:t xml:space="preserve">Ustanovení čl. 1 odst. 3 a článku 13 – Vyloučení některých odvětví </w:t>
            </w:r>
          </w:p>
        </w:tc>
        <w:tc>
          <w:tcPr>
            <w:tcW w:w="2130" w:type="dxa"/>
            <w:vMerge w:val="restart"/>
            <w:shd w:val="clear" w:color="auto" w:fill="auto"/>
          </w:tcPr>
          <w:p w14:paraId="13591BB2" w14:textId="77777777" w:rsidR="000E10AB" w:rsidRPr="0017445D" w:rsidRDefault="000E10AB" w:rsidP="00867005"/>
        </w:tc>
      </w:tr>
      <w:tr w:rsidR="00E442B2" w:rsidRPr="0017445D" w14:paraId="1E2BE282" w14:textId="77777777" w:rsidTr="00E442B2">
        <w:trPr>
          <w:trHeight w:val="145"/>
        </w:trPr>
        <w:tc>
          <w:tcPr>
            <w:tcW w:w="12482" w:type="dxa"/>
            <w:tcBorders>
              <w:bottom w:val="single" w:sz="4" w:space="0" w:color="auto"/>
            </w:tcBorders>
            <w:shd w:val="clear" w:color="auto" w:fill="auto"/>
          </w:tcPr>
          <w:p w14:paraId="7031C1FD" w14:textId="77777777" w:rsidR="00772B86" w:rsidRPr="009F530E" w:rsidRDefault="00772B86" w:rsidP="009F530E">
            <w:pPr>
              <w:jc w:val="both"/>
              <w:rPr>
                <w:sz w:val="22"/>
                <w:szCs w:val="22"/>
              </w:rPr>
            </w:pPr>
            <w:bookmarkStart w:id="0" w:name="_GoBack"/>
            <w:r>
              <w:rPr>
                <w:sz w:val="22"/>
              </w:rPr>
              <w:t xml:space="preserve">Ustanovení čl. 1 odst. 3: </w:t>
            </w:r>
            <w:r>
              <w:rPr>
                <w:b/>
                <w:sz w:val="22"/>
                <w:u w:val="single"/>
              </w:rPr>
              <w:t>nepoužije</w:t>
            </w:r>
            <w:r>
              <w:rPr>
                <w:sz w:val="22"/>
              </w:rPr>
              <w:t xml:space="preserve"> se:</w:t>
            </w:r>
          </w:p>
          <w:p w14:paraId="3FEBF594" w14:textId="77777777" w:rsidR="000E10AB" w:rsidRPr="00EF2B54" w:rsidRDefault="000E10AB" w:rsidP="00EF2B54">
            <w:pPr>
              <w:numPr>
                <w:ilvl w:val="0"/>
                <w:numId w:val="2"/>
              </w:numPr>
              <w:tabs>
                <w:tab w:val="clear" w:pos="720"/>
                <w:tab w:val="num" w:pos="328"/>
              </w:tabs>
              <w:ind w:left="328" w:hanging="283"/>
              <w:jc w:val="both"/>
              <w:rPr>
                <w:color w:val="FF0000"/>
              </w:rPr>
            </w:pPr>
            <w:r>
              <w:t>v odvětví rybolovu a akvakultury* (podle nařízení (EU) č. 1379/2013);</w:t>
            </w:r>
            <w:r>
              <w:rPr>
                <w:sz w:val="20"/>
              </w:rPr>
              <w:t xml:space="preserve"> </w:t>
            </w:r>
          </w:p>
          <w:p w14:paraId="5A39138B" w14:textId="77777777" w:rsidR="000E10AB" w:rsidRPr="00EF2B54" w:rsidRDefault="000E10AB" w:rsidP="00EF2B54">
            <w:pPr>
              <w:numPr>
                <w:ilvl w:val="0"/>
                <w:numId w:val="2"/>
              </w:numPr>
              <w:tabs>
                <w:tab w:val="clear" w:pos="720"/>
                <w:tab w:val="num" w:pos="328"/>
              </w:tabs>
              <w:ind w:left="328" w:hanging="283"/>
            </w:pPr>
            <w:r>
              <w:t xml:space="preserve">v odvětví prvovýroby zemědělských produktů*, </w:t>
            </w:r>
            <w:r>
              <w:rPr>
                <w:color w:val="FF0000"/>
                <w:sz w:val="20"/>
              </w:rPr>
              <w:t>vyjma náhrady dodatečných nákladů (s výjimkou dopravních nákladů) v nejvzdálenějších regionech (čl. 15 odst. 2 písm. b))</w:t>
            </w:r>
            <w:r>
              <w:t>;</w:t>
            </w:r>
            <w:r>
              <w:rPr>
                <w:color w:val="FF0000"/>
                <w:sz w:val="20"/>
              </w:rPr>
              <w:t xml:space="preserve"> </w:t>
            </w:r>
          </w:p>
          <w:p w14:paraId="5AAFA119" w14:textId="77777777" w:rsidR="000E10AB" w:rsidRPr="009F530E" w:rsidRDefault="000E10AB" w:rsidP="00EF2B54">
            <w:pPr>
              <w:numPr>
                <w:ilvl w:val="0"/>
                <w:numId w:val="2"/>
              </w:numPr>
              <w:tabs>
                <w:tab w:val="clear" w:pos="720"/>
                <w:tab w:val="num" w:pos="328"/>
              </w:tabs>
              <w:autoSpaceDE w:val="0"/>
              <w:autoSpaceDN w:val="0"/>
              <w:adjustRightInd w:val="0"/>
              <w:ind w:left="328" w:hanging="283"/>
              <w:jc w:val="both"/>
              <w:rPr>
                <w:sz w:val="22"/>
                <w:szCs w:val="22"/>
              </w:rPr>
            </w:pPr>
            <w:r>
              <w:t xml:space="preserve">v odvětví zpracování a uvádění zemědělských produktů na trh*, </w:t>
            </w:r>
            <w:r>
              <w:rPr>
                <w:color w:val="FF0000"/>
                <w:sz w:val="20"/>
              </w:rPr>
              <w:t xml:space="preserve">je-li výše </w:t>
            </w:r>
            <w:r>
              <w:rPr>
                <w:sz w:val="22"/>
              </w:rPr>
              <w:t>podpory stanovena na základě ceny nebo množství těchto produktů získaných od prvovýrobců nebo uvedených na trh dotyčnými podniky; nebo je-li poskytnutí podpory závislé na podmínce, že bude zčásti nebo zcela předána prvovýrobcům;</w:t>
            </w:r>
          </w:p>
          <w:p w14:paraId="1EC4219D" w14:textId="77777777" w:rsidR="000E10AB" w:rsidRPr="009F530E" w:rsidRDefault="000E10AB" w:rsidP="009F530E">
            <w:pPr>
              <w:numPr>
                <w:ilvl w:val="0"/>
                <w:numId w:val="54"/>
              </w:numPr>
              <w:autoSpaceDE w:val="0"/>
              <w:autoSpaceDN w:val="0"/>
              <w:adjustRightInd w:val="0"/>
              <w:spacing w:after="40"/>
              <w:ind w:left="375"/>
              <w:jc w:val="both"/>
              <w:rPr>
                <w:sz w:val="22"/>
                <w:szCs w:val="22"/>
              </w:rPr>
            </w:pPr>
            <w:r>
              <w:rPr>
                <w:sz w:val="22"/>
              </w:rPr>
              <w:t>na podporu k usnadnění uzavírání nekonkurenceschopných uhelných dolů (rozhodnutí Rady 2010/787).</w:t>
            </w:r>
          </w:p>
          <w:p w14:paraId="654A3C3B" w14:textId="77777777" w:rsidR="000E10AB" w:rsidRPr="00EF2B54" w:rsidRDefault="000E10AB" w:rsidP="009F52DA">
            <w:pPr>
              <w:tabs>
                <w:tab w:val="num" w:pos="328"/>
              </w:tabs>
              <w:ind w:left="328"/>
              <w:jc w:val="both"/>
              <w:rPr>
                <w:i/>
                <w:sz w:val="20"/>
                <w:szCs w:val="20"/>
              </w:rPr>
            </w:pPr>
            <w:r>
              <w:rPr>
                <w:sz w:val="20"/>
              </w:rPr>
              <w:t xml:space="preserve">* </w:t>
            </w:r>
            <w:r>
              <w:rPr>
                <w:i/>
                <w:sz w:val="20"/>
              </w:rPr>
              <w:t>Pokud je podnik činný rovněž v odvětvích, která spadají do působnosti tohoto nařízení, použije se toto nařízení na podporu poskytovanou na tato odvětví za předpokladu, že členské státy zajistí, aby činnosti ve vyňatých odvětvích nebyly předmětem podpory.</w:t>
            </w:r>
          </w:p>
          <w:p w14:paraId="6BF5861D" w14:textId="77777777" w:rsidR="0025789A" w:rsidRPr="009F530E" w:rsidRDefault="0025789A" w:rsidP="009F52DA">
            <w:pPr>
              <w:tabs>
                <w:tab w:val="num" w:pos="328"/>
              </w:tabs>
              <w:ind w:left="328"/>
              <w:jc w:val="both"/>
              <w:rPr>
                <w:i/>
                <w:sz w:val="22"/>
                <w:szCs w:val="22"/>
              </w:rPr>
            </w:pPr>
          </w:p>
          <w:p w14:paraId="4526E8D7" w14:textId="77777777" w:rsidR="0025789A" w:rsidRPr="009F530E" w:rsidRDefault="00772B86" w:rsidP="0025789A">
            <w:pPr>
              <w:jc w:val="both"/>
              <w:rPr>
                <w:sz w:val="22"/>
                <w:szCs w:val="22"/>
              </w:rPr>
            </w:pPr>
            <w:r>
              <w:rPr>
                <w:sz w:val="22"/>
              </w:rPr>
              <w:t xml:space="preserve">Článek 13: Regionální podpora se </w:t>
            </w:r>
            <w:r>
              <w:rPr>
                <w:b/>
                <w:sz w:val="22"/>
                <w:u w:val="single"/>
              </w:rPr>
              <w:t xml:space="preserve">nepoužije </w:t>
            </w:r>
            <w:r>
              <w:rPr>
                <w:sz w:val="22"/>
              </w:rPr>
              <w:t>zejména:</w:t>
            </w:r>
          </w:p>
          <w:p w14:paraId="00BF65F0" w14:textId="77777777" w:rsidR="0025789A" w:rsidRPr="009F530E" w:rsidRDefault="0025789A" w:rsidP="009F530E">
            <w:pPr>
              <w:numPr>
                <w:ilvl w:val="0"/>
                <w:numId w:val="56"/>
              </w:numPr>
              <w:autoSpaceDE w:val="0"/>
              <w:autoSpaceDN w:val="0"/>
              <w:adjustRightInd w:val="0"/>
              <w:spacing w:after="40"/>
              <w:jc w:val="both"/>
              <w:rPr>
                <w:sz w:val="22"/>
                <w:szCs w:val="22"/>
              </w:rPr>
            </w:pPr>
            <w:r>
              <w:rPr>
                <w:sz w:val="22"/>
              </w:rPr>
              <w:t>v odvětví oceli, v uhelném průmyslu, v odvětví stavby lodí, v odvětví výroby syntetických vláken, v odvětví dopravy, jakož i v odvětví související infrastruktury, ve výrobě a distribuci energie a v oblasti energetické infrastruktury;</w:t>
            </w:r>
          </w:p>
          <w:p w14:paraId="49B655E5" w14:textId="77777777" w:rsidR="0025789A" w:rsidRPr="009F530E" w:rsidRDefault="0025789A" w:rsidP="009F530E">
            <w:pPr>
              <w:numPr>
                <w:ilvl w:val="0"/>
                <w:numId w:val="56"/>
              </w:numPr>
              <w:autoSpaceDE w:val="0"/>
              <w:autoSpaceDN w:val="0"/>
              <w:adjustRightInd w:val="0"/>
              <w:spacing w:after="40"/>
              <w:jc w:val="both"/>
              <w:rPr>
                <w:sz w:val="22"/>
                <w:szCs w:val="22"/>
              </w:rPr>
            </w:pPr>
            <w:r>
              <w:rPr>
                <w:sz w:val="22"/>
              </w:rPr>
              <w:t xml:space="preserve">ve formě režimů, které jsou zaměřeny na vybraná zvláštní odvětví hospodářské činnosti (cestovní ruch, širokopásmová infrastruktura </w:t>
            </w:r>
            <w:r>
              <w:rPr>
                <w:sz w:val="22"/>
              </w:rPr>
              <w:lastRenderedPageBreak/>
              <w:t>a zpracování a uvádění zemědělských produktů na trh se za takové režimy nepovažují);</w:t>
            </w:r>
          </w:p>
          <w:p w14:paraId="730A0463" w14:textId="77777777" w:rsidR="0025789A" w:rsidRPr="009F530E" w:rsidRDefault="0025789A" w:rsidP="009F530E">
            <w:pPr>
              <w:numPr>
                <w:ilvl w:val="0"/>
                <w:numId w:val="56"/>
              </w:numPr>
              <w:autoSpaceDE w:val="0"/>
              <w:autoSpaceDN w:val="0"/>
              <w:adjustRightInd w:val="0"/>
              <w:spacing w:after="40"/>
              <w:jc w:val="both"/>
              <w:rPr>
                <w:sz w:val="22"/>
                <w:szCs w:val="22"/>
              </w:rPr>
            </w:pPr>
            <w:r>
              <w:rPr>
                <w:sz w:val="22"/>
              </w:rPr>
              <w:t>ve formě režimů na úhradu nákladů na dopravu zboží vyrobeného v nejvzdálenějších regionech nebo v řídce osídlených oblastech ve prospěch výroby, zpracování nebo uvádění produktů uvedených v příloze I Smlouvy na trh, činností podle nařízení č. 1893/2006 a přepravy zboží potrubím;</w:t>
            </w:r>
          </w:p>
          <w:p w14:paraId="6257393B" w14:textId="77777777" w:rsidR="006A58CF" w:rsidRPr="009F530E" w:rsidRDefault="0025789A" w:rsidP="008E6EFF">
            <w:pPr>
              <w:numPr>
                <w:ilvl w:val="0"/>
                <w:numId w:val="56"/>
              </w:numPr>
              <w:autoSpaceDE w:val="0"/>
              <w:autoSpaceDN w:val="0"/>
              <w:adjustRightInd w:val="0"/>
              <w:spacing w:after="40"/>
              <w:jc w:val="both"/>
              <w:rPr>
                <w:sz w:val="22"/>
                <w:szCs w:val="22"/>
              </w:rPr>
            </w:pPr>
            <w:r>
              <w:rPr>
                <w:sz w:val="22"/>
              </w:rPr>
              <w:t>na jednotlivou regionální investiční podporu poskytnutou příjemci, který v posledních dvou letech před podáním žádosti o regionální investiční podporu ukončil stejnou nebo podobnou činnost v Evropském hospodářském prostoru nebo který má konkrétní plány na to, že tuto činnost ukončí během dvou let poté, co v dotyčné oblasti dokončí počáteční investici, pro niž žádá o podporu;</w:t>
            </w:r>
          </w:p>
          <w:p w14:paraId="473B8298" w14:textId="77777777" w:rsidR="0025789A" w:rsidRPr="009F530E" w:rsidRDefault="0025789A" w:rsidP="008E6EFF">
            <w:pPr>
              <w:numPr>
                <w:ilvl w:val="0"/>
                <w:numId w:val="56"/>
              </w:numPr>
              <w:autoSpaceDE w:val="0"/>
              <w:autoSpaceDN w:val="0"/>
              <w:adjustRightInd w:val="0"/>
              <w:spacing w:after="40"/>
              <w:jc w:val="both"/>
              <w:rPr>
                <w:sz w:val="22"/>
                <w:szCs w:val="22"/>
              </w:rPr>
            </w:pPr>
            <w:r>
              <w:rPr>
                <w:sz w:val="22"/>
              </w:rPr>
              <w:t xml:space="preserve">na provozní podporu poskytnutou podnikům, jejichž hlavní činnosti spadají do oddílu K „Peněžnictví a pojišťovnictví“ klasifikace NACE </w:t>
            </w:r>
            <w:proofErr w:type="spellStart"/>
            <w:r>
              <w:rPr>
                <w:sz w:val="22"/>
              </w:rPr>
              <w:t>Rev</w:t>
            </w:r>
            <w:proofErr w:type="spellEnd"/>
            <w:r>
              <w:rPr>
                <w:sz w:val="22"/>
              </w:rPr>
              <w:t xml:space="preserve">. 2, nebo podnikům, které provádějí činnosti v   rámci skupiny a   jejichž hlavní činnosti spadají do třídy 70.10 „Činnosti vedení podniků“ nebo 70.22 „Ostatní poradenství v   oblasti podnikání a   řízení“ klasifikace NACE </w:t>
            </w:r>
            <w:proofErr w:type="spellStart"/>
            <w:r>
              <w:rPr>
                <w:sz w:val="22"/>
              </w:rPr>
              <w:t>Rev</w:t>
            </w:r>
            <w:proofErr w:type="spellEnd"/>
            <w:r>
              <w:rPr>
                <w:sz w:val="22"/>
              </w:rPr>
              <w:t>. 2.</w:t>
            </w:r>
          </w:p>
        </w:tc>
        <w:tc>
          <w:tcPr>
            <w:tcW w:w="2130" w:type="dxa"/>
            <w:vMerge/>
            <w:shd w:val="clear" w:color="auto" w:fill="auto"/>
          </w:tcPr>
          <w:p w14:paraId="510DEC37" w14:textId="77777777" w:rsidR="000E10AB" w:rsidRPr="0017445D" w:rsidRDefault="000E10AB" w:rsidP="00867005"/>
        </w:tc>
      </w:tr>
      <w:bookmarkEnd w:id="0"/>
      <w:tr w:rsidR="00E442B2" w:rsidRPr="0017445D" w14:paraId="1F07D672" w14:textId="77777777" w:rsidTr="00E442B2">
        <w:trPr>
          <w:trHeight w:val="145"/>
        </w:trPr>
        <w:tc>
          <w:tcPr>
            <w:tcW w:w="12482" w:type="dxa"/>
            <w:shd w:val="clear" w:color="auto" w:fill="D9D9D9"/>
          </w:tcPr>
          <w:p w14:paraId="149D579E" w14:textId="77777777" w:rsidR="000E10AB" w:rsidRPr="009F530E" w:rsidRDefault="000E10AB" w:rsidP="00BB2CA7">
            <w:pPr>
              <w:jc w:val="both"/>
              <w:rPr>
                <w:b/>
                <w:sz w:val="22"/>
                <w:szCs w:val="22"/>
              </w:rPr>
            </w:pPr>
            <w:r>
              <w:rPr>
                <w:b/>
                <w:sz w:val="22"/>
              </w:rPr>
              <w:lastRenderedPageBreak/>
              <w:t xml:space="preserve">Článek 1 – Vyloučení podniků, na které se vztahuje </w:t>
            </w:r>
            <w:proofErr w:type="spellStart"/>
            <w:r>
              <w:rPr>
                <w:b/>
                <w:sz w:val="22"/>
              </w:rPr>
              <w:t>deggendorfské</w:t>
            </w:r>
            <w:proofErr w:type="spellEnd"/>
            <w:r>
              <w:rPr>
                <w:b/>
                <w:sz w:val="22"/>
              </w:rPr>
              <w:t xml:space="preserve"> pravidlo (odstavec 4)</w:t>
            </w:r>
          </w:p>
        </w:tc>
        <w:tc>
          <w:tcPr>
            <w:tcW w:w="2130" w:type="dxa"/>
            <w:vMerge w:val="restart"/>
            <w:shd w:val="clear" w:color="auto" w:fill="auto"/>
          </w:tcPr>
          <w:p w14:paraId="7336F953" w14:textId="77777777" w:rsidR="000E10AB" w:rsidRPr="0017445D" w:rsidRDefault="000E10AB" w:rsidP="00867005"/>
        </w:tc>
      </w:tr>
      <w:tr w:rsidR="00E442B2" w:rsidRPr="0017445D" w14:paraId="5A327607" w14:textId="77777777" w:rsidTr="00E442B2">
        <w:trPr>
          <w:trHeight w:val="145"/>
        </w:trPr>
        <w:tc>
          <w:tcPr>
            <w:tcW w:w="12482" w:type="dxa"/>
            <w:tcBorders>
              <w:bottom w:val="single" w:sz="4" w:space="0" w:color="auto"/>
            </w:tcBorders>
            <w:shd w:val="clear" w:color="auto" w:fill="auto"/>
          </w:tcPr>
          <w:p w14:paraId="0ABA9F78" w14:textId="77777777" w:rsidR="000E10AB" w:rsidRPr="009F530E" w:rsidRDefault="000E10AB" w:rsidP="005B780B">
            <w:pPr>
              <w:jc w:val="both"/>
              <w:rPr>
                <w:sz w:val="22"/>
                <w:szCs w:val="22"/>
              </w:rPr>
            </w:pPr>
            <w:r>
              <w:rPr>
                <w:b/>
                <w:sz w:val="22"/>
                <w:u w:val="single"/>
              </w:rPr>
              <w:t xml:space="preserve">Nepoužije </w:t>
            </w:r>
            <w:r>
              <w:rPr>
                <w:sz w:val="22"/>
              </w:rPr>
              <w:t>se na režimy podpory, které výslovně nevylučují vyplacení jednotlivé podpory ve prospěch podniku, vůči němuž je vystaven inkasní příkaz v návaznosti na rozhodnutí Komise, jímž je podpora prohlášena za protiprávní a neslučitelnou</w:t>
            </w:r>
            <w:r w:rsidR="00AF647A">
              <w:rPr>
                <w:sz w:val="22"/>
              </w:rPr>
              <w:t xml:space="preserve">, ani se nepoužije na podporu </w:t>
            </w:r>
            <w:r w:rsidR="00AF647A" w:rsidRPr="00103BE7">
              <w:rPr>
                <w:i/>
                <w:sz w:val="22"/>
              </w:rPr>
              <w:t>ad hoc</w:t>
            </w:r>
            <w:r w:rsidR="00AF647A">
              <w:rPr>
                <w:sz w:val="22"/>
              </w:rPr>
              <w:t xml:space="preserve"> poskytnutou </w:t>
            </w:r>
            <w:r w:rsidR="008B64AA">
              <w:rPr>
                <w:sz w:val="22"/>
              </w:rPr>
              <w:t>ve prospěch takového</w:t>
            </w:r>
            <w:r w:rsidR="00AF647A">
              <w:rPr>
                <w:sz w:val="22"/>
              </w:rPr>
              <w:t xml:space="preserve"> podniku</w:t>
            </w:r>
            <w:r>
              <w:rPr>
                <w:sz w:val="22"/>
              </w:rPr>
              <w:t xml:space="preserve">. </w:t>
            </w:r>
          </w:p>
        </w:tc>
        <w:tc>
          <w:tcPr>
            <w:tcW w:w="2130" w:type="dxa"/>
            <w:vMerge/>
            <w:shd w:val="clear" w:color="auto" w:fill="auto"/>
          </w:tcPr>
          <w:p w14:paraId="34848015" w14:textId="77777777" w:rsidR="000E10AB" w:rsidRPr="0017445D" w:rsidRDefault="000E10AB" w:rsidP="00867005"/>
        </w:tc>
      </w:tr>
      <w:tr w:rsidR="00E442B2" w:rsidRPr="0017445D" w14:paraId="1D17FF66" w14:textId="77777777" w:rsidTr="00E442B2">
        <w:trPr>
          <w:trHeight w:val="145"/>
        </w:trPr>
        <w:tc>
          <w:tcPr>
            <w:tcW w:w="12482" w:type="dxa"/>
            <w:shd w:val="clear" w:color="auto" w:fill="D9D9D9"/>
          </w:tcPr>
          <w:p w14:paraId="5CE6C08F" w14:textId="77777777" w:rsidR="000E10AB" w:rsidRPr="009F530E" w:rsidRDefault="000E10AB" w:rsidP="00867005">
            <w:pPr>
              <w:rPr>
                <w:b/>
                <w:sz w:val="22"/>
                <w:szCs w:val="22"/>
              </w:rPr>
            </w:pPr>
            <w:r>
              <w:rPr>
                <w:b/>
                <w:sz w:val="22"/>
              </w:rPr>
              <w:t>Článek 1 – Vyloučení podniků v obtížích (odstavec 4)</w:t>
            </w:r>
          </w:p>
        </w:tc>
        <w:tc>
          <w:tcPr>
            <w:tcW w:w="2130" w:type="dxa"/>
            <w:vMerge w:val="restart"/>
            <w:shd w:val="clear" w:color="auto" w:fill="auto"/>
          </w:tcPr>
          <w:p w14:paraId="1B761BDF" w14:textId="77777777" w:rsidR="000E10AB" w:rsidRPr="0017445D" w:rsidRDefault="000E10AB" w:rsidP="00867005"/>
        </w:tc>
      </w:tr>
      <w:tr w:rsidR="00E442B2" w:rsidRPr="0017445D" w14:paraId="47746781" w14:textId="77777777" w:rsidTr="00E442B2">
        <w:trPr>
          <w:trHeight w:val="478"/>
        </w:trPr>
        <w:tc>
          <w:tcPr>
            <w:tcW w:w="12482" w:type="dxa"/>
            <w:tcBorders>
              <w:bottom w:val="single" w:sz="4" w:space="0" w:color="auto"/>
            </w:tcBorders>
            <w:shd w:val="clear" w:color="auto" w:fill="auto"/>
          </w:tcPr>
          <w:p w14:paraId="3CADA72C" w14:textId="77777777" w:rsidR="000E10AB" w:rsidRPr="009F530E" w:rsidRDefault="000E10AB" w:rsidP="005B780B">
            <w:pPr>
              <w:spacing w:after="40"/>
              <w:jc w:val="both"/>
              <w:rPr>
                <w:sz w:val="22"/>
                <w:szCs w:val="22"/>
              </w:rPr>
            </w:pPr>
            <w:r>
              <w:rPr>
                <w:b/>
                <w:sz w:val="22"/>
                <w:u w:val="single"/>
              </w:rPr>
              <w:t xml:space="preserve">Nepoužije </w:t>
            </w:r>
            <w:r>
              <w:rPr>
                <w:sz w:val="22"/>
              </w:rPr>
              <w:t xml:space="preserve">se na podporu určenou podnikům v obtížích. </w:t>
            </w:r>
          </w:p>
        </w:tc>
        <w:tc>
          <w:tcPr>
            <w:tcW w:w="2130" w:type="dxa"/>
            <w:vMerge/>
            <w:shd w:val="clear" w:color="auto" w:fill="auto"/>
          </w:tcPr>
          <w:p w14:paraId="6CF328E2" w14:textId="77777777" w:rsidR="000E10AB" w:rsidRPr="0017445D" w:rsidRDefault="000E10AB" w:rsidP="00867005"/>
        </w:tc>
      </w:tr>
      <w:tr w:rsidR="00E442B2" w:rsidRPr="0017445D" w14:paraId="48B59842" w14:textId="77777777" w:rsidTr="00E442B2">
        <w:trPr>
          <w:trHeight w:val="145"/>
        </w:trPr>
        <w:tc>
          <w:tcPr>
            <w:tcW w:w="12482" w:type="dxa"/>
            <w:shd w:val="clear" w:color="auto" w:fill="D9D9D9"/>
          </w:tcPr>
          <w:p w14:paraId="57B38E03" w14:textId="77777777" w:rsidR="000E10AB" w:rsidRPr="009F530E" w:rsidRDefault="000E10AB" w:rsidP="00A416C6">
            <w:pPr>
              <w:jc w:val="both"/>
              <w:rPr>
                <w:b/>
                <w:sz w:val="22"/>
                <w:szCs w:val="22"/>
              </w:rPr>
            </w:pPr>
            <w:r>
              <w:rPr>
                <w:b/>
                <w:sz w:val="22"/>
              </w:rPr>
              <w:t xml:space="preserve">Článek 1 – Vyloučení </w:t>
            </w:r>
            <w:r w:rsidR="00A416C6">
              <w:rPr>
                <w:b/>
                <w:sz w:val="22"/>
              </w:rPr>
              <w:t>opatření podpory, která</w:t>
            </w:r>
            <w:r>
              <w:rPr>
                <w:b/>
                <w:sz w:val="22"/>
              </w:rPr>
              <w:t xml:space="preserve"> porušují právní předpisy Unie (odstavec 5)</w:t>
            </w:r>
          </w:p>
        </w:tc>
        <w:tc>
          <w:tcPr>
            <w:tcW w:w="2130" w:type="dxa"/>
            <w:vMerge w:val="restart"/>
            <w:shd w:val="clear" w:color="auto" w:fill="auto"/>
          </w:tcPr>
          <w:p w14:paraId="1E5BF43D" w14:textId="77777777" w:rsidR="000E10AB" w:rsidRPr="0017445D" w:rsidRDefault="000E10AB" w:rsidP="00867005"/>
        </w:tc>
      </w:tr>
      <w:tr w:rsidR="00E442B2" w:rsidRPr="0017445D" w14:paraId="05F2A1FD" w14:textId="77777777" w:rsidTr="00E442B2">
        <w:trPr>
          <w:trHeight w:val="145"/>
        </w:trPr>
        <w:tc>
          <w:tcPr>
            <w:tcW w:w="12482" w:type="dxa"/>
            <w:tcBorders>
              <w:bottom w:val="single" w:sz="4" w:space="0" w:color="auto"/>
            </w:tcBorders>
            <w:shd w:val="clear" w:color="auto" w:fill="auto"/>
          </w:tcPr>
          <w:p w14:paraId="799EFC7B" w14:textId="77777777" w:rsidR="000E10AB" w:rsidRPr="009F530E" w:rsidRDefault="00DD52F8" w:rsidP="000C51C2">
            <w:pPr>
              <w:autoSpaceDE w:val="0"/>
              <w:autoSpaceDN w:val="0"/>
              <w:adjustRightInd w:val="0"/>
              <w:spacing w:after="40"/>
              <w:rPr>
                <w:rFonts w:ascii="EUAlbertina-Regu" w:hAnsi="EUAlbertina-Regu" w:cs="EUAlbertina-Regu"/>
                <w:sz w:val="22"/>
                <w:szCs w:val="22"/>
              </w:rPr>
            </w:pPr>
            <w:r>
              <w:rPr>
                <w:b/>
                <w:sz w:val="22"/>
                <w:u w:val="single"/>
              </w:rPr>
              <w:t>Nepoužije</w:t>
            </w:r>
            <w:r>
              <w:rPr>
                <w:sz w:val="22"/>
              </w:rPr>
              <w:t xml:space="preserve"> se na opatření státní podpory, která vedou k porušení práva Unie, jež je s těmito opatřeními neoddělitelně spjato, zejména:</w:t>
            </w:r>
          </w:p>
          <w:p w14:paraId="6348F916" w14:textId="77777777" w:rsidR="00DD24CA" w:rsidRPr="009F530E" w:rsidRDefault="000E10AB" w:rsidP="009F530E">
            <w:pPr>
              <w:numPr>
                <w:ilvl w:val="0"/>
                <w:numId w:val="57"/>
              </w:numPr>
              <w:autoSpaceDE w:val="0"/>
              <w:autoSpaceDN w:val="0"/>
              <w:adjustRightInd w:val="0"/>
              <w:spacing w:after="40"/>
              <w:ind w:left="375"/>
              <w:jc w:val="both"/>
              <w:rPr>
                <w:sz w:val="22"/>
                <w:szCs w:val="22"/>
              </w:rPr>
            </w:pPr>
            <w:r>
              <w:rPr>
                <w:sz w:val="22"/>
              </w:rPr>
              <w:t>povinnost příjemce mít ústředí v příslušném členském státě nebo být usazen převážně v tomto členském státě. Přípustný je však požadavek, aby v okamžiku vyplacení podpory měl příjemce v členském státě, jenž podporu poskytuje, provozovnu či pobočku;</w:t>
            </w:r>
          </w:p>
          <w:p w14:paraId="0188AB52" w14:textId="77777777" w:rsidR="00DD24CA" w:rsidRPr="009F530E" w:rsidRDefault="000E10AB" w:rsidP="009F530E">
            <w:pPr>
              <w:numPr>
                <w:ilvl w:val="0"/>
                <w:numId w:val="57"/>
              </w:numPr>
              <w:autoSpaceDE w:val="0"/>
              <w:autoSpaceDN w:val="0"/>
              <w:adjustRightInd w:val="0"/>
              <w:spacing w:after="40"/>
              <w:ind w:left="375"/>
              <w:jc w:val="both"/>
              <w:rPr>
                <w:sz w:val="22"/>
                <w:szCs w:val="22"/>
              </w:rPr>
            </w:pPr>
            <w:r>
              <w:rPr>
                <w:sz w:val="22"/>
              </w:rPr>
              <w:t>povinnost používat domácí zboží nebo služby;</w:t>
            </w:r>
          </w:p>
          <w:p w14:paraId="73211299" w14:textId="77777777" w:rsidR="000E10AB" w:rsidRPr="009F530E" w:rsidRDefault="000E10AB" w:rsidP="009F530E">
            <w:pPr>
              <w:numPr>
                <w:ilvl w:val="0"/>
                <w:numId w:val="57"/>
              </w:numPr>
              <w:autoSpaceDE w:val="0"/>
              <w:autoSpaceDN w:val="0"/>
              <w:adjustRightInd w:val="0"/>
              <w:spacing w:after="40"/>
              <w:ind w:left="375"/>
              <w:jc w:val="both"/>
              <w:rPr>
                <w:sz w:val="22"/>
                <w:szCs w:val="22"/>
              </w:rPr>
            </w:pPr>
            <w:r>
              <w:rPr>
                <w:sz w:val="22"/>
              </w:rPr>
              <w:t>omezující možnost příjemců využívat v jiných členských státech výsledků výzkumu, vývoje a inovací.</w:t>
            </w:r>
          </w:p>
        </w:tc>
        <w:tc>
          <w:tcPr>
            <w:tcW w:w="2130" w:type="dxa"/>
            <w:vMerge/>
            <w:shd w:val="clear" w:color="auto" w:fill="auto"/>
          </w:tcPr>
          <w:p w14:paraId="56D35F0F" w14:textId="77777777" w:rsidR="000E10AB" w:rsidRPr="0017445D" w:rsidRDefault="000E10AB" w:rsidP="00867005"/>
        </w:tc>
      </w:tr>
      <w:tr w:rsidR="00E442B2" w:rsidRPr="0017445D" w14:paraId="41A9E875" w14:textId="77777777" w:rsidTr="00E442B2">
        <w:trPr>
          <w:trHeight w:val="271"/>
        </w:trPr>
        <w:tc>
          <w:tcPr>
            <w:tcW w:w="12482" w:type="dxa"/>
            <w:shd w:val="clear" w:color="auto" w:fill="D9D9D9"/>
          </w:tcPr>
          <w:p w14:paraId="483D0ABA" w14:textId="77777777" w:rsidR="000E10AB" w:rsidRPr="009F530E" w:rsidRDefault="000E10AB" w:rsidP="000E10AB">
            <w:pPr>
              <w:jc w:val="both"/>
              <w:rPr>
                <w:b/>
                <w:sz w:val="22"/>
                <w:szCs w:val="22"/>
              </w:rPr>
            </w:pPr>
            <w:r>
              <w:rPr>
                <w:b/>
                <w:sz w:val="22"/>
              </w:rPr>
              <w:t>Článek 4 – Individuální prahové hodnoty oznamovací povinnosti</w:t>
            </w:r>
          </w:p>
        </w:tc>
        <w:tc>
          <w:tcPr>
            <w:tcW w:w="2130" w:type="dxa"/>
            <w:shd w:val="clear" w:color="auto" w:fill="auto"/>
          </w:tcPr>
          <w:p w14:paraId="68D154AA" w14:textId="77777777" w:rsidR="000E10AB" w:rsidRPr="0017445D" w:rsidRDefault="000E10AB" w:rsidP="00CA2F50"/>
        </w:tc>
      </w:tr>
      <w:tr w:rsidR="00E442B2" w:rsidRPr="0017445D" w14:paraId="304F4904" w14:textId="77777777" w:rsidTr="00E442B2">
        <w:trPr>
          <w:trHeight w:val="271"/>
        </w:trPr>
        <w:tc>
          <w:tcPr>
            <w:tcW w:w="12482" w:type="dxa"/>
            <w:tcBorders>
              <w:bottom w:val="single" w:sz="4" w:space="0" w:color="auto"/>
            </w:tcBorders>
            <w:shd w:val="clear" w:color="auto" w:fill="auto"/>
          </w:tcPr>
          <w:p w14:paraId="2E479D28" w14:textId="77777777" w:rsidR="000E10AB" w:rsidRPr="009F530E" w:rsidRDefault="000E10AB" w:rsidP="00CA2F50">
            <w:pPr>
              <w:rPr>
                <w:sz w:val="22"/>
                <w:szCs w:val="22"/>
              </w:rPr>
            </w:pPr>
            <w:r>
              <w:rPr>
                <w:b/>
                <w:sz w:val="22"/>
              </w:rPr>
              <w:t xml:space="preserve">Nepoužije </w:t>
            </w:r>
            <w:r>
              <w:rPr>
                <w:sz w:val="22"/>
              </w:rPr>
              <w:t>se na podporu, jejíž výše přesahuje:</w:t>
            </w:r>
          </w:p>
          <w:p w14:paraId="0C64DA68" w14:textId="77777777" w:rsidR="000E10AB" w:rsidRPr="009F530E" w:rsidRDefault="000E10AB" w:rsidP="009F52DA">
            <w:pPr>
              <w:numPr>
                <w:ilvl w:val="0"/>
                <w:numId w:val="8"/>
              </w:numPr>
              <w:autoSpaceDE w:val="0"/>
              <w:autoSpaceDN w:val="0"/>
              <w:adjustRightInd w:val="0"/>
              <w:ind w:left="328" w:hanging="283"/>
              <w:jc w:val="both"/>
              <w:rPr>
                <w:sz w:val="22"/>
                <w:szCs w:val="22"/>
              </w:rPr>
            </w:pPr>
            <w:r>
              <w:rPr>
                <w:sz w:val="22"/>
              </w:rPr>
              <w:t>u regionální investiční podpory: „upravenou výši podpory“ vypočtenou podle vzorce v čl. 2 bodě 20 v případě investice se způsobilými náklady ve výši 100 milionů EUR;</w:t>
            </w:r>
          </w:p>
          <w:p w14:paraId="141B7737" w14:textId="77777777" w:rsidR="000E10AB" w:rsidRPr="009F530E" w:rsidRDefault="000E10AB" w:rsidP="00D177B0">
            <w:pPr>
              <w:numPr>
                <w:ilvl w:val="0"/>
                <w:numId w:val="8"/>
              </w:numPr>
              <w:autoSpaceDE w:val="0"/>
              <w:autoSpaceDN w:val="0"/>
              <w:adjustRightInd w:val="0"/>
              <w:ind w:left="328" w:hanging="283"/>
              <w:jc w:val="both"/>
              <w:rPr>
                <w:sz w:val="22"/>
                <w:szCs w:val="22"/>
              </w:rPr>
            </w:pPr>
            <w:r>
              <w:rPr>
                <w:sz w:val="22"/>
              </w:rPr>
              <w:t>u regionální urbanistické podpory: 20 milionů EUR jak je stanoveno v čl. 16 odst. 3.</w:t>
            </w:r>
          </w:p>
          <w:p w14:paraId="7CB92BA1" w14:textId="77777777" w:rsidR="00DD52F8" w:rsidRPr="009F530E" w:rsidRDefault="00DD52F8" w:rsidP="00DD52F8">
            <w:pPr>
              <w:autoSpaceDE w:val="0"/>
              <w:autoSpaceDN w:val="0"/>
              <w:adjustRightInd w:val="0"/>
              <w:ind w:left="45"/>
              <w:jc w:val="both"/>
              <w:rPr>
                <w:sz w:val="22"/>
                <w:szCs w:val="22"/>
              </w:rPr>
            </w:pPr>
            <w:r>
              <w:rPr>
                <w:sz w:val="22"/>
              </w:rPr>
              <w:t xml:space="preserve">Prahové hodnoty </w:t>
            </w:r>
            <w:r>
              <w:rPr>
                <w:b/>
                <w:sz w:val="22"/>
              </w:rPr>
              <w:t xml:space="preserve">nesmí </w:t>
            </w:r>
            <w:r>
              <w:rPr>
                <w:sz w:val="22"/>
              </w:rPr>
              <w:t xml:space="preserve">být obcházeny tím způsobem, že se režimy či projekty podpory uměle rozdělí. </w:t>
            </w:r>
          </w:p>
        </w:tc>
        <w:tc>
          <w:tcPr>
            <w:tcW w:w="2130" w:type="dxa"/>
            <w:shd w:val="clear" w:color="auto" w:fill="auto"/>
          </w:tcPr>
          <w:p w14:paraId="66CBB799" w14:textId="77777777" w:rsidR="000E10AB" w:rsidRPr="0017445D" w:rsidRDefault="000E10AB" w:rsidP="00CA2F50"/>
        </w:tc>
      </w:tr>
      <w:tr w:rsidR="00E442B2" w:rsidRPr="0017445D" w14:paraId="24DD79A1" w14:textId="77777777" w:rsidTr="00E442B2">
        <w:trPr>
          <w:trHeight w:val="344"/>
        </w:trPr>
        <w:tc>
          <w:tcPr>
            <w:tcW w:w="12482" w:type="dxa"/>
            <w:shd w:val="clear" w:color="auto" w:fill="D9D9D9"/>
          </w:tcPr>
          <w:p w14:paraId="6CB0EF86" w14:textId="77777777" w:rsidR="000E10AB" w:rsidRPr="009F530E" w:rsidRDefault="000E10AB" w:rsidP="000E10AB">
            <w:pPr>
              <w:jc w:val="both"/>
              <w:rPr>
                <w:b/>
                <w:sz w:val="22"/>
                <w:szCs w:val="22"/>
              </w:rPr>
            </w:pPr>
            <w:r>
              <w:rPr>
                <w:b/>
                <w:sz w:val="22"/>
              </w:rPr>
              <w:t xml:space="preserve">Článek 5 – Transparentnost podpory </w:t>
            </w:r>
          </w:p>
        </w:tc>
        <w:tc>
          <w:tcPr>
            <w:tcW w:w="2130" w:type="dxa"/>
            <w:shd w:val="clear" w:color="auto" w:fill="auto"/>
          </w:tcPr>
          <w:p w14:paraId="5AE1D60C" w14:textId="77777777" w:rsidR="000E10AB" w:rsidRPr="0017445D" w:rsidRDefault="000E10AB" w:rsidP="00867005"/>
        </w:tc>
      </w:tr>
      <w:tr w:rsidR="00E442B2" w:rsidRPr="0017445D" w14:paraId="60333C82" w14:textId="77777777" w:rsidTr="00E442B2">
        <w:trPr>
          <w:trHeight w:val="344"/>
        </w:trPr>
        <w:tc>
          <w:tcPr>
            <w:tcW w:w="12482" w:type="dxa"/>
            <w:shd w:val="clear" w:color="auto" w:fill="auto"/>
          </w:tcPr>
          <w:p w14:paraId="5F8FE536" w14:textId="77777777" w:rsidR="000E10AB" w:rsidRPr="009F530E" w:rsidRDefault="00DD24CA" w:rsidP="00CA2F50">
            <w:pPr>
              <w:jc w:val="both"/>
              <w:rPr>
                <w:sz w:val="22"/>
                <w:szCs w:val="22"/>
              </w:rPr>
            </w:pPr>
            <w:r>
              <w:rPr>
                <w:sz w:val="22"/>
              </w:rPr>
              <w:t>Použije se pouze na transparentní podporu; za transparentní se považují:</w:t>
            </w:r>
          </w:p>
          <w:p w14:paraId="2E592CA6" w14:textId="77777777" w:rsidR="000E10AB" w:rsidRPr="009F530E" w:rsidRDefault="000E10AB" w:rsidP="009F530E">
            <w:pPr>
              <w:numPr>
                <w:ilvl w:val="0"/>
                <w:numId w:val="55"/>
              </w:numPr>
              <w:autoSpaceDE w:val="0"/>
              <w:autoSpaceDN w:val="0"/>
              <w:adjustRightInd w:val="0"/>
              <w:spacing w:after="40"/>
              <w:jc w:val="both"/>
              <w:rPr>
                <w:sz w:val="22"/>
                <w:szCs w:val="22"/>
              </w:rPr>
            </w:pPr>
            <w:r>
              <w:rPr>
                <w:sz w:val="22"/>
              </w:rPr>
              <w:t>dotace a subvence úrokových sazeb;</w:t>
            </w:r>
          </w:p>
          <w:p w14:paraId="2E12A297" w14:textId="77777777" w:rsidR="000E10AB" w:rsidRPr="009F530E" w:rsidRDefault="000E10AB" w:rsidP="009F530E">
            <w:pPr>
              <w:numPr>
                <w:ilvl w:val="0"/>
                <w:numId w:val="55"/>
              </w:numPr>
              <w:autoSpaceDE w:val="0"/>
              <w:autoSpaceDN w:val="0"/>
              <w:adjustRightInd w:val="0"/>
              <w:spacing w:after="40"/>
              <w:jc w:val="both"/>
              <w:rPr>
                <w:sz w:val="22"/>
                <w:szCs w:val="22"/>
              </w:rPr>
            </w:pPr>
            <w:r>
              <w:rPr>
                <w:sz w:val="22"/>
              </w:rPr>
              <w:t>půjčky (u nichž se hrubý grantový ekvivalent vypočítá na základě referenční sazby platné v době poskytnutí podpory);</w:t>
            </w:r>
          </w:p>
          <w:p w14:paraId="1BF43CDF" w14:textId="77777777" w:rsidR="000E10AB" w:rsidRPr="009F530E" w:rsidRDefault="000E10AB" w:rsidP="009F530E">
            <w:pPr>
              <w:numPr>
                <w:ilvl w:val="0"/>
                <w:numId w:val="55"/>
              </w:numPr>
              <w:autoSpaceDE w:val="0"/>
              <w:autoSpaceDN w:val="0"/>
              <w:adjustRightInd w:val="0"/>
              <w:spacing w:after="40"/>
              <w:jc w:val="both"/>
              <w:rPr>
                <w:sz w:val="22"/>
                <w:szCs w:val="22"/>
              </w:rPr>
            </w:pPr>
            <w:r>
              <w:rPr>
                <w:sz w:val="22"/>
              </w:rPr>
              <w:t>záruky (u nichž byl hrubý grantový ekvivalent vypočítán na základě prémií „</w:t>
            </w:r>
            <w:proofErr w:type="spellStart"/>
            <w:r>
              <w:rPr>
                <w:sz w:val="22"/>
              </w:rPr>
              <w:t>safe-harbour</w:t>
            </w:r>
            <w:proofErr w:type="spellEnd"/>
            <w:r>
              <w:rPr>
                <w:sz w:val="22"/>
              </w:rPr>
              <w:t xml:space="preserve">“ stanovených ve sdělení Komise, </w:t>
            </w:r>
          </w:p>
          <w:p w14:paraId="03CFEB77" w14:textId="77777777" w:rsidR="000E10AB" w:rsidRPr="009F530E" w:rsidRDefault="000E10AB" w:rsidP="009F530E">
            <w:pPr>
              <w:autoSpaceDE w:val="0"/>
              <w:autoSpaceDN w:val="0"/>
              <w:adjustRightInd w:val="0"/>
              <w:spacing w:after="40"/>
              <w:ind w:left="375"/>
              <w:jc w:val="both"/>
              <w:rPr>
                <w:sz w:val="22"/>
                <w:szCs w:val="22"/>
              </w:rPr>
            </w:pPr>
            <w:r>
              <w:rPr>
                <w:sz w:val="22"/>
              </w:rPr>
              <w:t xml:space="preserve">nebo </w:t>
            </w:r>
          </w:p>
          <w:p w14:paraId="5A88ED66" w14:textId="77777777" w:rsidR="000E10AB" w:rsidRPr="009F530E" w:rsidRDefault="000E10AB" w:rsidP="009F530E">
            <w:pPr>
              <w:autoSpaceDE w:val="0"/>
              <w:autoSpaceDN w:val="0"/>
              <w:adjustRightInd w:val="0"/>
              <w:spacing w:after="40"/>
              <w:ind w:left="375"/>
              <w:jc w:val="both"/>
              <w:rPr>
                <w:sz w:val="22"/>
                <w:szCs w:val="22"/>
              </w:rPr>
            </w:pPr>
            <w:r>
              <w:rPr>
                <w:sz w:val="22"/>
              </w:rPr>
              <w:t xml:space="preserve">u nichž byl hrubý grantový ekvivalent schválen před provedením opatření na základě sdělení Komise o zárukách a schválená metodika výpočtu se výslovně týká daného typu záruky a daného typu hlavní transakce, o něž se v souvislosti s uplatňováním obecného nařízení </w:t>
            </w:r>
            <w:r>
              <w:rPr>
                <w:sz w:val="22"/>
              </w:rPr>
              <w:lastRenderedPageBreak/>
              <w:t>o blokových výjimkách jedná);</w:t>
            </w:r>
          </w:p>
          <w:p w14:paraId="52085299" w14:textId="77777777" w:rsidR="00DD24CA" w:rsidRPr="009F530E" w:rsidRDefault="000E10AB" w:rsidP="009F530E">
            <w:pPr>
              <w:numPr>
                <w:ilvl w:val="0"/>
                <w:numId w:val="55"/>
              </w:numPr>
              <w:autoSpaceDE w:val="0"/>
              <w:autoSpaceDN w:val="0"/>
              <w:adjustRightInd w:val="0"/>
              <w:spacing w:after="40"/>
              <w:jc w:val="both"/>
              <w:rPr>
                <w:sz w:val="22"/>
                <w:szCs w:val="22"/>
              </w:rPr>
            </w:pPr>
            <w:r>
              <w:rPr>
                <w:sz w:val="22"/>
              </w:rPr>
              <w:t>daňová zvýhodnění (pokud je stanovena horní mez, která zajišťuje, že nebude překročena příslušná prahová hodnota);</w:t>
            </w:r>
          </w:p>
          <w:p w14:paraId="24558AAE" w14:textId="77777777" w:rsidR="000E10AB" w:rsidRPr="009F530E" w:rsidRDefault="001910C8" w:rsidP="009F530E">
            <w:pPr>
              <w:numPr>
                <w:ilvl w:val="0"/>
                <w:numId w:val="55"/>
              </w:numPr>
              <w:autoSpaceDE w:val="0"/>
              <w:autoSpaceDN w:val="0"/>
              <w:adjustRightInd w:val="0"/>
              <w:spacing w:after="40"/>
              <w:jc w:val="both"/>
              <w:rPr>
                <w:b/>
                <w:sz w:val="22"/>
                <w:szCs w:val="22"/>
              </w:rPr>
            </w:pPr>
            <w:r>
              <w:rPr>
                <w:sz w:val="22"/>
              </w:rPr>
              <w:t>regionální urbanistická podpora (jsou-li splněny podmínky článku 16).</w:t>
            </w:r>
          </w:p>
        </w:tc>
        <w:tc>
          <w:tcPr>
            <w:tcW w:w="2130" w:type="dxa"/>
            <w:shd w:val="clear" w:color="auto" w:fill="auto"/>
          </w:tcPr>
          <w:p w14:paraId="00B5F98D" w14:textId="77777777" w:rsidR="000E10AB" w:rsidRPr="0017445D" w:rsidRDefault="000E10AB" w:rsidP="00867005"/>
        </w:tc>
      </w:tr>
      <w:tr w:rsidR="00E442B2" w:rsidRPr="0017445D" w14:paraId="288B2CA0" w14:textId="77777777" w:rsidTr="00E442B2">
        <w:trPr>
          <w:trHeight w:val="271"/>
        </w:trPr>
        <w:tc>
          <w:tcPr>
            <w:tcW w:w="12482" w:type="dxa"/>
            <w:shd w:val="clear" w:color="auto" w:fill="D9D9D9"/>
          </w:tcPr>
          <w:p w14:paraId="28A54077" w14:textId="77777777" w:rsidR="000E10AB" w:rsidRPr="009F530E" w:rsidRDefault="000E10AB" w:rsidP="000E10AB">
            <w:pPr>
              <w:rPr>
                <w:b/>
                <w:sz w:val="22"/>
                <w:szCs w:val="22"/>
              </w:rPr>
            </w:pPr>
            <w:r>
              <w:rPr>
                <w:b/>
                <w:sz w:val="22"/>
              </w:rPr>
              <w:lastRenderedPageBreak/>
              <w:t xml:space="preserve">Článek 6 – Motivační účinek </w:t>
            </w:r>
          </w:p>
        </w:tc>
        <w:tc>
          <w:tcPr>
            <w:tcW w:w="2130" w:type="dxa"/>
            <w:shd w:val="clear" w:color="auto" w:fill="D9D9D9"/>
          </w:tcPr>
          <w:p w14:paraId="66A6D01F" w14:textId="77777777" w:rsidR="000E10AB" w:rsidRPr="0017445D" w:rsidRDefault="000E10AB" w:rsidP="00CA2F50"/>
        </w:tc>
      </w:tr>
      <w:tr w:rsidR="00E442B2" w:rsidRPr="0017445D" w14:paraId="1B8E9D32" w14:textId="77777777" w:rsidTr="00E442B2">
        <w:trPr>
          <w:trHeight w:val="271"/>
        </w:trPr>
        <w:tc>
          <w:tcPr>
            <w:tcW w:w="12482" w:type="dxa"/>
            <w:tcBorders>
              <w:bottom w:val="single" w:sz="4" w:space="0" w:color="auto"/>
            </w:tcBorders>
            <w:shd w:val="clear" w:color="auto" w:fill="auto"/>
          </w:tcPr>
          <w:p w14:paraId="7E3BB729" w14:textId="77777777" w:rsidR="000E10AB" w:rsidRPr="009F530E" w:rsidRDefault="000E10AB" w:rsidP="00CA2F50">
            <w:pPr>
              <w:rPr>
                <w:sz w:val="22"/>
                <w:szCs w:val="22"/>
              </w:rPr>
            </w:pPr>
            <w:r>
              <w:rPr>
                <w:sz w:val="22"/>
              </w:rPr>
              <w:t>Podpora může být vyňata pouze v případě, že má motivační účinek:</w:t>
            </w:r>
          </w:p>
          <w:p w14:paraId="53EE9335" w14:textId="77777777" w:rsidR="000E10AB" w:rsidRPr="009F530E" w:rsidRDefault="000E10AB" w:rsidP="00B46C58">
            <w:pPr>
              <w:numPr>
                <w:ilvl w:val="0"/>
                <w:numId w:val="5"/>
              </w:numPr>
              <w:rPr>
                <w:sz w:val="22"/>
                <w:szCs w:val="22"/>
              </w:rPr>
            </w:pPr>
            <w:r>
              <w:rPr>
                <w:b/>
                <w:sz w:val="22"/>
              </w:rPr>
              <w:t>Příjemce předložil členskému státu žádost o podporu před zahájením prací</w:t>
            </w:r>
            <w:r>
              <w:t xml:space="preserve"> </w:t>
            </w:r>
            <w:r>
              <w:rPr>
                <w:sz w:val="22"/>
              </w:rPr>
              <w:t>na projektu nebo činnosti, která obsahuje alespoň tyto údaje:</w:t>
            </w:r>
          </w:p>
          <w:p w14:paraId="02924714" w14:textId="77777777" w:rsidR="000E10AB" w:rsidRPr="009F530E" w:rsidRDefault="000E10AB" w:rsidP="00B46C58">
            <w:pPr>
              <w:numPr>
                <w:ilvl w:val="0"/>
                <w:numId w:val="11"/>
              </w:numPr>
              <w:autoSpaceDE w:val="0"/>
              <w:autoSpaceDN w:val="0"/>
              <w:adjustRightInd w:val="0"/>
              <w:rPr>
                <w:sz w:val="22"/>
                <w:szCs w:val="22"/>
              </w:rPr>
            </w:pPr>
            <w:r>
              <w:rPr>
                <w:sz w:val="22"/>
              </w:rPr>
              <w:t>název a velikost podniku,</w:t>
            </w:r>
          </w:p>
          <w:p w14:paraId="40BD702E" w14:textId="77777777" w:rsidR="000E10AB" w:rsidRPr="009F530E" w:rsidRDefault="000E10AB" w:rsidP="00B46C58">
            <w:pPr>
              <w:numPr>
                <w:ilvl w:val="0"/>
                <w:numId w:val="11"/>
              </w:numPr>
              <w:autoSpaceDE w:val="0"/>
              <w:autoSpaceDN w:val="0"/>
              <w:adjustRightInd w:val="0"/>
              <w:rPr>
                <w:sz w:val="22"/>
                <w:szCs w:val="22"/>
              </w:rPr>
            </w:pPr>
            <w:r>
              <w:rPr>
                <w:sz w:val="22"/>
              </w:rPr>
              <w:t>popis projektu, včetně termínu jeho zahájení a ukončení,</w:t>
            </w:r>
          </w:p>
          <w:p w14:paraId="3E856B1B" w14:textId="77777777" w:rsidR="000E10AB" w:rsidRPr="009F530E" w:rsidRDefault="000E10AB" w:rsidP="00B46C58">
            <w:pPr>
              <w:numPr>
                <w:ilvl w:val="0"/>
                <w:numId w:val="11"/>
              </w:numPr>
              <w:autoSpaceDE w:val="0"/>
              <w:autoSpaceDN w:val="0"/>
              <w:adjustRightInd w:val="0"/>
              <w:rPr>
                <w:sz w:val="22"/>
                <w:szCs w:val="22"/>
              </w:rPr>
            </w:pPr>
            <w:r>
              <w:rPr>
                <w:sz w:val="22"/>
              </w:rPr>
              <w:t>umístění projektu,</w:t>
            </w:r>
          </w:p>
          <w:p w14:paraId="1F6AC5D9" w14:textId="77777777" w:rsidR="000E10AB" w:rsidRPr="009F530E" w:rsidRDefault="000E10AB" w:rsidP="00B46C58">
            <w:pPr>
              <w:numPr>
                <w:ilvl w:val="0"/>
                <w:numId w:val="11"/>
              </w:numPr>
              <w:autoSpaceDE w:val="0"/>
              <w:autoSpaceDN w:val="0"/>
              <w:adjustRightInd w:val="0"/>
              <w:rPr>
                <w:sz w:val="22"/>
                <w:szCs w:val="22"/>
              </w:rPr>
            </w:pPr>
            <w:r>
              <w:rPr>
                <w:sz w:val="22"/>
              </w:rPr>
              <w:t>seznam nákladů projektu,</w:t>
            </w:r>
          </w:p>
          <w:p w14:paraId="5E34E3E8" w14:textId="77777777" w:rsidR="000E10AB" w:rsidRPr="009F530E" w:rsidRDefault="000E10AB" w:rsidP="00B46C58">
            <w:pPr>
              <w:numPr>
                <w:ilvl w:val="0"/>
                <w:numId w:val="11"/>
              </w:numPr>
              <w:autoSpaceDE w:val="0"/>
              <w:autoSpaceDN w:val="0"/>
              <w:adjustRightInd w:val="0"/>
              <w:jc w:val="both"/>
              <w:rPr>
                <w:sz w:val="22"/>
                <w:szCs w:val="22"/>
              </w:rPr>
            </w:pPr>
            <w:r>
              <w:rPr>
                <w:sz w:val="22"/>
              </w:rPr>
              <w:t>druh podpory (dotace, půjčka, záruka, vratná záloha, kapitálová injekce nebo jiné) a   výše veřejného financování, které je pro daný projekt zapotřebí.</w:t>
            </w:r>
          </w:p>
          <w:p w14:paraId="2E181F76" w14:textId="77777777" w:rsidR="000E10AB" w:rsidRPr="009F530E" w:rsidRDefault="00782E44" w:rsidP="00B46C58">
            <w:pPr>
              <w:numPr>
                <w:ilvl w:val="0"/>
                <w:numId w:val="5"/>
              </w:numPr>
              <w:autoSpaceDE w:val="0"/>
              <w:autoSpaceDN w:val="0"/>
              <w:adjustRightInd w:val="0"/>
              <w:jc w:val="both"/>
              <w:rPr>
                <w:sz w:val="22"/>
                <w:szCs w:val="22"/>
              </w:rPr>
            </w:pPr>
            <w:r>
              <w:rPr>
                <w:b/>
                <w:sz w:val="22"/>
              </w:rPr>
              <w:t>Podpora ad hoc poskytnutá velkým podnikům</w:t>
            </w:r>
            <w:r>
              <w:rPr>
                <w:sz w:val="22"/>
              </w:rPr>
              <w:t>; kromě výše uvedených skutečností členský stát před poskytnutím podpory ověřil, že dokumentace vyhotovená příjemcem dokládá, že podpora povede alespoň k jednomu z následujících výsledků:</w:t>
            </w:r>
          </w:p>
          <w:p w14:paraId="6E7BC616" w14:textId="77777777" w:rsidR="000E10AB" w:rsidRDefault="000E10AB" w:rsidP="00B46C58">
            <w:pPr>
              <w:numPr>
                <w:ilvl w:val="0"/>
                <w:numId w:val="12"/>
              </w:numPr>
              <w:autoSpaceDE w:val="0"/>
              <w:autoSpaceDN w:val="0"/>
              <w:adjustRightInd w:val="0"/>
              <w:jc w:val="both"/>
              <w:rPr>
                <w:sz w:val="22"/>
                <w:szCs w:val="22"/>
              </w:rPr>
            </w:pPr>
            <w:r>
              <w:rPr>
                <w:sz w:val="22"/>
              </w:rPr>
              <w:t>v případě regionální investiční podpory je realizován projekt, který by bez poskytnutí podpory nebyl v dané oblasti realizován nebo by nebyl pro příjemce v dané oblasti dostatečně ziskový;</w:t>
            </w:r>
          </w:p>
          <w:p w14:paraId="1D6B1A21" w14:textId="77777777" w:rsidR="00782E44" w:rsidRPr="006250A2" w:rsidRDefault="00782E44" w:rsidP="006250A2">
            <w:pPr>
              <w:numPr>
                <w:ilvl w:val="0"/>
                <w:numId w:val="12"/>
              </w:numPr>
              <w:autoSpaceDE w:val="0"/>
              <w:autoSpaceDN w:val="0"/>
              <w:adjustRightInd w:val="0"/>
              <w:jc w:val="both"/>
              <w:rPr>
                <w:sz w:val="22"/>
                <w:szCs w:val="22"/>
              </w:rPr>
            </w:pPr>
            <w:r>
              <w:rPr>
                <w:sz w:val="22"/>
              </w:rPr>
              <w:t xml:space="preserve">ve všech ostatních případech, že existuje: </w:t>
            </w:r>
          </w:p>
          <w:p w14:paraId="30D61943" w14:textId="77777777" w:rsidR="00782E44" w:rsidRPr="006250A2" w:rsidRDefault="00782E44" w:rsidP="009F530E">
            <w:pPr>
              <w:numPr>
                <w:ilvl w:val="0"/>
                <w:numId w:val="58"/>
              </w:numPr>
              <w:autoSpaceDE w:val="0"/>
              <w:autoSpaceDN w:val="0"/>
              <w:adjustRightInd w:val="0"/>
              <w:jc w:val="both"/>
              <w:rPr>
                <w:sz w:val="22"/>
                <w:szCs w:val="22"/>
              </w:rPr>
            </w:pPr>
            <w:r>
              <w:rPr>
                <w:sz w:val="22"/>
              </w:rPr>
              <w:t xml:space="preserve">významný nárůst rozsahu projektu či činnosti v důsledku podpory nebo </w:t>
            </w:r>
          </w:p>
          <w:p w14:paraId="2093FECD" w14:textId="77777777" w:rsidR="00782E44" w:rsidRPr="006250A2" w:rsidRDefault="00782E44" w:rsidP="009F530E">
            <w:pPr>
              <w:numPr>
                <w:ilvl w:val="0"/>
                <w:numId w:val="58"/>
              </w:numPr>
              <w:autoSpaceDE w:val="0"/>
              <w:autoSpaceDN w:val="0"/>
              <w:adjustRightInd w:val="0"/>
              <w:jc w:val="both"/>
              <w:rPr>
                <w:sz w:val="22"/>
                <w:szCs w:val="22"/>
              </w:rPr>
            </w:pPr>
            <w:r>
              <w:rPr>
                <w:sz w:val="22"/>
              </w:rPr>
              <w:t>významné zvýšení celkové částky vynaložené příjemcem na projekt či činnost v důsledku podpory nebo</w:t>
            </w:r>
          </w:p>
          <w:p w14:paraId="68A2C1AE" w14:textId="77777777" w:rsidR="00782E44" w:rsidRPr="009F530E" w:rsidRDefault="00782E44" w:rsidP="009F530E">
            <w:pPr>
              <w:numPr>
                <w:ilvl w:val="0"/>
                <w:numId w:val="58"/>
              </w:numPr>
              <w:autoSpaceDE w:val="0"/>
              <w:autoSpaceDN w:val="0"/>
              <w:adjustRightInd w:val="0"/>
              <w:jc w:val="both"/>
              <w:rPr>
                <w:sz w:val="22"/>
                <w:szCs w:val="22"/>
              </w:rPr>
            </w:pPr>
            <w:r>
              <w:rPr>
                <w:sz w:val="22"/>
              </w:rPr>
              <w:t>významné urychlení při dokončování příslušného projektu či činnosti.</w:t>
            </w:r>
          </w:p>
          <w:p w14:paraId="46ED2DCA" w14:textId="77777777" w:rsidR="000E10AB" w:rsidRPr="009F530E" w:rsidRDefault="000E10AB" w:rsidP="00CA2F50">
            <w:pPr>
              <w:ind w:left="396"/>
              <w:rPr>
                <w:sz w:val="22"/>
                <w:szCs w:val="22"/>
              </w:rPr>
            </w:pPr>
            <w:r>
              <w:rPr>
                <w:sz w:val="22"/>
                <w:szCs w:val="22"/>
              </w:rPr>
              <w:sym w:font="Wingdings" w:char="F0E0"/>
            </w:r>
            <w:r>
              <w:rPr>
                <w:b/>
                <w:sz w:val="22"/>
              </w:rPr>
              <w:t>Výjimky</w:t>
            </w:r>
          </w:p>
          <w:p w14:paraId="140288B6" w14:textId="77777777" w:rsidR="000E10AB" w:rsidRPr="009F530E" w:rsidRDefault="00782E44" w:rsidP="00B46C58">
            <w:pPr>
              <w:numPr>
                <w:ilvl w:val="0"/>
                <w:numId w:val="5"/>
              </w:numPr>
              <w:rPr>
                <w:sz w:val="22"/>
                <w:szCs w:val="22"/>
              </w:rPr>
            </w:pPr>
            <w:r>
              <w:rPr>
                <w:sz w:val="22"/>
              </w:rPr>
              <w:t>U daňových zvýhodnění se má za to, že mají motivační účinek, pokud:</w:t>
            </w:r>
          </w:p>
          <w:p w14:paraId="404357ED" w14:textId="77777777" w:rsidR="000E10AB" w:rsidRPr="009F530E" w:rsidRDefault="000E10AB" w:rsidP="00B46C58">
            <w:pPr>
              <w:numPr>
                <w:ilvl w:val="0"/>
                <w:numId w:val="14"/>
              </w:numPr>
              <w:autoSpaceDE w:val="0"/>
              <w:autoSpaceDN w:val="0"/>
              <w:adjustRightInd w:val="0"/>
              <w:jc w:val="both"/>
              <w:rPr>
                <w:sz w:val="22"/>
                <w:szCs w:val="22"/>
              </w:rPr>
            </w:pPr>
            <w:r>
              <w:rPr>
                <w:sz w:val="22"/>
              </w:rPr>
              <w:t>opatření zakládá právo na podporu na základě objektivních kritérií a bez dalšího uplatnění rozhodovací pravomoci členského státu a</w:t>
            </w:r>
          </w:p>
          <w:p w14:paraId="72910692" w14:textId="77777777" w:rsidR="000E10AB" w:rsidRPr="009F530E" w:rsidRDefault="000E10AB" w:rsidP="00B46C58">
            <w:pPr>
              <w:numPr>
                <w:ilvl w:val="0"/>
                <w:numId w:val="14"/>
              </w:numPr>
              <w:autoSpaceDE w:val="0"/>
              <w:autoSpaceDN w:val="0"/>
              <w:adjustRightInd w:val="0"/>
              <w:jc w:val="both"/>
              <w:rPr>
                <w:sz w:val="22"/>
                <w:szCs w:val="22"/>
              </w:rPr>
            </w:pPr>
            <w:r>
              <w:rPr>
                <w:sz w:val="22"/>
              </w:rPr>
              <w:t>opatření bylo přijato a nabylo účinnosti před tím, než byly zahájeny práce na podporovaném projektu nebo činnosti; s výjimkou následných daňových režimů, pokud se na danou činnost vztahoval již předchozí režim podpory v podobě daňových zvýhodnění.</w:t>
            </w:r>
          </w:p>
          <w:p w14:paraId="40B60953" w14:textId="77777777" w:rsidR="000E10AB" w:rsidRPr="009F530E" w:rsidRDefault="00782E44" w:rsidP="009F530E">
            <w:pPr>
              <w:numPr>
                <w:ilvl w:val="0"/>
                <w:numId w:val="5"/>
              </w:numPr>
              <w:autoSpaceDE w:val="0"/>
              <w:autoSpaceDN w:val="0"/>
              <w:adjustRightInd w:val="0"/>
              <w:jc w:val="both"/>
              <w:rPr>
                <w:sz w:val="22"/>
                <w:szCs w:val="22"/>
              </w:rPr>
            </w:pPr>
            <w:r>
              <w:rPr>
                <w:sz w:val="22"/>
              </w:rPr>
              <w:t>U regionální provozní podpory se má za to, že má motivační účinek, jsou-li splněny podmínky článku 15.</w:t>
            </w:r>
          </w:p>
        </w:tc>
        <w:tc>
          <w:tcPr>
            <w:tcW w:w="2130" w:type="dxa"/>
            <w:shd w:val="clear" w:color="auto" w:fill="auto"/>
          </w:tcPr>
          <w:p w14:paraId="2290796A" w14:textId="77777777" w:rsidR="000E10AB" w:rsidRPr="0017445D" w:rsidRDefault="000E10AB" w:rsidP="00CA2F50"/>
        </w:tc>
      </w:tr>
      <w:tr w:rsidR="00E442B2" w:rsidRPr="0017445D" w14:paraId="3BAEF3CB" w14:textId="77777777" w:rsidTr="00E442B2">
        <w:trPr>
          <w:trHeight w:val="344"/>
        </w:trPr>
        <w:tc>
          <w:tcPr>
            <w:tcW w:w="12482" w:type="dxa"/>
            <w:shd w:val="clear" w:color="auto" w:fill="D9D9D9"/>
          </w:tcPr>
          <w:p w14:paraId="493137CB" w14:textId="77777777" w:rsidR="000E10AB" w:rsidRPr="009F530E" w:rsidRDefault="000E10AB" w:rsidP="00917062">
            <w:pPr>
              <w:jc w:val="both"/>
              <w:rPr>
                <w:b/>
                <w:sz w:val="22"/>
                <w:szCs w:val="22"/>
              </w:rPr>
            </w:pPr>
            <w:r>
              <w:rPr>
                <w:b/>
                <w:sz w:val="22"/>
              </w:rPr>
              <w:t>Článek 7 – Způsobilé náklady</w:t>
            </w:r>
          </w:p>
        </w:tc>
        <w:tc>
          <w:tcPr>
            <w:tcW w:w="2130" w:type="dxa"/>
            <w:shd w:val="clear" w:color="auto" w:fill="auto"/>
          </w:tcPr>
          <w:p w14:paraId="00363C2B" w14:textId="77777777" w:rsidR="000E10AB" w:rsidRPr="0017445D" w:rsidRDefault="000E10AB" w:rsidP="00867005"/>
        </w:tc>
      </w:tr>
      <w:tr w:rsidR="00E442B2" w:rsidRPr="0017445D" w14:paraId="409B9909" w14:textId="77777777" w:rsidTr="00E442B2">
        <w:trPr>
          <w:trHeight w:val="1101"/>
        </w:trPr>
        <w:tc>
          <w:tcPr>
            <w:tcW w:w="12482" w:type="dxa"/>
            <w:tcBorders>
              <w:bottom w:val="single" w:sz="4" w:space="0" w:color="auto"/>
            </w:tcBorders>
            <w:shd w:val="clear" w:color="auto" w:fill="auto"/>
          </w:tcPr>
          <w:p w14:paraId="41CB991A" w14:textId="77777777" w:rsidR="000E10AB" w:rsidRPr="009F530E" w:rsidRDefault="00AA60FC" w:rsidP="000C51C2">
            <w:pPr>
              <w:spacing w:after="40"/>
              <w:jc w:val="both"/>
              <w:rPr>
                <w:b/>
                <w:sz w:val="22"/>
                <w:szCs w:val="22"/>
              </w:rPr>
            </w:pPr>
            <w:r>
              <w:rPr>
                <w:b/>
                <w:sz w:val="22"/>
              </w:rPr>
              <w:t>Pro účely výpočtu intenzity podpory</w:t>
            </w:r>
          </w:p>
          <w:p w14:paraId="3ABD40F4" w14:textId="77777777" w:rsidR="000E10AB" w:rsidRPr="009F530E" w:rsidRDefault="0083439D" w:rsidP="009F52DA">
            <w:pPr>
              <w:numPr>
                <w:ilvl w:val="0"/>
                <w:numId w:val="45"/>
              </w:numPr>
              <w:ind w:left="328" w:hanging="283"/>
              <w:jc w:val="both"/>
              <w:rPr>
                <w:sz w:val="22"/>
                <w:szCs w:val="22"/>
              </w:rPr>
            </w:pPr>
            <w:r>
              <w:rPr>
                <w:sz w:val="22"/>
              </w:rPr>
              <w:t>Číselné údaje před srážkou daně nebo jiných poplatků.</w:t>
            </w:r>
          </w:p>
          <w:p w14:paraId="0971A790" w14:textId="77777777" w:rsidR="000E10AB" w:rsidRPr="009F530E" w:rsidRDefault="000E10AB" w:rsidP="009F52DA">
            <w:pPr>
              <w:numPr>
                <w:ilvl w:val="0"/>
                <w:numId w:val="45"/>
              </w:numPr>
              <w:ind w:left="328" w:hanging="283"/>
              <w:jc w:val="both"/>
              <w:rPr>
                <w:sz w:val="22"/>
                <w:szCs w:val="22"/>
              </w:rPr>
            </w:pPr>
            <w:r>
              <w:rPr>
                <w:sz w:val="22"/>
              </w:rPr>
              <w:t>Je-li podpora poskytnuta jinou formou než formou grantu, stanoví se její výše jako hrubý grantový ekvivalent podpory.</w:t>
            </w:r>
          </w:p>
          <w:p w14:paraId="6835E766" w14:textId="77777777" w:rsidR="000E10AB" w:rsidRPr="009F530E" w:rsidRDefault="000E10AB" w:rsidP="009F52DA">
            <w:pPr>
              <w:numPr>
                <w:ilvl w:val="0"/>
                <w:numId w:val="45"/>
              </w:numPr>
              <w:ind w:left="328" w:hanging="283"/>
              <w:jc w:val="both"/>
              <w:rPr>
                <w:sz w:val="22"/>
                <w:szCs w:val="22"/>
              </w:rPr>
            </w:pPr>
            <w:r>
              <w:rPr>
                <w:sz w:val="22"/>
              </w:rPr>
              <w:t>Podpora splatná v několika splátkách se diskontuje na svou hodnotu v okamžiku poskytnutí (totéž pro způsobilé náklady a s úrokovými sazbami platnými v okamžiku poskytnutí).</w:t>
            </w:r>
          </w:p>
          <w:p w14:paraId="76FB14B6" w14:textId="77777777" w:rsidR="000E10AB" w:rsidRPr="009F530E" w:rsidRDefault="000E10AB" w:rsidP="009F52DA">
            <w:pPr>
              <w:numPr>
                <w:ilvl w:val="0"/>
                <w:numId w:val="45"/>
              </w:numPr>
              <w:ind w:left="328" w:hanging="283"/>
              <w:jc w:val="both"/>
              <w:rPr>
                <w:sz w:val="22"/>
                <w:szCs w:val="22"/>
              </w:rPr>
            </w:pPr>
            <w:r>
              <w:rPr>
                <w:sz w:val="22"/>
              </w:rPr>
              <w:t>Jednotlivé tranše podpory formou daňových zvýhodnění jsou diskontovány pomocí diskontní sazby platné v době, kdy nastala účinnost daňového zvýhodnění.</w:t>
            </w:r>
          </w:p>
          <w:p w14:paraId="19567019" w14:textId="77777777" w:rsidR="00E60B67" w:rsidRPr="009F530E" w:rsidRDefault="007E0908" w:rsidP="00E60B67">
            <w:pPr>
              <w:numPr>
                <w:ilvl w:val="0"/>
                <w:numId w:val="46"/>
              </w:numPr>
              <w:autoSpaceDE w:val="0"/>
              <w:autoSpaceDN w:val="0"/>
              <w:adjustRightInd w:val="0"/>
              <w:jc w:val="both"/>
              <w:rPr>
                <w:sz w:val="22"/>
                <w:szCs w:val="22"/>
              </w:rPr>
            </w:pPr>
            <w:r>
              <w:rPr>
                <w:sz w:val="22"/>
              </w:rPr>
              <w:t xml:space="preserve">Je-li podpora poskytnuta formou vratných záloh, které jsou vzhledem k neexistenci schválené metodiky pro výpočet jejich hrubého grantového ekvivalentu vyjádřeny procentem způsobilých nákladů, a jestliže opatření stanoví, že v případě úspěšného výsledku </w:t>
            </w:r>
            <w:r>
              <w:rPr>
                <w:sz w:val="22"/>
              </w:rPr>
              <w:lastRenderedPageBreak/>
              <w:t>projektu, stanoveného na základě přiměřené a uvážlivé hypotézy, budou zálohy vráceny spolu s úroky, jejichž sazba bude stanovena alespoň ve výši diskontní sazby platné v době, kdy je podpora poskytnuta, lze maximální intenzitu podpory navýšit o 10 procentních bodů.</w:t>
            </w:r>
          </w:p>
          <w:p w14:paraId="24172ACD" w14:textId="77777777" w:rsidR="000E10AB" w:rsidRPr="009F530E" w:rsidRDefault="000E10AB" w:rsidP="009F52DA">
            <w:pPr>
              <w:numPr>
                <w:ilvl w:val="0"/>
                <w:numId w:val="45"/>
              </w:numPr>
              <w:autoSpaceDE w:val="0"/>
              <w:autoSpaceDN w:val="0"/>
              <w:adjustRightInd w:val="0"/>
              <w:ind w:left="328" w:hanging="283"/>
              <w:jc w:val="both"/>
              <w:rPr>
                <w:sz w:val="22"/>
                <w:szCs w:val="22"/>
              </w:rPr>
            </w:pPr>
            <w:r>
              <w:rPr>
                <w:sz w:val="22"/>
              </w:rPr>
              <w:t>Je-li formou vratných záloh poskytnuta regionální podpora, nelze navýšit maximální intenzitu podpory stanovenou v   mapě regionální podpory platné v   době, kdy je podpora poskytnuta.</w:t>
            </w:r>
          </w:p>
          <w:p w14:paraId="27D1CB66" w14:textId="77777777" w:rsidR="000E10AB" w:rsidRPr="009F530E" w:rsidRDefault="000E10AB" w:rsidP="00C93DBE">
            <w:pPr>
              <w:autoSpaceDE w:val="0"/>
              <w:autoSpaceDN w:val="0"/>
              <w:adjustRightInd w:val="0"/>
              <w:spacing w:after="40"/>
              <w:jc w:val="both"/>
              <w:rPr>
                <w:b/>
                <w:sz w:val="22"/>
                <w:szCs w:val="22"/>
              </w:rPr>
            </w:pPr>
            <w:r>
              <w:rPr>
                <w:b/>
                <w:sz w:val="22"/>
              </w:rPr>
              <w:t>Způsobilé náklady a dokumentace</w:t>
            </w:r>
          </w:p>
          <w:p w14:paraId="3674C220" w14:textId="77777777" w:rsidR="000E10AB" w:rsidRPr="009F530E" w:rsidRDefault="000E10AB" w:rsidP="00C93DBE">
            <w:pPr>
              <w:numPr>
                <w:ilvl w:val="0"/>
                <w:numId w:val="46"/>
              </w:numPr>
              <w:autoSpaceDE w:val="0"/>
              <w:autoSpaceDN w:val="0"/>
              <w:adjustRightInd w:val="0"/>
              <w:jc w:val="both"/>
              <w:rPr>
                <w:sz w:val="22"/>
                <w:szCs w:val="22"/>
              </w:rPr>
            </w:pPr>
            <w:r>
              <w:rPr>
                <w:sz w:val="22"/>
              </w:rPr>
              <w:t xml:space="preserve">Způsobilé náklady doložené doklady, které jsou jasné, konkrétní a aktuální. </w:t>
            </w:r>
          </w:p>
        </w:tc>
        <w:tc>
          <w:tcPr>
            <w:tcW w:w="2130" w:type="dxa"/>
            <w:shd w:val="clear" w:color="auto" w:fill="auto"/>
          </w:tcPr>
          <w:p w14:paraId="384816B3" w14:textId="77777777" w:rsidR="000E10AB" w:rsidRPr="0017445D" w:rsidRDefault="000E10AB" w:rsidP="00867005"/>
        </w:tc>
      </w:tr>
      <w:tr w:rsidR="00E442B2" w:rsidRPr="0017445D" w14:paraId="62BC71AD" w14:textId="77777777" w:rsidTr="00E442B2">
        <w:trPr>
          <w:trHeight w:val="271"/>
        </w:trPr>
        <w:tc>
          <w:tcPr>
            <w:tcW w:w="12482" w:type="dxa"/>
            <w:shd w:val="clear" w:color="auto" w:fill="D9D9D9"/>
          </w:tcPr>
          <w:p w14:paraId="2C4AB71A" w14:textId="77777777" w:rsidR="000E10AB" w:rsidRPr="009F530E" w:rsidRDefault="000E10AB" w:rsidP="000E10AB">
            <w:pPr>
              <w:jc w:val="both"/>
              <w:rPr>
                <w:b/>
                <w:sz w:val="22"/>
                <w:szCs w:val="22"/>
              </w:rPr>
            </w:pPr>
            <w:r>
              <w:rPr>
                <w:b/>
                <w:sz w:val="22"/>
              </w:rPr>
              <w:lastRenderedPageBreak/>
              <w:t>Článek 8 – Kumulace</w:t>
            </w:r>
          </w:p>
        </w:tc>
        <w:tc>
          <w:tcPr>
            <w:tcW w:w="2130" w:type="dxa"/>
            <w:shd w:val="clear" w:color="auto" w:fill="auto"/>
          </w:tcPr>
          <w:p w14:paraId="495F2933" w14:textId="77777777" w:rsidR="000E10AB" w:rsidRPr="0017445D" w:rsidRDefault="000E10AB" w:rsidP="00867005"/>
        </w:tc>
      </w:tr>
      <w:tr w:rsidR="00E442B2" w:rsidRPr="0017445D" w14:paraId="53C05A6E" w14:textId="77777777" w:rsidTr="00E442B2">
        <w:trPr>
          <w:trHeight w:val="271"/>
        </w:trPr>
        <w:tc>
          <w:tcPr>
            <w:tcW w:w="12482" w:type="dxa"/>
            <w:tcBorders>
              <w:bottom w:val="single" w:sz="4" w:space="0" w:color="auto"/>
            </w:tcBorders>
            <w:shd w:val="clear" w:color="auto" w:fill="auto"/>
          </w:tcPr>
          <w:p w14:paraId="7261E61E" w14:textId="77777777" w:rsidR="000E10AB" w:rsidRPr="009F530E" w:rsidRDefault="000E10AB" w:rsidP="00B46C58">
            <w:pPr>
              <w:numPr>
                <w:ilvl w:val="0"/>
                <w:numId w:val="47"/>
              </w:numPr>
              <w:jc w:val="both"/>
              <w:rPr>
                <w:sz w:val="22"/>
                <w:szCs w:val="22"/>
              </w:rPr>
            </w:pPr>
            <w:r>
              <w:t xml:space="preserve">U prahových hodnot a maximální intenzity podpory se přihlíží k </w:t>
            </w:r>
            <w:r>
              <w:rPr>
                <w:b/>
                <w:sz w:val="22"/>
              </w:rPr>
              <w:t>celkové výši</w:t>
            </w:r>
            <w:r>
              <w:t xml:space="preserve"> podpory (odstavec 1);</w:t>
            </w:r>
            <w:r>
              <w:rPr>
                <w:sz w:val="22"/>
              </w:rPr>
              <w:t xml:space="preserve"> </w:t>
            </w:r>
          </w:p>
          <w:p w14:paraId="30C5F8CC" w14:textId="77777777" w:rsidR="000E10AB" w:rsidRPr="009F530E" w:rsidRDefault="000E10AB" w:rsidP="00B46C58">
            <w:pPr>
              <w:numPr>
                <w:ilvl w:val="0"/>
                <w:numId w:val="47"/>
              </w:numPr>
              <w:autoSpaceDE w:val="0"/>
              <w:autoSpaceDN w:val="0"/>
              <w:adjustRightInd w:val="0"/>
              <w:jc w:val="both"/>
              <w:rPr>
                <w:sz w:val="22"/>
                <w:szCs w:val="22"/>
              </w:rPr>
            </w:pPr>
            <w:r>
              <w:rPr>
                <w:b/>
                <w:sz w:val="22"/>
              </w:rPr>
              <w:t>Je-li financování z prostředků Unie</w:t>
            </w:r>
            <w:r>
              <w:t xml:space="preserve"> (které není pod kontrolou členských států) kombinováno se státní podporou, pak je při určování, zda jsou dodrženy prahové hodnoty oznamovací povinnosti a maximální intenzita či výše podpory, brána v potaz pouze tato státní podpora, a to za předpokladu, že celková výše veřejných finančních prostředků poskytnutých k úhradě týchž způsobilých nákladů nepřekračuje nejvýhodnější sazbu financování, kterou stanoví použitelná ustanovení práva Unie (odstavec 2);</w:t>
            </w:r>
          </w:p>
          <w:p w14:paraId="35E6732A" w14:textId="77777777" w:rsidR="000E10AB" w:rsidRPr="009F530E" w:rsidRDefault="000E10AB" w:rsidP="00B46C58">
            <w:pPr>
              <w:numPr>
                <w:ilvl w:val="0"/>
                <w:numId w:val="47"/>
              </w:numPr>
              <w:jc w:val="both"/>
              <w:rPr>
                <w:sz w:val="22"/>
                <w:szCs w:val="22"/>
              </w:rPr>
            </w:pPr>
            <w:r>
              <w:rPr>
                <w:sz w:val="22"/>
              </w:rPr>
              <w:t xml:space="preserve">Vyňatou podporu lze kumulovat s jinou státní podporou, pokud se tato opatření týkají </w:t>
            </w:r>
            <w:r>
              <w:rPr>
                <w:b/>
                <w:sz w:val="22"/>
              </w:rPr>
              <w:t>různých identifikovatelných nákladů</w:t>
            </w:r>
            <w:r>
              <w:rPr>
                <w:sz w:val="22"/>
              </w:rPr>
              <w:t xml:space="preserve"> (odst. 3 písm. a));</w:t>
            </w:r>
          </w:p>
          <w:p w14:paraId="64DCEFEB" w14:textId="77777777" w:rsidR="000E10AB" w:rsidRPr="009F530E" w:rsidRDefault="000E10AB" w:rsidP="00B46C58">
            <w:pPr>
              <w:numPr>
                <w:ilvl w:val="0"/>
                <w:numId w:val="47"/>
              </w:numPr>
              <w:jc w:val="both"/>
              <w:rPr>
                <w:sz w:val="22"/>
                <w:szCs w:val="22"/>
              </w:rPr>
            </w:pPr>
            <w:r>
              <w:rPr>
                <w:sz w:val="22"/>
              </w:rPr>
              <w:t xml:space="preserve">Vyňatou podporu nelze kumulovat s jinou podporou na úhradu </w:t>
            </w:r>
            <w:r>
              <w:rPr>
                <w:b/>
                <w:sz w:val="22"/>
              </w:rPr>
              <w:t>týchž</w:t>
            </w:r>
            <w:r>
              <w:rPr>
                <w:sz w:val="22"/>
              </w:rPr>
              <w:t xml:space="preserve"> – částečně či plně se překrývajících – </w:t>
            </w:r>
            <w:r>
              <w:rPr>
                <w:b/>
                <w:sz w:val="22"/>
              </w:rPr>
              <w:t>způsobilých nákladů</w:t>
            </w:r>
            <w:r>
              <w:rPr>
                <w:sz w:val="22"/>
              </w:rPr>
              <w:t>, vede-li taková kumulace k překročení nejvyšší intenzity nebo výše podpory, která se na danou podporu použije (odst. 3 písm. b));</w:t>
            </w:r>
          </w:p>
          <w:p w14:paraId="0AECE629" w14:textId="77777777" w:rsidR="000E10AB" w:rsidRPr="009F530E" w:rsidRDefault="000E10AB" w:rsidP="00EE12F9">
            <w:pPr>
              <w:numPr>
                <w:ilvl w:val="0"/>
                <w:numId w:val="47"/>
              </w:numPr>
              <w:spacing w:before="100" w:beforeAutospacing="1" w:after="150" w:line="260" w:lineRule="atLeast"/>
              <w:jc w:val="both"/>
              <w:rPr>
                <w:sz w:val="22"/>
                <w:szCs w:val="22"/>
              </w:rPr>
            </w:pPr>
            <w:r>
              <w:rPr>
                <w:sz w:val="22"/>
              </w:rPr>
              <w:t xml:space="preserve">Státní podporu vyňatou obecným nařízením o blokových výjimkách nelze kumulovat s podporou </w:t>
            </w:r>
            <w:r>
              <w:rPr>
                <w:b/>
                <w:sz w:val="22"/>
              </w:rPr>
              <w:t xml:space="preserve">de </w:t>
            </w:r>
            <w:proofErr w:type="spellStart"/>
            <w:r>
              <w:rPr>
                <w:b/>
                <w:sz w:val="22"/>
              </w:rPr>
              <w:t>minimis</w:t>
            </w:r>
            <w:proofErr w:type="spellEnd"/>
            <w:r>
              <w:rPr>
                <w:b/>
                <w:sz w:val="22"/>
              </w:rPr>
              <w:t xml:space="preserve"> </w:t>
            </w:r>
            <w:r>
              <w:rPr>
                <w:sz w:val="22"/>
              </w:rPr>
              <w:t>na tytéž způsobilé náklady, pokud by taková kumulace vedla k překročení intenzity podpory stanovené v kapitole III obecného nařízení o blokových výjimkách.</w:t>
            </w:r>
          </w:p>
        </w:tc>
        <w:tc>
          <w:tcPr>
            <w:tcW w:w="2130" w:type="dxa"/>
            <w:shd w:val="clear" w:color="auto" w:fill="auto"/>
          </w:tcPr>
          <w:p w14:paraId="3D4679ED" w14:textId="77777777" w:rsidR="000E10AB" w:rsidRPr="0017445D" w:rsidRDefault="000E10AB" w:rsidP="00867005"/>
        </w:tc>
      </w:tr>
      <w:tr w:rsidR="00E442B2" w:rsidRPr="002B692E" w14:paraId="1F59AE91" w14:textId="77777777" w:rsidTr="00E442B2">
        <w:trPr>
          <w:trHeight w:val="271"/>
        </w:trPr>
        <w:tc>
          <w:tcPr>
            <w:tcW w:w="12482" w:type="dxa"/>
            <w:tcBorders>
              <w:top w:val="single" w:sz="4" w:space="0" w:color="auto"/>
              <w:left w:val="single" w:sz="4" w:space="0" w:color="auto"/>
              <w:bottom w:val="single" w:sz="4" w:space="0" w:color="auto"/>
              <w:right w:val="single" w:sz="4" w:space="0" w:color="auto"/>
            </w:tcBorders>
            <w:shd w:val="clear" w:color="auto" w:fill="D9D9D9"/>
          </w:tcPr>
          <w:p w14:paraId="155A05EE" w14:textId="77777777" w:rsidR="00AB57BD" w:rsidRPr="002B692E" w:rsidRDefault="00AB57BD" w:rsidP="00AB57BD">
            <w:pPr>
              <w:tabs>
                <w:tab w:val="num" w:pos="360"/>
              </w:tabs>
              <w:ind w:left="360" w:hanging="360"/>
              <w:jc w:val="both"/>
              <w:rPr>
                <w:b/>
                <w:sz w:val="22"/>
                <w:szCs w:val="22"/>
              </w:rPr>
            </w:pPr>
            <w:r>
              <w:rPr>
                <w:b/>
                <w:sz w:val="22"/>
              </w:rPr>
              <w:t xml:space="preserve">Článek 9 – Zveřejňování a informování </w:t>
            </w:r>
          </w:p>
        </w:tc>
        <w:tc>
          <w:tcPr>
            <w:tcW w:w="2130" w:type="dxa"/>
            <w:tcBorders>
              <w:top w:val="single" w:sz="4" w:space="0" w:color="auto"/>
              <w:left w:val="single" w:sz="4" w:space="0" w:color="auto"/>
              <w:bottom w:val="single" w:sz="4" w:space="0" w:color="auto"/>
              <w:right w:val="single" w:sz="4" w:space="0" w:color="auto"/>
            </w:tcBorders>
            <w:shd w:val="clear" w:color="auto" w:fill="D9D9D9"/>
          </w:tcPr>
          <w:p w14:paraId="39A23861" w14:textId="77777777" w:rsidR="00AB57BD" w:rsidRPr="00AB57BD" w:rsidRDefault="00AB57BD" w:rsidP="008F31DD"/>
        </w:tc>
      </w:tr>
      <w:tr w:rsidR="00E442B2" w:rsidRPr="002B692E" w14:paraId="3EEA5F42" w14:textId="77777777" w:rsidTr="00E442B2">
        <w:trPr>
          <w:trHeight w:val="271"/>
        </w:trPr>
        <w:tc>
          <w:tcPr>
            <w:tcW w:w="12482" w:type="dxa"/>
            <w:tcBorders>
              <w:top w:val="single" w:sz="4" w:space="0" w:color="auto"/>
              <w:left w:val="single" w:sz="4" w:space="0" w:color="auto"/>
              <w:bottom w:val="single" w:sz="4" w:space="0" w:color="auto"/>
              <w:right w:val="single" w:sz="4" w:space="0" w:color="auto"/>
            </w:tcBorders>
            <w:shd w:val="clear" w:color="auto" w:fill="auto"/>
          </w:tcPr>
          <w:p w14:paraId="4E8AB589" w14:textId="77777777" w:rsidR="00AB57BD" w:rsidRPr="00F851C2" w:rsidRDefault="00AB57BD" w:rsidP="00AB57BD">
            <w:pPr>
              <w:numPr>
                <w:ilvl w:val="0"/>
                <w:numId w:val="71"/>
              </w:numPr>
              <w:autoSpaceDE w:val="0"/>
              <w:autoSpaceDN w:val="0"/>
              <w:adjustRightInd w:val="0"/>
              <w:ind w:left="328" w:hanging="328"/>
              <w:jc w:val="both"/>
              <w:rPr>
                <w:sz w:val="22"/>
                <w:szCs w:val="22"/>
              </w:rPr>
            </w:pPr>
            <w:r>
              <w:rPr>
                <w:sz w:val="22"/>
              </w:rPr>
              <w:t>Na souhrnné internetové stránce věnované státní podpoře na celostátní nebo regionální úrovni se zveřejňují (odstavec 1):</w:t>
            </w:r>
          </w:p>
          <w:p w14:paraId="3A631FD6" w14:textId="77777777" w:rsidR="00AB57BD" w:rsidRPr="00F851C2" w:rsidRDefault="00AB57BD" w:rsidP="00AB57BD">
            <w:pPr>
              <w:numPr>
                <w:ilvl w:val="1"/>
                <w:numId w:val="72"/>
              </w:numPr>
              <w:autoSpaceDE w:val="0"/>
              <w:autoSpaceDN w:val="0"/>
              <w:adjustRightInd w:val="0"/>
              <w:ind w:left="754" w:hanging="426"/>
              <w:jc w:val="both"/>
              <w:rPr>
                <w:sz w:val="22"/>
                <w:szCs w:val="22"/>
              </w:rPr>
            </w:pPr>
            <w:r>
              <w:rPr>
                <w:sz w:val="22"/>
              </w:rPr>
              <w:t>souhrnné informace (viz článek 11) nebo odkaz na tyto informace;</w:t>
            </w:r>
          </w:p>
          <w:p w14:paraId="07C93122" w14:textId="77777777" w:rsidR="00AB57BD" w:rsidRPr="00F851C2" w:rsidRDefault="00AB57BD" w:rsidP="00AB57BD">
            <w:pPr>
              <w:numPr>
                <w:ilvl w:val="1"/>
                <w:numId w:val="72"/>
              </w:numPr>
              <w:autoSpaceDE w:val="0"/>
              <w:autoSpaceDN w:val="0"/>
              <w:adjustRightInd w:val="0"/>
              <w:ind w:left="754" w:hanging="426"/>
              <w:jc w:val="both"/>
              <w:rPr>
                <w:sz w:val="22"/>
                <w:szCs w:val="22"/>
              </w:rPr>
            </w:pPr>
            <w:r>
              <w:rPr>
                <w:sz w:val="22"/>
              </w:rPr>
              <w:t>úplné znění každého opatření podpory (viz článek 11) nebo odkaz umožňující přístup k úplnému znění;</w:t>
            </w:r>
          </w:p>
          <w:p w14:paraId="4C6E9767" w14:textId="77777777" w:rsidR="00AB57BD" w:rsidRPr="00F851C2" w:rsidRDefault="00AB57BD" w:rsidP="00AB57BD">
            <w:pPr>
              <w:numPr>
                <w:ilvl w:val="1"/>
                <w:numId w:val="72"/>
              </w:numPr>
              <w:autoSpaceDE w:val="0"/>
              <w:autoSpaceDN w:val="0"/>
              <w:adjustRightInd w:val="0"/>
              <w:ind w:left="754" w:hanging="426"/>
              <w:jc w:val="both"/>
              <w:rPr>
                <w:sz w:val="22"/>
                <w:szCs w:val="22"/>
              </w:rPr>
            </w:pPr>
            <w:r>
              <w:rPr>
                <w:sz w:val="22"/>
              </w:rPr>
              <w:t>informace týkající se každého poskytnutí jednotlivé podpory, která přesahuje 500 000 EUR (viz příloha III).</w:t>
            </w:r>
          </w:p>
          <w:p w14:paraId="49B33125" w14:textId="77777777" w:rsidR="00AB57BD" w:rsidRPr="00F851C2" w:rsidRDefault="00AB57BD" w:rsidP="00AB57BD">
            <w:pPr>
              <w:tabs>
                <w:tab w:val="num" w:pos="360"/>
              </w:tabs>
              <w:ind w:left="360" w:hanging="360"/>
              <w:jc w:val="both"/>
              <w:rPr>
                <w:sz w:val="22"/>
                <w:szCs w:val="22"/>
              </w:rPr>
            </w:pPr>
            <w:r>
              <w:rPr>
                <w:sz w:val="22"/>
              </w:rPr>
              <w:t>Pokud jde o podporu poskytovanou na projekty Evropské územní spolupráce, informace uvedené v   tomto odstavci se zveřejní na internetových stránkách členského státu, v němž se nachází příslušný řídicí orgán definovaný v článku 21 nařízení Evropského parlamentu a Rady (EU) č. 1299/2013. Zúčastněné členské státy se mohou alternativně rozhodnout, že každý z nich poskytne na příslušných internetových stránkách informace týkající se opatření podpory na svém území.</w:t>
            </w:r>
          </w:p>
          <w:p w14:paraId="7A713367" w14:textId="77777777" w:rsidR="00AB57BD" w:rsidRPr="00F851C2" w:rsidRDefault="00AB57BD" w:rsidP="00AB57BD">
            <w:pPr>
              <w:numPr>
                <w:ilvl w:val="0"/>
                <w:numId w:val="71"/>
              </w:numPr>
              <w:autoSpaceDE w:val="0"/>
              <w:autoSpaceDN w:val="0"/>
              <w:adjustRightInd w:val="0"/>
              <w:ind w:left="328" w:hanging="283"/>
              <w:jc w:val="both"/>
              <w:rPr>
                <w:sz w:val="22"/>
                <w:szCs w:val="22"/>
              </w:rPr>
            </w:pPr>
            <w:r>
              <w:rPr>
                <w:sz w:val="22"/>
              </w:rPr>
              <w:t>V případě režimů v podobě daňových zvýhodnění a režimů, na které se vztahují články 16 a 21 (s výjimkou malých a středních podniků, které na žádném trhu neuskutečnily komerční prodej), se podmínky odst. 1 písm. c) tohoto článku pokládají za splněné v případě, že členský stát zveřejní požadované údaje k výši jednotlivých podpor v následujících rozpětích (v milionech EUR) (odstavec 2):</w:t>
            </w:r>
          </w:p>
          <w:p w14:paraId="63CDE3E3" w14:textId="77777777" w:rsidR="00AB57BD" w:rsidRPr="00F851C2" w:rsidRDefault="00AB57BD" w:rsidP="00AB57BD">
            <w:pPr>
              <w:numPr>
                <w:ilvl w:val="0"/>
                <w:numId w:val="73"/>
              </w:numPr>
              <w:autoSpaceDE w:val="0"/>
              <w:autoSpaceDN w:val="0"/>
              <w:adjustRightInd w:val="0"/>
              <w:jc w:val="both"/>
              <w:rPr>
                <w:sz w:val="22"/>
                <w:szCs w:val="22"/>
              </w:rPr>
            </w:pPr>
            <w:r>
              <w:rPr>
                <w:sz w:val="22"/>
              </w:rPr>
              <w:t>0,5–1;</w:t>
            </w:r>
          </w:p>
          <w:p w14:paraId="6CAC63D6" w14:textId="77777777" w:rsidR="00AB57BD" w:rsidRPr="00F851C2" w:rsidRDefault="00AB57BD" w:rsidP="00AB57BD">
            <w:pPr>
              <w:numPr>
                <w:ilvl w:val="0"/>
                <w:numId w:val="73"/>
              </w:numPr>
              <w:autoSpaceDE w:val="0"/>
              <w:autoSpaceDN w:val="0"/>
              <w:adjustRightInd w:val="0"/>
              <w:jc w:val="both"/>
              <w:rPr>
                <w:sz w:val="22"/>
                <w:szCs w:val="22"/>
              </w:rPr>
            </w:pPr>
            <w:r>
              <w:rPr>
                <w:sz w:val="22"/>
              </w:rPr>
              <w:t>1–2;</w:t>
            </w:r>
          </w:p>
          <w:p w14:paraId="2C7F09EC" w14:textId="77777777" w:rsidR="00AB57BD" w:rsidRPr="00F851C2" w:rsidRDefault="00AB57BD" w:rsidP="00AB57BD">
            <w:pPr>
              <w:numPr>
                <w:ilvl w:val="0"/>
                <w:numId w:val="73"/>
              </w:numPr>
              <w:autoSpaceDE w:val="0"/>
              <w:autoSpaceDN w:val="0"/>
              <w:adjustRightInd w:val="0"/>
              <w:jc w:val="both"/>
              <w:rPr>
                <w:sz w:val="22"/>
                <w:szCs w:val="22"/>
              </w:rPr>
            </w:pPr>
            <w:r>
              <w:rPr>
                <w:sz w:val="22"/>
              </w:rPr>
              <w:t>2–5;</w:t>
            </w:r>
          </w:p>
          <w:p w14:paraId="20AC5BE8" w14:textId="77777777" w:rsidR="00AB57BD" w:rsidRPr="00F851C2" w:rsidRDefault="00AB57BD" w:rsidP="00AB57BD">
            <w:pPr>
              <w:numPr>
                <w:ilvl w:val="0"/>
                <w:numId w:val="73"/>
              </w:numPr>
              <w:autoSpaceDE w:val="0"/>
              <w:autoSpaceDN w:val="0"/>
              <w:adjustRightInd w:val="0"/>
              <w:jc w:val="both"/>
              <w:rPr>
                <w:sz w:val="22"/>
                <w:szCs w:val="22"/>
              </w:rPr>
            </w:pPr>
            <w:r>
              <w:rPr>
                <w:sz w:val="22"/>
              </w:rPr>
              <w:lastRenderedPageBreak/>
              <w:t>5–10;</w:t>
            </w:r>
          </w:p>
          <w:p w14:paraId="0F4E9D77" w14:textId="77777777" w:rsidR="00AB57BD" w:rsidRPr="00F851C2" w:rsidRDefault="00AB57BD" w:rsidP="00AB57BD">
            <w:pPr>
              <w:numPr>
                <w:ilvl w:val="0"/>
                <w:numId w:val="73"/>
              </w:numPr>
              <w:autoSpaceDE w:val="0"/>
              <w:autoSpaceDN w:val="0"/>
              <w:adjustRightInd w:val="0"/>
              <w:jc w:val="both"/>
              <w:rPr>
                <w:sz w:val="22"/>
                <w:szCs w:val="22"/>
              </w:rPr>
            </w:pPr>
            <w:r>
              <w:rPr>
                <w:sz w:val="22"/>
              </w:rPr>
              <w:t>10–30 a</w:t>
            </w:r>
          </w:p>
          <w:p w14:paraId="55FB8AF6" w14:textId="77777777" w:rsidR="00AB57BD" w:rsidRPr="00F851C2" w:rsidRDefault="00AB57BD" w:rsidP="00AB57BD">
            <w:pPr>
              <w:numPr>
                <w:ilvl w:val="0"/>
                <w:numId w:val="73"/>
              </w:numPr>
              <w:autoSpaceDE w:val="0"/>
              <w:autoSpaceDN w:val="0"/>
              <w:adjustRightInd w:val="0"/>
              <w:jc w:val="both"/>
              <w:rPr>
                <w:sz w:val="22"/>
                <w:szCs w:val="22"/>
              </w:rPr>
            </w:pPr>
            <w:r>
              <w:rPr>
                <w:sz w:val="22"/>
              </w:rPr>
              <w:t>30 a více.</w:t>
            </w:r>
          </w:p>
          <w:p w14:paraId="2E0EEA11" w14:textId="77777777" w:rsidR="00AB57BD" w:rsidRPr="00F851C2" w:rsidRDefault="00AB57BD" w:rsidP="00AB57BD">
            <w:pPr>
              <w:numPr>
                <w:ilvl w:val="0"/>
                <w:numId w:val="71"/>
              </w:numPr>
              <w:autoSpaceDE w:val="0"/>
              <w:autoSpaceDN w:val="0"/>
              <w:adjustRightInd w:val="0"/>
              <w:ind w:left="328" w:hanging="283"/>
              <w:jc w:val="both"/>
              <w:rPr>
                <w:sz w:val="22"/>
                <w:szCs w:val="22"/>
              </w:rPr>
            </w:pPr>
            <w:r>
              <w:rPr>
                <w:sz w:val="22"/>
              </w:rPr>
              <w:t>Informace uvedené v odst. 1 písm. c) tohoto článku musí být uspořádány a být přístupné ve standardizovaném formátu (viz příloha III) a musí být možné je efektivně vyhledávat a stahovat. Informace uvedené v odstavci 1 se zveřejní ve lhůtě šesti měsíců od poskytnutí podpory nebo v případě podpory v podobě daňových zvýhodnění ve lhůtě jednoho roku od data, k němuž se předkládá daňové přiznání, a jsou k dispozici po dobu alespoň deseti let ode dne, kdy byla podpora poskytnuta (odstavec 4).</w:t>
            </w:r>
          </w:p>
          <w:p w14:paraId="0D365AD5" w14:textId="77777777" w:rsidR="00AB57BD" w:rsidRPr="00AB57BD" w:rsidRDefault="00AB57BD" w:rsidP="00AB57BD">
            <w:pPr>
              <w:numPr>
                <w:ilvl w:val="0"/>
                <w:numId w:val="71"/>
              </w:numPr>
              <w:autoSpaceDE w:val="0"/>
              <w:autoSpaceDN w:val="0"/>
              <w:adjustRightInd w:val="0"/>
              <w:ind w:left="328" w:hanging="283"/>
              <w:jc w:val="both"/>
              <w:rPr>
                <w:b/>
                <w:sz w:val="22"/>
                <w:szCs w:val="22"/>
              </w:rPr>
            </w:pPr>
            <w:r>
              <w:rPr>
                <w:sz w:val="22"/>
              </w:rPr>
              <w:t>Členské státy musí dosáhnout souladu s ustanoveními tohoto článku nejpozději do dvou let od vstupu tohoto nařízení v platnost, tj. do 1. července 2016 (odstavec 6).</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794749E2" w14:textId="77777777" w:rsidR="00AB57BD" w:rsidRPr="00AB57BD" w:rsidRDefault="00AB57BD" w:rsidP="008F31DD"/>
        </w:tc>
      </w:tr>
    </w:tbl>
    <w:p w14:paraId="40554011" w14:textId="77777777" w:rsidR="00AB57BD" w:rsidRDefault="00AB57BD" w:rsidP="007D461F">
      <w:pPr>
        <w:rPr>
          <w:b/>
        </w:rPr>
      </w:pPr>
    </w:p>
    <w:p w14:paraId="2187A4E5" w14:textId="77777777" w:rsidR="007D461F" w:rsidRDefault="007D461F" w:rsidP="007D461F">
      <w:r>
        <w:rPr>
          <w:b/>
        </w:rPr>
        <w:t>Pokud jde o definice pojmů</w:t>
      </w:r>
      <w:r>
        <w:t>: článek 2 (nepřehlédnout novou definici podniku v obtížích)</w:t>
      </w:r>
    </w:p>
    <w:p w14:paraId="6BCD9B10" w14:textId="77777777" w:rsidR="00D64EFF" w:rsidRDefault="00D64EFF" w:rsidP="007D461F"/>
    <w:p w14:paraId="49C2A5A7" w14:textId="77777777" w:rsidR="007D461F" w:rsidRDefault="00AB57BD" w:rsidP="007D461F">
      <w:r>
        <w:rPr>
          <w:b/>
        </w:rPr>
        <w:t>Podávání zpráv</w:t>
      </w:r>
      <w:r>
        <w:t>: článek 11</w:t>
      </w:r>
    </w:p>
    <w:p w14:paraId="4B59E6C9" w14:textId="77777777" w:rsidR="007D461F" w:rsidRPr="0017445D" w:rsidRDefault="007D461F" w:rsidP="007D461F">
      <w:r>
        <w:rPr>
          <w:b/>
        </w:rPr>
        <w:t>Kontrola:</w:t>
      </w:r>
      <w:r>
        <w:t xml:space="preserve"> článek 12</w:t>
      </w:r>
    </w:p>
    <w:p w14:paraId="52F7952B" w14:textId="77777777" w:rsidR="007D461F" w:rsidRDefault="00DD57E1">
      <w:r>
        <w:rPr>
          <w:b/>
        </w:rPr>
        <w:t>Odnětí výhody blokové výjimky</w:t>
      </w:r>
      <w:r>
        <w:t>: článek 10</w:t>
      </w:r>
    </w:p>
    <w:p w14:paraId="7F227EE4" w14:textId="77777777" w:rsidR="00003D17" w:rsidRPr="00404CBC" w:rsidRDefault="00003D17" w:rsidP="00003D17">
      <w:pPr>
        <w:jc w:val="center"/>
        <w:rPr>
          <w:b/>
          <w:sz w:val="28"/>
          <w:szCs w:val="28"/>
          <w:u w:val="single"/>
        </w:rPr>
      </w:pPr>
      <w:r>
        <w:rPr>
          <w:b/>
          <w:sz w:val="28"/>
          <w:u w:val="single"/>
        </w:rPr>
        <w:t>B. Zvláštní podmínky pro regionální podporu</w:t>
      </w:r>
    </w:p>
    <w:p w14:paraId="696ADCB9" w14:textId="77777777" w:rsidR="00003D17" w:rsidRDefault="00003D17" w:rsidP="00003D17"/>
    <w:p w14:paraId="43A294A0" w14:textId="77777777" w:rsidR="00003D17" w:rsidRPr="005C0EC9" w:rsidRDefault="00003D17" w:rsidP="00003D17">
      <w:pPr>
        <w:ind w:left="360"/>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5"/>
        <w:gridCol w:w="4485"/>
        <w:gridCol w:w="2269"/>
      </w:tblGrid>
      <w:tr w:rsidR="00895393" w:rsidRPr="008243DE" w14:paraId="358E25C4" w14:textId="77777777" w:rsidTr="00895393">
        <w:trPr>
          <w:trHeight w:val="145"/>
        </w:trPr>
        <w:tc>
          <w:tcPr>
            <w:tcW w:w="2687" w:type="pct"/>
            <w:tcBorders>
              <w:bottom w:val="single" w:sz="4" w:space="0" w:color="auto"/>
            </w:tcBorders>
            <w:shd w:val="clear" w:color="auto" w:fill="333399"/>
          </w:tcPr>
          <w:p w14:paraId="4F2C9BC9" w14:textId="77777777" w:rsidR="00B82243" w:rsidRDefault="00B82243" w:rsidP="00D324A5">
            <w:pPr>
              <w:ind w:left="360"/>
              <w:jc w:val="center"/>
              <w:rPr>
                <w:b/>
                <w:smallCaps/>
                <w:color w:val="FFFFFF"/>
                <w:sz w:val="28"/>
                <w:szCs w:val="28"/>
              </w:rPr>
            </w:pPr>
            <w:r>
              <w:rPr>
                <w:b/>
                <w:smallCaps/>
                <w:color w:val="FFFFFF"/>
                <w:sz w:val="28"/>
              </w:rPr>
              <w:t>Článek 14</w:t>
            </w:r>
          </w:p>
          <w:p w14:paraId="7D6149CE" w14:textId="77777777" w:rsidR="00BB080C" w:rsidRPr="008243DE" w:rsidRDefault="00BB080C" w:rsidP="00D324A5">
            <w:pPr>
              <w:ind w:left="360"/>
              <w:jc w:val="center"/>
              <w:rPr>
                <w:b/>
                <w:smallCaps/>
                <w:color w:val="FFFFFF"/>
                <w:sz w:val="28"/>
                <w:szCs w:val="28"/>
              </w:rPr>
            </w:pPr>
            <w:r>
              <w:rPr>
                <w:b/>
                <w:smallCaps/>
                <w:color w:val="FFFFFF"/>
                <w:sz w:val="28"/>
              </w:rPr>
              <w:t>Regionální investiční podpora</w:t>
            </w:r>
          </w:p>
        </w:tc>
        <w:tc>
          <w:tcPr>
            <w:tcW w:w="2313" w:type="pct"/>
            <w:gridSpan w:val="2"/>
            <w:shd w:val="clear" w:color="auto" w:fill="333399"/>
          </w:tcPr>
          <w:p w14:paraId="1859513C" w14:textId="77777777" w:rsidR="00BB080C" w:rsidRPr="008243DE" w:rsidRDefault="00BB080C" w:rsidP="00D324A5">
            <w:pPr>
              <w:jc w:val="center"/>
              <w:rPr>
                <w:b/>
                <w:smallCaps/>
                <w:color w:val="FFFFFF"/>
                <w:sz w:val="28"/>
                <w:szCs w:val="28"/>
              </w:rPr>
            </w:pPr>
            <w:r>
              <w:rPr>
                <w:b/>
                <w:smallCaps/>
                <w:color w:val="FFFFFF"/>
                <w:sz w:val="28"/>
              </w:rPr>
              <w:t>Kontrola souladu (Souhlasí?)</w:t>
            </w:r>
          </w:p>
        </w:tc>
      </w:tr>
      <w:tr w:rsidR="00E442B2" w14:paraId="1566D140" w14:textId="77777777" w:rsidTr="00E442B2">
        <w:trPr>
          <w:trHeight w:val="850"/>
        </w:trPr>
        <w:tc>
          <w:tcPr>
            <w:tcW w:w="4223" w:type="pct"/>
            <w:gridSpan w:val="2"/>
            <w:shd w:val="clear" w:color="auto" w:fill="auto"/>
          </w:tcPr>
          <w:p w14:paraId="294BA82C" w14:textId="77777777" w:rsidR="000C38DE" w:rsidRPr="00120E79" w:rsidRDefault="000C38DE" w:rsidP="000C38DE">
            <w:pPr>
              <w:numPr>
                <w:ilvl w:val="0"/>
                <w:numId w:val="16"/>
              </w:numPr>
              <w:autoSpaceDE w:val="0"/>
              <w:autoSpaceDN w:val="0"/>
              <w:adjustRightInd w:val="0"/>
              <w:jc w:val="both"/>
            </w:pPr>
            <w:r>
              <w:t>Slučitelná a vyňata z oznamovací povinnosti, pokud platí obecné podmínky slučitelnosti a podmínky stanovené v tomto článku (odstavec 1).</w:t>
            </w:r>
          </w:p>
          <w:p w14:paraId="567F5CE6" w14:textId="77777777" w:rsidR="00BB080C" w:rsidRPr="009F530E" w:rsidRDefault="00782E44" w:rsidP="000C38DE">
            <w:pPr>
              <w:numPr>
                <w:ilvl w:val="0"/>
                <w:numId w:val="16"/>
              </w:numPr>
              <w:rPr>
                <w:b/>
              </w:rPr>
            </w:pPr>
            <w:r>
              <w:rPr>
                <w:b/>
              </w:rPr>
              <w:t>Podpora poskytnutá v podporovaných oblastech (odstavec 2)</w:t>
            </w:r>
          </w:p>
          <w:p w14:paraId="6F1BD73E" w14:textId="77777777" w:rsidR="000A19E8" w:rsidRDefault="00782E44" w:rsidP="000C38DE">
            <w:pPr>
              <w:numPr>
                <w:ilvl w:val="0"/>
                <w:numId w:val="16"/>
              </w:numPr>
            </w:pPr>
            <w:r>
              <w:rPr>
                <w:b/>
              </w:rPr>
              <w:t>Počáteční investice</w:t>
            </w:r>
            <w:r>
              <w:t xml:space="preserve"> v oblastech splňujících podmínky čl. 107 odst. 3 písm. a) Smlouvy bez ohledu na velikost příjemce; jakákoli forma podpory na počáteční investice od malých a středních podniků v oblastech splňujících podmínky čl. 107 odst. 3 písm. c) Smlouvy; podporu velkým podnikům lze poskytovat pouze na počáteční investici ve prospěch nové hospodářské činnosti (odstavec 3).</w:t>
            </w:r>
          </w:p>
          <w:p w14:paraId="1A1D50C0" w14:textId="77777777" w:rsidR="00981AB9" w:rsidRPr="009F530E" w:rsidRDefault="00981AB9" w:rsidP="000C38DE">
            <w:pPr>
              <w:numPr>
                <w:ilvl w:val="0"/>
                <w:numId w:val="16"/>
              </w:numPr>
              <w:rPr>
                <w:b/>
              </w:rPr>
            </w:pPr>
            <w:r>
              <w:rPr>
                <w:b/>
              </w:rPr>
              <w:t>Způsobilé náklady (odstavec 4)</w:t>
            </w:r>
          </w:p>
          <w:p w14:paraId="71AF8687" w14:textId="77777777" w:rsidR="00BB080C" w:rsidRDefault="00BB080C" w:rsidP="009F530E">
            <w:pPr>
              <w:numPr>
                <w:ilvl w:val="0"/>
                <w:numId w:val="59"/>
              </w:numPr>
            </w:pPr>
            <w:r>
              <w:t xml:space="preserve">náklady na investice do hmotného a nehmotného majetku,  </w:t>
            </w:r>
          </w:p>
          <w:p w14:paraId="75C8CC65" w14:textId="77777777" w:rsidR="00BB080C" w:rsidRDefault="00BB080C" w:rsidP="009F530E">
            <w:pPr>
              <w:numPr>
                <w:ilvl w:val="0"/>
                <w:numId w:val="59"/>
              </w:numPr>
            </w:pPr>
            <w:r>
              <w:t xml:space="preserve">mzdové náklady (jež jsou spojeny s počáteční investicí) vypočtené na období dvou let, </w:t>
            </w:r>
          </w:p>
          <w:p w14:paraId="33563980" w14:textId="77777777" w:rsidR="00BB080C" w:rsidRDefault="00BB080C" w:rsidP="009F530E">
            <w:pPr>
              <w:numPr>
                <w:ilvl w:val="0"/>
                <w:numId w:val="59"/>
              </w:numPr>
            </w:pPr>
            <w:r>
              <w:t>kombinace nákladů podle výše uvedených dvou odrážek, přičemž nesmí být překročena vyšší z částek podle obou výše uvedených odrážek.</w:t>
            </w:r>
          </w:p>
          <w:p w14:paraId="0DE8B241" w14:textId="77777777" w:rsidR="00BB080C" w:rsidRDefault="00782E44" w:rsidP="000C38DE">
            <w:pPr>
              <w:numPr>
                <w:ilvl w:val="0"/>
                <w:numId w:val="16"/>
              </w:numPr>
            </w:pPr>
            <w:r>
              <w:rPr>
                <w:b/>
              </w:rPr>
              <w:t>Zachování investice v oblasti po dobu alespoň</w:t>
            </w:r>
            <w:r>
              <w:t xml:space="preserve"> pěti let; v případě malých a středních podniků po dobu alespoň tří let (toto nebrání reprodukci zastaralého nebo porouchaného zařízení nebo vybavení za podmínky, že činnost zůstane v regionu zachována) (odstavec 5).</w:t>
            </w:r>
          </w:p>
          <w:p w14:paraId="330B176B" w14:textId="77777777" w:rsidR="00BB080C" w:rsidRDefault="00BB080C" w:rsidP="000C38DE">
            <w:pPr>
              <w:numPr>
                <w:ilvl w:val="0"/>
                <w:numId w:val="16"/>
              </w:numPr>
            </w:pPr>
            <w:r>
              <w:rPr>
                <w:b/>
              </w:rPr>
              <w:t>Pořízený majetek musí být nový, s výjimkou malých a středních podniků</w:t>
            </w:r>
            <w:r>
              <w:t xml:space="preserve"> a s výjimkou pořízení provozovny </w:t>
            </w:r>
            <w:r>
              <w:lastRenderedPageBreak/>
              <w:t>(odstavec 6).</w:t>
            </w:r>
          </w:p>
          <w:p w14:paraId="4B8E395D" w14:textId="77777777" w:rsidR="00BB080C" w:rsidRDefault="00BB080C" w:rsidP="000C38DE">
            <w:pPr>
              <w:numPr>
                <w:ilvl w:val="0"/>
                <w:numId w:val="16"/>
              </w:numPr>
            </w:pPr>
            <w:r>
              <w:rPr>
                <w:b/>
              </w:rPr>
              <w:t>Náklady související s pronájmem hmotného majetku</w:t>
            </w:r>
            <w:r>
              <w:t xml:space="preserve"> (odstavec 6) </w:t>
            </w:r>
          </w:p>
          <w:p w14:paraId="2A3B884B" w14:textId="77777777" w:rsidR="00BB080C" w:rsidRPr="000C51C2" w:rsidRDefault="00BB080C" w:rsidP="009F530E">
            <w:pPr>
              <w:numPr>
                <w:ilvl w:val="0"/>
                <w:numId w:val="60"/>
              </w:numPr>
              <w:autoSpaceDE w:val="0"/>
              <w:autoSpaceDN w:val="0"/>
              <w:adjustRightInd w:val="0"/>
              <w:jc w:val="both"/>
            </w:pPr>
            <w:r>
              <w:t>u pozemků a budov musí nájem pokračovat alespoň po dobu pěti let od ukončení investičního projektu v případě velkých podniků a po dobu tří let v případě podniků malých a středních,</w:t>
            </w:r>
          </w:p>
          <w:p w14:paraId="48E8611D" w14:textId="77777777" w:rsidR="00BB080C" w:rsidRDefault="00BB080C" w:rsidP="009F530E">
            <w:pPr>
              <w:numPr>
                <w:ilvl w:val="0"/>
                <w:numId w:val="60"/>
              </w:numPr>
              <w:autoSpaceDE w:val="0"/>
              <w:autoSpaceDN w:val="0"/>
              <w:adjustRightInd w:val="0"/>
              <w:jc w:val="both"/>
            </w:pPr>
            <w:r>
              <w:t>v případě zařízení nebo strojů musí mít nájem podobu finančního leasingu; příjemce má povinnost odkoupit tento majetek po uplynutí sjednané doby nájmu,</w:t>
            </w:r>
          </w:p>
          <w:p w14:paraId="15E27466" w14:textId="77777777" w:rsidR="00BB080C" w:rsidRPr="000C51C2" w:rsidRDefault="00BB080C" w:rsidP="009F530E">
            <w:pPr>
              <w:numPr>
                <w:ilvl w:val="0"/>
                <w:numId w:val="60"/>
              </w:numPr>
              <w:autoSpaceDE w:val="0"/>
              <w:autoSpaceDN w:val="0"/>
              <w:adjustRightInd w:val="0"/>
              <w:jc w:val="both"/>
            </w:pPr>
            <w:r>
              <w:t>pořízení majetku v rámci počátečních investic; pouze náklady na nákup majetku od třetích osob, které nejsou spřízněny s kupujícím, a to za tržních podmínek. Pokud již byla poskytnuta podpora na pořízení majetku před jeho nákupem, pak se tyto náklady odečítají od způsobilých nákladů. Jestliže se malý podnik převádí na rodinného příslušníka původního vlastníka nebo na zaměstnance; podmínka týkající se třetích osob nespřízněných s kupujícím se nepoužije. Nabytí podílů se nepovažuje za počáteční investici.</w:t>
            </w:r>
          </w:p>
          <w:p w14:paraId="2B981EE2" w14:textId="77777777" w:rsidR="00782E44" w:rsidRDefault="00782E44" w:rsidP="000C38DE">
            <w:pPr>
              <w:numPr>
                <w:ilvl w:val="0"/>
                <w:numId w:val="16"/>
              </w:numPr>
              <w:autoSpaceDE w:val="0"/>
              <w:autoSpaceDN w:val="0"/>
              <w:adjustRightInd w:val="0"/>
            </w:pPr>
            <w:r>
              <w:rPr>
                <w:b/>
              </w:rPr>
              <w:t>Zásadní změna výrobního postupu</w:t>
            </w:r>
          </w:p>
          <w:p w14:paraId="05E595ED" w14:textId="77777777" w:rsidR="00BB080C" w:rsidRPr="000C51C2" w:rsidRDefault="00BB080C" w:rsidP="009F530E">
            <w:pPr>
              <w:numPr>
                <w:ilvl w:val="0"/>
                <w:numId w:val="61"/>
              </w:numPr>
              <w:autoSpaceDE w:val="0"/>
              <w:autoSpaceDN w:val="0"/>
              <w:adjustRightInd w:val="0"/>
            </w:pPr>
            <w:r>
              <w:t xml:space="preserve">způsobilé náklady musí být vyšší než odpisy provedené za předcházející tři účetní období (odstavec 7), </w:t>
            </w:r>
          </w:p>
          <w:p w14:paraId="53B5660F" w14:textId="77777777" w:rsidR="00BB080C" w:rsidRDefault="00BB080C" w:rsidP="009F530E">
            <w:pPr>
              <w:numPr>
                <w:ilvl w:val="0"/>
                <w:numId w:val="61"/>
              </w:numPr>
              <w:autoSpaceDE w:val="0"/>
              <w:autoSpaceDN w:val="0"/>
              <w:adjustRightInd w:val="0"/>
            </w:pPr>
            <w:r>
              <w:t>rozšíření výrobního sortimentu stávající provozovny; způsobilé náklady musí být o nejméně 200 % vyšší než účetní hodnota (jeden rok před zahájením prací) znovu použitého majetku (odstavec 7).</w:t>
            </w:r>
          </w:p>
          <w:p w14:paraId="711939CB" w14:textId="77777777" w:rsidR="00BB080C" w:rsidRDefault="00BB080C" w:rsidP="000C38DE">
            <w:pPr>
              <w:numPr>
                <w:ilvl w:val="0"/>
                <w:numId w:val="16"/>
              </w:numPr>
              <w:autoSpaceDE w:val="0"/>
              <w:autoSpaceDN w:val="0"/>
              <w:adjustRightInd w:val="0"/>
            </w:pPr>
            <w:r>
              <w:rPr>
                <w:b/>
              </w:rPr>
              <w:t xml:space="preserve">Náklady na nehmotný majetek </w:t>
            </w:r>
            <w:r>
              <w:t>jsou způsobilé, pokud je tento majetek (odstavec 8):</w:t>
            </w:r>
          </w:p>
          <w:p w14:paraId="6FCB139C" w14:textId="77777777" w:rsidR="00BB080C" w:rsidRDefault="00BB080C" w:rsidP="009F530E">
            <w:pPr>
              <w:numPr>
                <w:ilvl w:val="0"/>
                <w:numId w:val="62"/>
              </w:numPr>
              <w:autoSpaceDE w:val="0"/>
              <w:autoSpaceDN w:val="0"/>
              <w:adjustRightInd w:val="0"/>
            </w:pPr>
            <w:r>
              <w:t>použit výlučně jen v provozovně, která je příjemcem podpory,</w:t>
            </w:r>
          </w:p>
          <w:p w14:paraId="5CBC330B" w14:textId="77777777" w:rsidR="00BB080C" w:rsidRDefault="00BB080C" w:rsidP="009F530E">
            <w:pPr>
              <w:numPr>
                <w:ilvl w:val="0"/>
                <w:numId w:val="62"/>
              </w:numPr>
              <w:autoSpaceDE w:val="0"/>
              <w:autoSpaceDN w:val="0"/>
              <w:adjustRightInd w:val="0"/>
            </w:pPr>
            <w:r>
              <w:t>odepisovaným majetkem,</w:t>
            </w:r>
          </w:p>
          <w:p w14:paraId="3AFF1213" w14:textId="77777777" w:rsidR="00BB080C" w:rsidRDefault="00BB080C" w:rsidP="009F530E">
            <w:pPr>
              <w:numPr>
                <w:ilvl w:val="0"/>
                <w:numId w:val="62"/>
              </w:numPr>
              <w:autoSpaceDE w:val="0"/>
              <w:autoSpaceDN w:val="0"/>
              <w:adjustRightInd w:val="0"/>
            </w:pPr>
            <w:r>
              <w:t>pořízen za tržních podmínek od třetích osob nespřízněných s kupujícím,</w:t>
            </w:r>
          </w:p>
          <w:p w14:paraId="66653E03" w14:textId="77777777" w:rsidR="00BB080C" w:rsidRDefault="00BB080C" w:rsidP="009F530E">
            <w:pPr>
              <w:numPr>
                <w:ilvl w:val="0"/>
                <w:numId w:val="62"/>
              </w:numPr>
              <w:autoSpaceDE w:val="0"/>
              <w:autoSpaceDN w:val="0"/>
              <w:adjustRightInd w:val="0"/>
            </w:pPr>
            <w:r>
              <w:t>majetkem příjemce; využíván při projektu, na nějž je poskytnuta podpora, po dobu nejméně pěti let nebo – v případě malých a středních podniků – tří let,</w:t>
            </w:r>
          </w:p>
          <w:p w14:paraId="5508F47F" w14:textId="77777777" w:rsidR="00BB080C" w:rsidRDefault="00222F1C" w:rsidP="009F530E">
            <w:pPr>
              <w:numPr>
                <w:ilvl w:val="0"/>
                <w:numId w:val="62"/>
              </w:numPr>
              <w:autoSpaceDE w:val="0"/>
              <w:autoSpaceDN w:val="0"/>
              <w:adjustRightInd w:val="0"/>
            </w:pPr>
            <w:r>
              <w:t>u velkých podniků ohodnocen do výše 50 % celkových způsobilých investičních nákladů na počáteční investici.</w:t>
            </w:r>
          </w:p>
          <w:p w14:paraId="53988C32" w14:textId="77777777" w:rsidR="00BB080C" w:rsidRPr="008F3609" w:rsidRDefault="00BB080C" w:rsidP="006250A2">
            <w:pPr>
              <w:numPr>
                <w:ilvl w:val="0"/>
                <w:numId w:val="16"/>
              </w:numPr>
              <w:autoSpaceDE w:val="0"/>
              <w:autoSpaceDN w:val="0"/>
              <w:adjustRightInd w:val="0"/>
            </w:pPr>
            <w:r>
              <w:rPr>
                <w:b/>
              </w:rPr>
              <w:t>Způsobilé náklady vypočtené na základě odhadovaných mzdových nákladů</w:t>
            </w:r>
            <w:r>
              <w:t xml:space="preserve"> (odstavec 9)</w:t>
            </w:r>
          </w:p>
          <w:p w14:paraId="1E472EC3" w14:textId="77777777" w:rsidR="00BB080C" w:rsidRPr="000C51C2" w:rsidRDefault="00BB080C" w:rsidP="009F530E">
            <w:pPr>
              <w:numPr>
                <w:ilvl w:val="0"/>
                <w:numId w:val="63"/>
              </w:numPr>
              <w:autoSpaceDE w:val="0"/>
              <w:autoSpaceDN w:val="0"/>
              <w:adjustRightInd w:val="0"/>
              <w:jc w:val="both"/>
            </w:pPr>
            <w:r>
              <w:t>investice; čisté zvýšení počtu zaměstnanců oproti průměrnému stavu za předchozích dvanáct měsíců (po odečtení zaniklých pracovních míst),</w:t>
            </w:r>
          </w:p>
          <w:p w14:paraId="2BD9A517" w14:textId="77777777" w:rsidR="00BB080C" w:rsidRPr="008F3609" w:rsidRDefault="00BB080C" w:rsidP="009F530E">
            <w:pPr>
              <w:numPr>
                <w:ilvl w:val="0"/>
                <w:numId w:val="63"/>
              </w:numPr>
              <w:autoSpaceDE w:val="0"/>
              <w:autoSpaceDN w:val="0"/>
              <w:adjustRightInd w:val="0"/>
              <w:jc w:val="both"/>
            </w:pPr>
            <w:r>
              <w:t>všechna pracovní místa obsazena do tří let od dokončení prací,</w:t>
            </w:r>
          </w:p>
          <w:p w14:paraId="579F2A50" w14:textId="77777777" w:rsidR="00BB080C" w:rsidRDefault="00BB080C" w:rsidP="009F530E">
            <w:pPr>
              <w:numPr>
                <w:ilvl w:val="0"/>
                <w:numId w:val="63"/>
              </w:numPr>
              <w:autoSpaceDE w:val="0"/>
              <w:autoSpaceDN w:val="0"/>
              <w:adjustRightInd w:val="0"/>
              <w:jc w:val="both"/>
            </w:pPr>
            <w:r>
              <w:t>všechna pracovní místa musí ode dne svého prvního obsazení zůstat v dotyčné oblasti zachována po dobu alespoň pěti let, resp. – v případě malých a středních podniků – po dobu tří let.</w:t>
            </w:r>
          </w:p>
          <w:p w14:paraId="1027196E" w14:textId="77777777" w:rsidR="00BB080C" w:rsidRPr="008F3609" w:rsidRDefault="00BB080C" w:rsidP="000C38DE">
            <w:pPr>
              <w:numPr>
                <w:ilvl w:val="0"/>
                <w:numId w:val="16"/>
              </w:numPr>
              <w:autoSpaceDE w:val="0"/>
              <w:autoSpaceDN w:val="0"/>
              <w:adjustRightInd w:val="0"/>
            </w:pPr>
            <w:r>
              <w:rPr>
                <w:b/>
              </w:rPr>
              <w:t>Rozvoj širokopásmové sítě</w:t>
            </w:r>
            <w:r>
              <w:t xml:space="preserve"> (odstavec 10)</w:t>
            </w:r>
          </w:p>
          <w:p w14:paraId="470746AF" w14:textId="77777777" w:rsidR="00BB080C" w:rsidRPr="000C51C2" w:rsidRDefault="0070535F" w:rsidP="009F530E">
            <w:pPr>
              <w:numPr>
                <w:ilvl w:val="0"/>
                <w:numId w:val="65"/>
              </w:numPr>
              <w:autoSpaceDE w:val="0"/>
              <w:autoSpaceDN w:val="0"/>
              <w:adjustRightInd w:val="0"/>
              <w:jc w:val="both"/>
              <w:rPr>
                <w:szCs w:val="19"/>
              </w:rPr>
            </w:pPr>
            <w:r>
              <w:t>pouze v oblastech, kde neexistuje síť stejné kategorie a kde je nepravděpodobné, že taková síť bude do tří let od přijetí rozhodnutí o poskytnutí podpory vybudována za komerčních podmínek,</w:t>
            </w:r>
          </w:p>
          <w:p w14:paraId="7D2F8A7A" w14:textId="77777777" w:rsidR="006250A2" w:rsidRPr="000C51C2" w:rsidRDefault="00BB080C" w:rsidP="009F530E">
            <w:pPr>
              <w:numPr>
                <w:ilvl w:val="0"/>
                <w:numId w:val="65"/>
              </w:numPr>
              <w:autoSpaceDE w:val="0"/>
              <w:autoSpaceDN w:val="0"/>
              <w:adjustRightInd w:val="0"/>
              <w:jc w:val="both"/>
              <w:rPr>
                <w:szCs w:val="19"/>
              </w:rPr>
            </w:pPr>
            <w:r>
              <w:t>provozovatel sítě nabízí aktivní i pasivní velkoobchodní přístup za spravedlivých a nediskriminačních podmínek, včetně fyzického zpřístupnění v případě sítí NGA,</w:t>
            </w:r>
          </w:p>
          <w:p w14:paraId="23E06189" w14:textId="77777777" w:rsidR="00BB080C" w:rsidRPr="000C51C2" w:rsidRDefault="00BB080C" w:rsidP="009F530E">
            <w:pPr>
              <w:numPr>
                <w:ilvl w:val="0"/>
                <w:numId w:val="65"/>
              </w:numPr>
              <w:autoSpaceDE w:val="0"/>
              <w:autoSpaceDN w:val="0"/>
              <w:adjustRightInd w:val="0"/>
              <w:jc w:val="both"/>
            </w:pPr>
            <w:r>
              <w:t>podpora musí být přidělena na základě soutěžního výběrového řízení</w:t>
            </w:r>
            <w:r>
              <w:rPr>
                <w:rFonts w:ascii="EUAlbertina-Regu" w:hAnsi="EUAlbertina-Regu"/>
              </w:rPr>
              <w:t>.</w:t>
            </w:r>
          </w:p>
          <w:p w14:paraId="720A77F1" w14:textId="77777777" w:rsidR="00BB080C" w:rsidRDefault="006250A2" w:rsidP="000C38DE">
            <w:pPr>
              <w:numPr>
                <w:ilvl w:val="0"/>
                <w:numId w:val="16"/>
              </w:numPr>
              <w:autoSpaceDE w:val="0"/>
              <w:autoSpaceDN w:val="0"/>
              <w:adjustRightInd w:val="0"/>
              <w:jc w:val="both"/>
            </w:pPr>
            <w:r>
              <w:rPr>
                <w:b/>
              </w:rPr>
              <w:t>Výzkumné infrastruktury</w:t>
            </w:r>
            <w:r>
              <w:t xml:space="preserve">; transparentní a nediskriminační přístup k podporované infrastruktuře (odstavec 11). </w:t>
            </w:r>
          </w:p>
          <w:p w14:paraId="16A85B14" w14:textId="77777777" w:rsidR="00BB080C" w:rsidRDefault="006250A2" w:rsidP="000C38DE">
            <w:pPr>
              <w:numPr>
                <w:ilvl w:val="0"/>
                <w:numId w:val="16"/>
              </w:numPr>
              <w:autoSpaceDE w:val="0"/>
              <w:autoSpaceDN w:val="0"/>
              <w:adjustRightInd w:val="0"/>
              <w:jc w:val="both"/>
            </w:pPr>
            <w:r>
              <w:rPr>
                <w:b/>
              </w:rPr>
              <w:t>Intenzita podpory</w:t>
            </w:r>
            <w:r>
              <w:t xml:space="preserve">; nesmí přesáhnout maximální intenzitu podpory, která je stanovena v mapě regionální podpory platné </w:t>
            </w:r>
            <w:r>
              <w:lastRenderedPageBreak/>
              <w:t>v době poskytnutí podpory. Je-li intenzita podpory vypočtena podle odst. 4 písm. c), nesmí být maximální intenzitou podpory překročena nejvýhodnější částka, která se vypočte použitím této intenzity na investiční nebo mzdové náklady. V případě velkých investičních projektů nesmí výše podpory přesahovat výši podpory, která se vypočte podle čl. 2 bodu 20 (odstavec 12).</w:t>
            </w:r>
          </w:p>
          <w:p w14:paraId="53BAD1ED" w14:textId="77777777" w:rsidR="00BB080C" w:rsidRPr="000C51C2" w:rsidRDefault="006250A2" w:rsidP="000C38DE">
            <w:pPr>
              <w:numPr>
                <w:ilvl w:val="0"/>
                <w:numId w:val="16"/>
              </w:numPr>
              <w:autoSpaceDE w:val="0"/>
              <w:autoSpaceDN w:val="0"/>
              <w:adjustRightInd w:val="0"/>
              <w:jc w:val="both"/>
            </w:pPr>
            <w:r>
              <w:rPr>
                <w:b/>
              </w:rPr>
              <w:t>Jediný investiční projekt:</w:t>
            </w:r>
            <w:r>
              <w:t xml:space="preserve"> Počáteční investice na jinou podpořenou investici; tentýž příjemce (na úrovni skupiny); tři roky ode dne, kdy byly zahájeny práce v témž regionu NUTS 3; považuje se za součást jediného investičního projektu. Pokud se jedná o velký investiční projekt, pak celková výše podpory nesmí překročit upravenou výši podpory povolené u velkých investičních projektů (odstavec 13).</w:t>
            </w:r>
          </w:p>
          <w:p w14:paraId="41144BC3" w14:textId="77777777" w:rsidR="00BB080C" w:rsidRPr="000C51C2" w:rsidRDefault="00BB080C" w:rsidP="000C38DE">
            <w:pPr>
              <w:numPr>
                <w:ilvl w:val="0"/>
                <w:numId w:val="16"/>
              </w:numPr>
              <w:autoSpaceDE w:val="0"/>
              <w:autoSpaceDN w:val="0"/>
              <w:adjustRightInd w:val="0"/>
              <w:jc w:val="both"/>
            </w:pPr>
            <w:r>
              <w:rPr>
                <w:b/>
              </w:rPr>
              <w:t>Příspěvek příjemce ve výši alespoň</w:t>
            </w:r>
            <w:r>
              <w:t xml:space="preserve"> 25 % způsobilých nákladů. Malé a střední podniky investující v nejvzdálenějších regionech; intenzita podpory může přesahovat 75 %. Příjemce by měl přispět zbývající částí (odstavec 14).</w:t>
            </w:r>
          </w:p>
          <w:p w14:paraId="42AB4970" w14:textId="77777777" w:rsidR="00BB080C" w:rsidRPr="00F0671F" w:rsidRDefault="006250A2" w:rsidP="000C38DE">
            <w:pPr>
              <w:numPr>
                <w:ilvl w:val="0"/>
                <w:numId w:val="16"/>
              </w:numPr>
              <w:autoSpaceDE w:val="0"/>
              <w:autoSpaceDN w:val="0"/>
              <w:adjustRightInd w:val="0"/>
              <w:jc w:val="both"/>
            </w:pPr>
            <w:r>
              <w:rPr>
                <w:b/>
              </w:rPr>
              <w:t>Počáteční investice související s projekty Evropské územní spolupráce</w:t>
            </w:r>
            <w:r>
              <w:t xml:space="preserve"> (nařízení č. 1299/2013); intenzita podpory platná pro oblast, kde se počáteční investice nachází, se použije na všechny příjemce. Je-li počáteční investice realizována ve dvou či více podporovaných oblastech, je maximální intenzitou podpory intenzita podpory použitelná v podporované oblasti, s největší částí způsobilých nákladů. V oblastech způsobilých pro podporu podle čl. 107 odst. 3 písm. c) Smlouvy se toto ustanovení použije na velké podniky pouze v případě, je-li předmětem počáteční investice nová hospodářská činnost (odstavec 15).</w:t>
            </w:r>
          </w:p>
        </w:tc>
        <w:tc>
          <w:tcPr>
            <w:tcW w:w="777" w:type="pct"/>
            <w:shd w:val="clear" w:color="auto" w:fill="auto"/>
          </w:tcPr>
          <w:p w14:paraId="402D201C" w14:textId="77777777" w:rsidR="00BB080C" w:rsidRDefault="00BB080C" w:rsidP="00D324A5"/>
          <w:p w14:paraId="1E35A485" w14:textId="77777777" w:rsidR="002779BE" w:rsidRDefault="002779BE" w:rsidP="00D324A5"/>
          <w:p w14:paraId="0AF54DB3" w14:textId="77777777" w:rsidR="002779BE" w:rsidRDefault="002779BE" w:rsidP="00D324A5"/>
          <w:p w14:paraId="7FB27529" w14:textId="77777777" w:rsidR="002779BE" w:rsidRDefault="002779BE" w:rsidP="00D324A5"/>
          <w:p w14:paraId="7C459B61" w14:textId="77777777" w:rsidR="002779BE" w:rsidRDefault="002779BE" w:rsidP="00D324A5"/>
        </w:tc>
      </w:tr>
    </w:tbl>
    <w:p w14:paraId="24764537" w14:textId="77777777" w:rsidR="00E002A5" w:rsidRDefault="00E002A5" w:rsidP="00003D17"/>
    <w:p w14:paraId="684A14F6" w14:textId="77777777" w:rsidR="009F52DA" w:rsidRDefault="009F52DA" w:rsidP="00003D17">
      <w:pPr>
        <w:rPr>
          <w:b/>
          <w:u w:val="single"/>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9"/>
        <w:gridCol w:w="4678"/>
        <w:gridCol w:w="2415"/>
      </w:tblGrid>
      <w:tr w:rsidR="00BB080C" w14:paraId="720D2F5B" w14:textId="77777777" w:rsidTr="00E442B2">
        <w:tc>
          <w:tcPr>
            <w:tcW w:w="2571" w:type="pct"/>
            <w:shd w:val="clear" w:color="auto" w:fill="333399"/>
          </w:tcPr>
          <w:p w14:paraId="7D13143B" w14:textId="77777777" w:rsidR="00B82243" w:rsidRDefault="00B82243" w:rsidP="00B82243">
            <w:pPr>
              <w:ind w:left="360"/>
              <w:jc w:val="center"/>
              <w:rPr>
                <w:b/>
                <w:smallCaps/>
                <w:color w:val="FFFFFF"/>
                <w:sz w:val="28"/>
                <w:szCs w:val="28"/>
              </w:rPr>
            </w:pPr>
            <w:r>
              <w:rPr>
                <w:b/>
                <w:smallCaps/>
                <w:color w:val="FFFFFF"/>
                <w:sz w:val="28"/>
              </w:rPr>
              <w:t>Článek 15</w:t>
            </w:r>
          </w:p>
          <w:p w14:paraId="5FFC06BB" w14:textId="77777777" w:rsidR="00BB080C" w:rsidRDefault="00BB080C" w:rsidP="00B82243">
            <w:pPr>
              <w:ind w:left="360"/>
              <w:jc w:val="center"/>
            </w:pPr>
            <w:r>
              <w:rPr>
                <w:b/>
                <w:smallCaps/>
                <w:color w:val="FFFFFF"/>
                <w:sz w:val="28"/>
              </w:rPr>
              <w:t>Regionální provozní podpora</w:t>
            </w:r>
          </w:p>
        </w:tc>
        <w:tc>
          <w:tcPr>
            <w:tcW w:w="2429" w:type="pct"/>
            <w:gridSpan w:val="2"/>
            <w:shd w:val="clear" w:color="auto" w:fill="333399"/>
          </w:tcPr>
          <w:p w14:paraId="629B11F8" w14:textId="77777777" w:rsidR="00BB080C" w:rsidRDefault="00BB080C" w:rsidP="00D324A5">
            <w:pPr>
              <w:jc w:val="center"/>
            </w:pPr>
            <w:r>
              <w:rPr>
                <w:b/>
                <w:smallCaps/>
                <w:color w:val="FFFFFF"/>
                <w:sz w:val="28"/>
              </w:rPr>
              <w:t>Kontrola souladu (Souhlasí?)</w:t>
            </w:r>
          </w:p>
        </w:tc>
      </w:tr>
      <w:tr w:rsidR="006250A2" w14:paraId="226733F5" w14:textId="77777777" w:rsidTr="00E442B2">
        <w:tc>
          <w:tcPr>
            <w:tcW w:w="2571" w:type="pct"/>
            <w:shd w:val="clear" w:color="auto" w:fill="auto"/>
          </w:tcPr>
          <w:p w14:paraId="7EDEB535" w14:textId="77777777" w:rsidR="006250A2" w:rsidRPr="006250A2" w:rsidRDefault="006250A2" w:rsidP="006250A2">
            <w:r>
              <w:t>Slučitelná a vyňata z oznamovací povinnosti, pokud platí obecné podmínky slučitelnosti a podmínky stanovené v tomto článku (odstavec 1).</w:t>
            </w:r>
          </w:p>
        </w:tc>
        <w:tc>
          <w:tcPr>
            <w:tcW w:w="2429" w:type="pct"/>
            <w:gridSpan w:val="2"/>
            <w:shd w:val="clear" w:color="auto" w:fill="auto"/>
          </w:tcPr>
          <w:p w14:paraId="40DABBE6" w14:textId="77777777" w:rsidR="006250A2" w:rsidRDefault="006250A2" w:rsidP="00D324A5"/>
        </w:tc>
      </w:tr>
      <w:tr w:rsidR="006250A2" w:rsidRPr="009F530E" w14:paraId="16230354" w14:textId="77777777" w:rsidTr="007B4054">
        <w:tc>
          <w:tcPr>
            <w:tcW w:w="5000" w:type="pct"/>
            <w:gridSpan w:val="3"/>
            <w:shd w:val="clear" w:color="auto" w:fill="BFBFBF"/>
          </w:tcPr>
          <w:p w14:paraId="6C4109D4" w14:textId="77777777" w:rsidR="006250A2" w:rsidRPr="009F530E" w:rsidRDefault="006250A2" w:rsidP="00D324A5">
            <w:pPr>
              <w:rPr>
                <w:b/>
              </w:rPr>
            </w:pPr>
            <w:r>
              <w:rPr>
                <w:b/>
              </w:rPr>
              <w:t>Regiony způsobilé pro podporu</w:t>
            </w:r>
          </w:p>
        </w:tc>
      </w:tr>
      <w:tr w:rsidR="006250A2" w14:paraId="6FD9C5ED" w14:textId="77777777" w:rsidTr="00E442B2">
        <w:tc>
          <w:tcPr>
            <w:tcW w:w="2571" w:type="pct"/>
            <w:shd w:val="clear" w:color="auto" w:fill="auto"/>
          </w:tcPr>
          <w:p w14:paraId="584363FD" w14:textId="77777777" w:rsidR="006250A2" w:rsidRPr="006250A2" w:rsidDel="006250A2" w:rsidRDefault="006250A2" w:rsidP="006250A2">
            <w:r>
              <w:rPr>
                <w:b/>
              </w:rPr>
              <w:t>Pouze v nejvzdálenějších regionech a řídce osídlených oblastech</w:t>
            </w:r>
            <w:r>
              <w:t xml:space="preserve"> (vymezených v regionální mapě podpory na období 2014–2020) (odstavec 1).</w:t>
            </w:r>
          </w:p>
        </w:tc>
        <w:tc>
          <w:tcPr>
            <w:tcW w:w="2429" w:type="pct"/>
            <w:gridSpan w:val="2"/>
            <w:shd w:val="clear" w:color="auto" w:fill="auto"/>
          </w:tcPr>
          <w:p w14:paraId="2C5FBCC6" w14:textId="77777777" w:rsidR="006250A2" w:rsidRDefault="006250A2" w:rsidP="00D324A5"/>
        </w:tc>
      </w:tr>
      <w:tr w:rsidR="006250A2" w:rsidRPr="009F530E" w14:paraId="433E56D3" w14:textId="77777777" w:rsidTr="007B4054">
        <w:tc>
          <w:tcPr>
            <w:tcW w:w="5000" w:type="pct"/>
            <w:gridSpan w:val="3"/>
            <w:shd w:val="clear" w:color="auto" w:fill="BFBFBF"/>
          </w:tcPr>
          <w:p w14:paraId="108B18AD" w14:textId="77777777" w:rsidR="006250A2" w:rsidRPr="009F530E" w:rsidRDefault="006250A2" w:rsidP="00D324A5">
            <w:pPr>
              <w:rPr>
                <w:b/>
              </w:rPr>
            </w:pPr>
            <w:r>
              <w:rPr>
                <w:b/>
              </w:rPr>
              <w:t>Způsobilé náklady</w:t>
            </w:r>
          </w:p>
        </w:tc>
      </w:tr>
      <w:tr w:rsidR="00E442B2" w14:paraId="41967B91" w14:textId="77777777" w:rsidTr="00E442B2">
        <w:tc>
          <w:tcPr>
            <w:tcW w:w="4173" w:type="pct"/>
            <w:gridSpan w:val="2"/>
            <w:shd w:val="clear" w:color="auto" w:fill="auto"/>
          </w:tcPr>
          <w:p w14:paraId="4995BC69" w14:textId="77777777" w:rsidR="00BB080C" w:rsidRPr="009F530E" w:rsidRDefault="00BB080C" w:rsidP="000C51C2">
            <w:pPr>
              <w:rPr>
                <w:b/>
              </w:rPr>
            </w:pPr>
            <w:r>
              <w:rPr>
                <w:b/>
              </w:rPr>
              <w:t xml:space="preserve">Poskytují náhradu za (odstavec 2): </w:t>
            </w:r>
          </w:p>
          <w:p w14:paraId="1069E73B" w14:textId="77777777" w:rsidR="00BB080C" w:rsidRDefault="00BB080C" w:rsidP="000C38DE">
            <w:pPr>
              <w:numPr>
                <w:ilvl w:val="0"/>
                <w:numId w:val="17"/>
              </w:numPr>
            </w:pPr>
            <w:r>
              <w:rPr>
                <w:b/>
              </w:rPr>
              <w:t>Dodatečné náklady na dopravu</w:t>
            </w:r>
            <w:r>
              <w:t xml:space="preserve"> zboží vyrobeného nebo dále zpracovaného v oblastech způsobilých pro podporu</w:t>
            </w:r>
          </w:p>
          <w:p w14:paraId="49D8892A" w14:textId="77777777" w:rsidR="00BB080C" w:rsidRDefault="00BB080C" w:rsidP="009F530E">
            <w:pPr>
              <w:numPr>
                <w:ilvl w:val="0"/>
                <w:numId w:val="66"/>
              </w:numPr>
              <w:jc w:val="both"/>
            </w:pPr>
            <w:r>
              <w:t>příjemci vyvíjejí v těchto oblastech svou výrobní činnost,</w:t>
            </w:r>
          </w:p>
          <w:p w14:paraId="1312FC15" w14:textId="77777777" w:rsidR="00BB080C" w:rsidRDefault="00BB080C" w:rsidP="009F530E">
            <w:pPr>
              <w:numPr>
                <w:ilvl w:val="0"/>
                <w:numId w:val="66"/>
              </w:numPr>
              <w:jc w:val="both"/>
            </w:pPr>
            <w:r>
              <w:t>podpora je objektivně předem vyčíslitelná pevnou částkou, např. v tunách na kilometr,</w:t>
            </w:r>
          </w:p>
          <w:p w14:paraId="5A5D73B7" w14:textId="77777777" w:rsidR="00BB080C" w:rsidRDefault="00BB080C" w:rsidP="009F530E">
            <w:pPr>
              <w:numPr>
                <w:ilvl w:val="0"/>
                <w:numId w:val="66"/>
              </w:numPr>
              <w:autoSpaceDE w:val="0"/>
              <w:autoSpaceDN w:val="0"/>
              <w:adjustRightInd w:val="0"/>
              <w:jc w:val="both"/>
            </w:pPr>
            <w:r>
              <w:t xml:space="preserve">nejnižší náklady na dopravu zboží uvnitř dotčeného členského státu (v případě nejvzdálenějších regionů lze zahrnout náklady na dopravu zboží mimo členský stát spolu s náklady na jeho další zpracování). </w:t>
            </w:r>
          </w:p>
          <w:p w14:paraId="4E2D1543" w14:textId="77777777" w:rsidR="00BB080C" w:rsidRPr="000C51C2" w:rsidRDefault="00BB080C" w:rsidP="000C38DE">
            <w:pPr>
              <w:numPr>
                <w:ilvl w:val="0"/>
                <w:numId w:val="17"/>
              </w:numPr>
              <w:autoSpaceDE w:val="0"/>
              <w:autoSpaceDN w:val="0"/>
              <w:adjustRightInd w:val="0"/>
            </w:pPr>
            <w:r>
              <w:rPr>
                <w:b/>
              </w:rPr>
              <w:t>Dodatečné provozní náklady</w:t>
            </w:r>
            <w:r>
              <w:t>, které vznikly v nejvzdálenějších regionech v přímém důsledku jednoho či více trvalých znevýhodnění uvedených v článku 349 Smlouvy (odstavec 3)</w:t>
            </w:r>
          </w:p>
          <w:p w14:paraId="329586C1" w14:textId="77777777" w:rsidR="00BB080C" w:rsidRPr="000C51C2" w:rsidRDefault="00BB080C" w:rsidP="009F530E">
            <w:pPr>
              <w:numPr>
                <w:ilvl w:val="0"/>
                <w:numId w:val="67"/>
              </w:numPr>
              <w:autoSpaceDE w:val="0"/>
              <w:autoSpaceDN w:val="0"/>
              <w:adjustRightInd w:val="0"/>
            </w:pPr>
            <w:r>
              <w:lastRenderedPageBreak/>
              <w:t>příjemci vyvíjejí v oblasti svou hospodářskou činnost,</w:t>
            </w:r>
          </w:p>
          <w:p w14:paraId="2D5F64AB" w14:textId="77777777" w:rsidR="00BB080C" w:rsidRPr="000C51C2" w:rsidRDefault="00BB080C" w:rsidP="009F530E">
            <w:pPr>
              <w:numPr>
                <w:ilvl w:val="0"/>
                <w:numId w:val="67"/>
              </w:numPr>
              <w:autoSpaceDE w:val="0"/>
              <w:autoSpaceDN w:val="0"/>
              <w:adjustRightInd w:val="0"/>
            </w:pPr>
            <w:r>
              <w:t>roční výše podpory na příjemce v rámci všech režimů provozní podpory nepřekračuje:</w:t>
            </w:r>
          </w:p>
          <w:p w14:paraId="3FA5C3B2" w14:textId="77777777" w:rsidR="00BB080C" w:rsidRPr="000C51C2" w:rsidRDefault="00BB080C" w:rsidP="000C38DE">
            <w:pPr>
              <w:numPr>
                <w:ilvl w:val="1"/>
                <w:numId w:val="17"/>
              </w:numPr>
              <w:tabs>
                <w:tab w:val="clear" w:pos="1080"/>
                <w:tab w:val="num" w:pos="743"/>
              </w:tabs>
              <w:autoSpaceDE w:val="0"/>
              <w:autoSpaceDN w:val="0"/>
              <w:adjustRightInd w:val="0"/>
              <w:ind w:left="743" w:hanging="426"/>
            </w:pPr>
            <w:r>
              <w:t>15 % hrubé přidané hodnoty, kterou za rok vytvoří příjemce v dotyčném nejvzdálenějším regionu, nebo</w:t>
            </w:r>
          </w:p>
          <w:p w14:paraId="555159C1" w14:textId="77777777" w:rsidR="00BB080C" w:rsidRPr="000C51C2" w:rsidRDefault="00BB080C" w:rsidP="000C38DE">
            <w:pPr>
              <w:numPr>
                <w:ilvl w:val="1"/>
                <w:numId w:val="17"/>
              </w:numPr>
              <w:tabs>
                <w:tab w:val="clear" w:pos="1080"/>
                <w:tab w:val="num" w:pos="743"/>
              </w:tabs>
              <w:autoSpaceDE w:val="0"/>
              <w:autoSpaceDN w:val="0"/>
              <w:adjustRightInd w:val="0"/>
              <w:ind w:left="743" w:hanging="426"/>
            </w:pPr>
            <w:r>
              <w:t>25 % nákladů na pracovní sílu, které za rok vzniknou příjemci v dotyčném nejvzdálenějším regionu nebo</w:t>
            </w:r>
          </w:p>
          <w:p w14:paraId="2CED3601" w14:textId="77777777" w:rsidR="006250A2" w:rsidRPr="000C51C2" w:rsidRDefault="00BB080C" w:rsidP="009F530E">
            <w:pPr>
              <w:autoSpaceDE w:val="0"/>
              <w:autoSpaceDN w:val="0"/>
              <w:adjustRightInd w:val="0"/>
              <w:ind w:left="743"/>
              <w:rPr>
                <w:rFonts w:ascii="EUAlbertina-Regu" w:hAnsi="EUAlbertina-Regu" w:cs="EUAlbertina-Regu"/>
                <w:sz w:val="19"/>
                <w:szCs w:val="19"/>
              </w:rPr>
            </w:pPr>
            <w:r>
              <w:t>10 % ročního obratu, jehož příjemce dosáhl v dotyčném nejvzdálenějším regionu.</w:t>
            </w:r>
          </w:p>
          <w:p w14:paraId="233D85A1" w14:textId="77777777" w:rsidR="00BB080C" w:rsidRPr="003A1CEE" w:rsidRDefault="00BB080C" w:rsidP="009F530E">
            <w:pPr>
              <w:rPr>
                <w:sz w:val="20"/>
                <w:szCs w:val="20"/>
              </w:rPr>
            </w:pPr>
          </w:p>
        </w:tc>
        <w:tc>
          <w:tcPr>
            <w:tcW w:w="827" w:type="pct"/>
            <w:shd w:val="clear" w:color="auto" w:fill="auto"/>
          </w:tcPr>
          <w:p w14:paraId="0A3C2CFC" w14:textId="77777777" w:rsidR="00BB080C" w:rsidRDefault="00BB080C" w:rsidP="00D324A5"/>
        </w:tc>
      </w:tr>
      <w:tr w:rsidR="006250A2" w14:paraId="72B5721E" w14:textId="77777777" w:rsidTr="007B4054">
        <w:tc>
          <w:tcPr>
            <w:tcW w:w="5000" w:type="pct"/>
            <w:gridSpan w:val="3"/>
            <w:shd w:val="clear" w:color="auto" w:fill="BFBFBF"/>
          </w:tcPr>
          <w:p w14:paraId="450F301C" w14:textId="77777777" w:rsidR="006250A2" w:rsidRDefault="006250A2" w:rsidP="00D324A5">
            <w:r>
              <w:rPr>
                <w:b/>
              </w:rPr>
              <w:lastRenderedPageBreak/>
              <w:t>Intenzita podpory nesmí přesáhnout 100 %</w:t>
            </w:r>
            <w:r>
              <w:t xml:space="preserve"> (odstavec 3).</w:t>
            </w:r>
          </w:p>
        </w:tc>
      </w:tr>
    </w:tbl>
    <w:p w14:paraId="35E7E1D5" w14:textId="77777777" w:rsidR="00E002A5" w:rsidRDefault="00E002A5" w:rsidP="00003D17">
      <w:pPr>
        <w:jc w:val="center"/>
      </w:pPr>
    </w:p>
    <w:p w14:paraId="1BCF88D0" w14:textId="77777777" w:rsidR="00593387" w:rsidRDefault="00593387" w:rsidP="00E002A5"/>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4389"/>
        <w:gridCol w:w="2558"/>
      </w:tblGrid>
      <w:tr w:rsidR="00BB080C" w14:paraId="3C6C2EE4" w14:textId="77777777" w:rsidTr="00895393">
        <w:tc>
          <w:tcPr>
            <w:tcW w:w="2621" w:type="pct"/>
            <w:shd w:val="clear" w:color="auto" w:fill="333399"/>
          </w:tcPr>
          <w:p w14:paraId="03C064A4" w14:textId="77777777" w:rsidR="00B82243" w:rsidRDefault="00B82243" w:rsidP="003E00A3">
            <w:pPr>
              <w:ind w:left="360"/>
              <w:jc w:val="center"/>
              <w:rPr>
                <w:b/>
                <w:smallCaps/>
                <w:color w:val="FFFFFF"/>
                <w:sz w:val="28"/>
                <w:szCs w:val="28"/>
              </w:rPr>
            </w:pPr>
            <w:r>
              <w:rPr>
                <w:b/>
                <w:smallCaps/>
                <w:color w:val="FFFFFF"/>
                <w:sz w:val="28"/>
              </w:rPr>
              <w:t>Článek 16</w:t>
            </w:r>
          </w:p>
          <w:p w14:paraId="06E1893A" w14:textId="77777777" w:rsidR="00BB080C" w:rsidRDefault="00BB080C" w:rsidP="00B82243">
            <w:pPr>
              <w:ind w:left="360"/>
              <w:jc w:val="center"/>
            </w:pPr>
            <w:r>
              <w:rPr>
                <w:b/>
                <w:smallCaps/>
                <w:color w:val="FFFFFF"/>
                <w:sz w:val="28"/>
              </w:rPr>
              <w:t>Regionální urbanistická podpora</w:t>
            </w:r>
          </w:p>
        </w:tc>
        <w:tc>
          <w:tcPr>
            <w:tcW w:w="2379" w:type="pct"/>
            <w:gridSpan w:val="2"/>
            <w:shd w:val="clear" w:color="auto" w:fill="333399"/>
          </w:tcPr>
          <w:p w14:paraId="155A188A" w14:textId="77777777" w:rsidR="00BB080C" w:rsidRDefault="00BB080C" w:rsidP="003E00A3">
            <w:pPr>
              <w:jc w:val="center"/>
            </w:pPr>
            <w:r>
              <w:rPr>
                <w:b/>
                <w:smallCaps/>
                <w:color w:val="FFFFFF"/>
                <w:sz w:val="28"/>
              </w:rPr>
              <w:t>Kontrola souladu (Souhlasí?)</w:t>
            </w:r>
          </w:p>
        </w:tc>
      </w:tr>
      <w:tr w:rsidR="00E442B2" w14:paraId="1C6BEF0D" w14:textId="77777777" w:rsidTr="00E442B2">
        <w:tc>
          <w:tcPr>
            <w:tcW w:w="4124" w:type="pct"/>
            <w:gridSpan w:val="2"/>
            <w:shd w:val="clear" w:color="auto" w:fill="auto"/>
          </w:tcPr>
          <w:p w14:paraId="1D4FA29E" w14:textId="77777777" w:rsidR="000C38DE" w:rsidRDefault="000C38DE" w:rsidP="00B46C58">
            <w:pPr>
              <w:numPr>
                <w:ilvl w:val="0"/>
                <w:numId w:val="28"/>
              </w:numPr>
              <w:autoSpaceDE w:val="0"/>
              <w:autoSpaceDN w:val="0"/>
              <w:adjustRightInd w:val="0"/>
              <w:jc w:val="both"/>
            </w:pPr>
            <w:r>
              <w:t>Slučitelná a vyňata z oznamovací povinnosti, pokud platí obecné podmínky slučitelnosti a podmínky stanovené v tomto článku (odstavec 1).</w:t>
            </w:r>
          </w:p>
          <w:p w14:paraId="131E4D4F" w14:textId="77777777" w:rsidR="00BB080C" w:rsidRPr="009F530E" w:rsidRDefault="00BB080C" w:rsidP="00B46C58">
            <w:pPr>
              <w:numPr>
                <w:ilvl w:val="0"/>
                <w:numId w:val="28"/>
              </w:numPr>
              <w:autoSpaceDE w:val="0"/>
              <w:autoSpaceDN w:val="0"/>
              <w:adjustRightInd w:val="0"/>
              <w:jc w:val="both"/>
              <w:rPr>
                <w:b/>
              </w:rPr>
            </w:pPr>
            <w:r>
              <w:rPr>
                <w:b/>
              </w:rPr>
              <w:t>Urbanistické projekty musí splňovat následující kritéria (odstavec 2)</w:t>
            </w:r>
          </w:p>
          <w:p w14:paraId="0C88953C" w14:textId="77777777" w:rsidR="00BB080C" w:rsidRPr="000C51C2" w:rsidRDefault="00BB080C" w:rsidP="009F52DA">
            <w:pPr>
              <w:numPr>
                <w:ilvl w:val="0"/>
                <w:numId w:val="32"/>
              </w:numPr>
              <w:autoSpaceDE w:val="0"/>
              <w:autoSpaceDN w:val="0"/>
              <w:adjustRightInd w:val="0"/>
              <w:ind w:left="1157" w:hanging="698"/>
              <w:jc w:val="both"/>
            </w:pPr>
            <w:r>
              <w:t>jsou realizovány v podporovaných oblastech prostřednictvím fondů urbanistického rozvoje,</w:t>
            </w:r>
          </w:p>
          <w:p w14:paraId="6ED1E7D9" w14:textId="77777777" w:rsidR="00BB080C" w:rsidRPr="000C51C2" w:rsidRDefault="00BB080C" w:rsidP="009F52DA">
            <w:pPr>
              <w:numPr>
                <w:ilvl w:val="0"/>
                <w:numId w:val="32"/>
              </w:numPr>
              <w:autoSpaceDE w:val="0"/>
              <w:autoSpaceDN w:val="0"/>
              <w:adjustRightInd w:val="0"/>
              <w:ind w:left="1157" w:hanging="698"/>
              <w:jc w:val="both"/>
            </w:pPr>
            <w:r>
              <w:t>jsou spolufinancovány z evropských strukturálních a investičních fondů,</w:t>
            </w:r>
          </w:p>
          <w:p w14:paraId="05B873DC" w14:textId="77777777" w:rsidR="00BB080C" w:rsidRPr="000C51C2" w:rsidRDefault="00BB080C" w:rsidP="009F52DA">
            <w:pPr>
              <w:numPr>
                <w:ilvl w:val="0"/>
                <w:numId w:val="32"/>
              </w:numPr>
              <w:autoSpaceDE w:val="0"/>
              <w:autoSpaceDN w:val="0"/>
              <w:adjustRightInd w:val="0"/>
              <w:ind w:left="1157" w:hanging="698"/>
              <w:jc w:val="both"/>
            </w:pPr>
            <w:r>
              <w:t>podporují provádění „ucelené strategie pro udržitelný rozvoj měst“.</w:t>
            </w:r>
          </w:p>
          <w:p w14:paraId="10417480" w14:textId="77777777" w:rsidR="00BB080C" w:rsidRPr="000C51C2" w:rsidRDefault="00BB080C" w:rsidP="00B46C58">
            <w:pPr>
              <w:numPr>
                <w:ilvl w:val="0"/>
                <w:numId w:val="33"/>
              </w:numPr>
              <w:autoSpaceDE w:val="0"/>
              <w:autoSpaceDN w:val="0"/>
              <w:adjustRightInd w:val="0"/>
              <w:jc w:val="both"/>
            </w:pPr>
            <w:r>
              <w:rPr>
                <w:b/>
              </w:rPr>
              <w:t xml:space="preserve">Celková investice nesmí přesáhnout </w:t>
            </w:r>
            <w:r>
              <w:t>20 milionů EUR (odstavec 3).</w:t>
            </w:r>
          </w:p>
          <w:p w14:paraId="3A1F011B" w14:textId="77777777" w:rsidR="00BB080C" w:rsidRPr="000C51C2" w:rsidRDefault="00BB080C" w:rsidP="00B46C58">
            <w:pPr>
              <w:numPr>
                <w:ilvl w:val="0"/>
                <w:numId w:val="33"/>
              </w:numPr>
              <w:autoSpaceDE w:val="0"/>
              <w:autoSpaceDN w:val="0"/>
              <w:adjustRightInd w:val="0"/>
              <w:jc w:val="both"/>
            </w:pPr>
            <w:r>
              <w:rPr>
                <w:b/>
              </w:rPr>
              <w:t xml:space="preserve">Způsobilé jsou náklady, pokud jsou v souladu </w:t>
            </w:r>
            <w:r>
              <w:t>s články 65 a 37 nařízení (EU) č. 1303/2013 (odstavec 4).</w:t>
            </w:r>
          </w:p>
          <w:p w14:paraId="527A41E6" w14:textId="77777777" w:rsidR="00BB080C" w:rsidRPr="000C51C2" w:rsidRDefault="00BB080C" w:rsidP="00B46C58">
            <w:pPr>
              <w:numPr>
                <w:ilvl w:val="0"/>
                <w:numId w:val="33"/>
              </w:numPr>
              <w:autoSpaceDE w:val="0"/>
              <w:autoSpaceDN w:val="0"/>
              <w:adjustRightInd w:val="0"/>
              <w:jc w:val="both"/>
            </w:pPr>
            <w:r>
              <w:rPr>
                <w:b/>
              </w:rPr>
              <w:t>Formy podpory</w:t>
            </w:r>
            <w:r>
              <w:t xml:space="preserve">: kapitál, </w:t>
            </w:r>
            <w:proofErr w:type="spellStart"/>
            <w:r>
              <w:t>kvazikapitál</w:t>
            </w:r>
            <w:proofErr w:type="spellEnd"/>
            <w:r>
              <w:t>, půjčky, záruky nebo kombinace těchto nástrojů (odstavec 5);</w:t>
            </w:r>
          </w:p>
          <w:p w14:paraId="373EED45" w14:textId="77777777" w:rsidR="00BB080C" w:rsidRPr="000C51C2" w:rsidRDefault="00BB080C" w:rsidP="00B46C58">
            <w:pPr>
              <w:numPr>
                <w:ilvl w:val="0"/>
                <w:numId w:val="33"/>
              </w:numPr>
              <w:autoSpaceDE w:val="0"/>
              <w:autoSpaceDN w:val="0"/>
              <w:adjustRightInd w:val="0"/>
              <w:jc w:val="both"/>
            </w:pPr>
            <w:r>
              <w:rPr>
                <w:b/>
              </w:rPr>
              <w:t>Pákový efekt dodatečných investic od soukromých</w:t>
            </w:r>
            <w:r>
              <w:t xml:space="preserve"> investorů; fond nebo projekt; alespoň 30 % z celkových finančních prostředků poskytnutých na daný urbanistický projekt (odstavec 6).</w:t>
            </w:r>
          </w:p>
          <w:p w14:paraId="04214C4F" w14:textId="77777777" w:rsidR="00BB080C" w:rsidRPr="000C51C2" w:rsidRDefault="00B70C80" w:rsidP="009F530E">
            <w:pPr>
              <w:numPr>
                <w:ilvl w:val="0"/>
                <w:numId w:val="33"/>
              </w:numPr>
              <w:autoSpaceDE w:val="0"/>
              <w:autoSpaceDN w:val="0"/>
              <w:adjustRightInd w:val="0"/>
              <w:jc w:val="both"/>
            </w:pPr>
            <w:r>
              <w:rPr>
                <w:b/>
              </w:rPr>
              <w:t>Investoři</w:t>
            </w:r>
            <w:r>
              <w:t>; peněžité nebo nepeněžité plnění (v tržní hodnotě) nebo jejich kombinace (odstavec 7).</w:t>
            </w:r>
          </w:p>
          <w:p w14:paraId="0C7916D1" w14:textId="77777777" w:rsidR="00BB080C" w:rsidRPr="000C51C2" w:rsidRDefault="00BB080C" w:rsidP="00B46C58">
            <w:pPr>
              <w:numPr>
                <w:ilvl w:val="0"/>
                <w:numId w:val="34"/>
              </w:numPr>
              <w:autoSpaceDE w:val="0"/>
              <w:autoSpaceDN w:val="0"/>
              <w:adjustRightInd w:val="0"/>
              <w:jc w:val="both"/>
            </w:pPr>
            <w:r>
              <w:rPr>
                <w:b/>
              </w:rPr>
              <w:t>Podmínky pro opatření v oblasti urbanistického rozvoje</w:t>
            </w:r>
            <w:r>
              <w:t xml:space="preserve"> (odstavec 8)</w:t>
            </w:r>
          </w:p>
          <w:p w14:paraId="1C6D1889" w14:textId="77777777" w:rsidR="00BB080C" w:rsidRPr="000C51C2" w:rsidRDefault="00BB080C" w:rsidP="009F530E">
            <w:pPr>
              <w:numPr>
                <w:ilvl w:val="0"/>
                <w:numId w:val="68"/>
              </w:numPr>
              <w:autoSpaceDE w:val="0"/>
              <w:autoSpaceDN w:val="0"/>
              <w:adjustRightInd w:val="0"/>
              <w:jc w:val="both"/>
            </w:pPr>
            <w:r>
              <w:t>správci fondu; vybráni na základě otevřeného, transparentního a nediskriminačního výběrového řízení; nesmí být rozlišováno podle jejich místa usazení či sídla; může být požadováno, aby splnili určitá předem stanovená kritéria;</w:t>
            </w:r>
          </w:p>
          <w:p w14:paraId="2052F39F" w14:textId="77777777" w:rsidR="00BB080C" w:rsidRPr="000C51C2" w:rsidRDefault="00BB080C" w:rsidP="009F530E">
            <w:pPr>
              <w:numPr>
                <w:ilvl w:val="0"/>
                <w:numId w:val="68"/>
              </w:numPr>
              <w:autoSpaceDE w:val="0"/>
              <w:autoSpaceDN w:val="0"/>
              <w:adjustRightInd w:val="0"/>
              <w:jc w:val="both"/>
            </w:pPr>
            <w:r>
              <w:t>nezávislí soukromí investoři; vybráni na základě otevřeného, transparentního a nediskriminačního výběrového řízení; odpovídající ujednání o sdílení rizik a odměny; asymetrickému sdílení zisku je dávána přednost před stanovením horního limitu ztráty. Pokud ne, musí přiměřenou míru rentability určit nezávislý znalec vybraný prostřednictvím otevřeného, transparentního a nediskriminačního výběrového řízení;</w:t>
            </w:r>
          </w:p>
          <w:p w14:paraId="2958E8EA" w14:textId="77777777" w:rsidR="00BB080C" w:rsidRPr="000C51C2" w:rsidRDefault="00557283" w:rsidP="009F530E">
            <w:pPr>
              <w:numPr>
                <w:ilvl w:val="0"/>
                <w:numId w:val="68"/>
              </w:numPr>
              <w:autoSpaceDE w:val="0"/>
              <w:autoSpaceDN w:val="0"/>
              <w:adjustRightInd w:val="0"/>
              <w:jc w:val="both"/>
            </w:pPr>
            <w:r>
              <w:t>v případě asymetrického sdílení ztrát; první ztráta převzatá veřejným investorem omezena na nejvýše 25 % celkové investice;</w:t>
            </w:r>
          </w:p>
          <w:p w14:paraId="52EC1DCB" w14:textId="77777777" w:rsidR="00BB080C" w:rsidRPr="000C51C2" w:rsidRDefault="00BB080C" w:rsidP="009F530E">
            <w:pPr>
              <w:numPr>
                <w:ilvl w:val="0"/>
                <w:numId w:val="68"/>
              </w:numPr>
              <w:autoSpaceDE w:val="0"/>
              <w:autoSpaceDN w:val="0"/>
              <w:adjustRightInd w:val="0"/>
              <w:jc w:val="both"/>
            </w:pPr>
            <w:r>
              <w:t xml:space="preserve">míra zajištění poskytnutá soukromým investorům na urbanistické projekty omezena na 80 %; celkové ztráty převzaté členským státem omezeny na nejvýše 25 % podkladového portfolia krytého zárukou; </w:t>
            </w:r>
          </w:p>
          <w:p w14:paraId="473FC4D8" w14:textId="77777777" w:rsidR="00BB080C" w:rsidRPr="000C51C2" w:rsidRDefault="00BB080C" w:rsidP="009F530E">
            <w:pPr>
              <w:numPr>
                <w:ilvl w:val="0"/>
                <w:numId w:val="68"/>
              </w:numPr>
              <w:autoSpaceDE w:val="0"/>
              <w:autoSpaceDN w:val="0"/>
              <w:adjustRightInd w:val="0"/>
              <w:jc w:val="both"/>
            </w:pPr>
            <w:r>
              <w:lastRenderedPageBreak/>
              <w:t>investoři mají možnost být zastoupeni ve správních orgánech fondu urbanistického rozvoje;</w:t>
            </w:r>
          </w:p>
          <w:p w14:paraId="746F72F9" w14:textId="77777777" w:rsidR="00BB080C" w:rsidRPr="000C51C2" w:rsidRDefault="00BB080C" w:rsidP="009F530E">
            <w:pPr>
              <w:numPr>
                <w:ilvl w:val="0"/>
                <w:numId w:val="68"/>
              </w:numPr>
              <w:autoSpaceDE w:val="0"/>
              <w:autoSpaceDN w:val="0"/>
              <w:adjustRightInd w:val="0"/>
              <w:jc w:val="both"/>
            </w:pPr>
            <w:r>
              <w:t>fond urbanistického rozvoje založen podle použitelných právních předpisů; byla provedena hloubková kontrola, která ověří komerční solidnost investiční strategie.</w:t>
            </w:r>
          </w:p>
          <w:p w14:paraId="729AB8DC" w14:textId="77777777" w:rsidR="00BB080C" w:rsidRPr="000C51C2" w:rsidRDefault="00BB080C" w:rsidP="00B46C58">
            <w:pPr>
              <w:numPr>
                <w:ilvl w:val="0"/>
                <w:numId w:val="34"/>
              </w:numPr>
              <w:autoSpaceDE w:val="0"/>
              <w:autoSpaceDN w:val="0"/>
              <w:adjustRightInd w:val="0"/>
              <w:jc w:val="both"/>
            </w:pPr>
            <w:r>
              <w:rPr>
                <w:b/>
              </w:rPr>
              <w:t xml:space="preserve">Fondy urbanistického rozvoje řízené podle komerčních zásad </w:t>
            </w:r>
            <w:r>
              <w:t>zajišťují financování orientované na zisk. Takový stav se předpokládá, jestliže (odstavec 9):</w:t>
            </w:r>
          </w:p>
          <w:p w14:paraId="34B2BA3F" w14:textId="77777777" w:rsidR="00BB080C" w:rsidRPr="000C51C2" w:rsidRDefault="00BB080C" w:rsidP="009F530E">
            <w:pPr>
              <w:numPr>
                <w:ilvl w:val="0"/>
                <w:numId w:val="69"/>
              </w:numPr>
              <w:autoSpaceDE w:val="0"/>
              <w:autoSpaceDN w:val="0"/>
              <w:adjustRightInd w:val="0"/>
              <w:jc w:val="both"/>
            </w:pPr>
            <w:r>
              <w:t>správci fondů urbanistického rozvoje jsou ze zákona nebo na základě smlouvy povinni jednat s péčí řádného hospodáře; vyhýbají se střetu zájmů; použijí se osvědčené postupy a regulatorní dohled;</w:t>
            </w:r>
          </w:p>
          <w:p w14:paraId="479FD323" w14:textId="77777777" w:rsidR="00BB080C" w:rsidRPr="000C51C2" w:rsidRDefault="007B6E14" w:rsidP="009F530E">
            <w:pPr>
              <w:numPr>
                <w:ilvl w:val="0"/>
                <w:numId w:val="69"/>
              </w:numPr>
              <w:autoSpaceDE w:val="0"/>
              <w:autoSpaceDN w:val="0"/>
              <w:adjustRightInd w:val="0"/>
              <w:jc w:val="both"/>
            </w:pPr>
            <w:r>
              <w:t>odměna správců odpovídá tržním podmínkám;  jsou vybráni na základě otevřeného, transparentního a nediskriminačního výběrového řízení podle objektivních kritérií;</w:t>
            </w:r>
          </w:p>
          <w:p w14:paraId="5973ADCB" w14:textId="77777777" w:rsidR="00BB080C" w:rsidRPr="000C51C2" w:rsidRDefault="003A70AE" w:rsidP="009F530E">
            <w:pPr>
              <w:numPr>
                <w:ilvl w:val="0"/>
                <w:numId w:val="69"/>
              </w:numPr>
              <w:autoSpaceDE w:val="0"/>
              <w:autoSpaceDN w:val="0"/>
              <w:adjustRightInd w:val="0"/>
              <w:jc w:val="both"/>
            </w:pPr>
            <w:r>
              <w:t xml:space="preserve">odměna správců je vázána na výkon nebo správci </w:t>
            </w:r>
            <w:proofErr w:type="spellStart"/>
            <w:r>
              <w:t>spoluinvestují</w:t>
            </w:r>
            <w:proofErr w:type="spellEnd"/>
            <w:r>
              <w:t>;</w:t>
            </w:r>
          </w:p>
          <w:p w14:paraId="45DF3AE8" w14:textId="77777777" w:rsidR="00BB080C" w:rsidRPr="000C51C2" w:rsidRDefault="00BB080C" w:rsidP="009F530E">
            <w:pPr>
              <w:numPr>
                <w:ilvl w:val="0"/>
                <w:numId w:val="69"/>
              </w:numPr>
              <w:autoSpaceDE w:val="0"/>
              <w:autoSpaceDN w:val="0"/>
              <w:adjustRightInd w:val="0"/>
              <w:jc w:val="both"/>
            </w:pPr>
            <w:r>
              <w:t>správci vypracují investiční strategii a kritéria a navrhnou harmonogram investic; předem dokládají finanční životaschopnost a očekávaný dopad na urbanistický rozvoj;</w:t>
            </w:r>
          </w:p>
          <w:p w14:paraId="1FE3C148" w14:textId="77777777" w:rsidR="00BB080C" w:rsidRPr="000C51C2" w:rsidRDefault="00BB080C" w:rsidP="009F530E">
            <w:pPr>
              <w:numPr>
                <w:ilvl w:val="0"/>
                <w:numId w:val="69"/>
              </w:numPr>
              <w:autoSpaceDE w:val="0"/>
              <w:autoSpaceDN w:val="0"/>
              <w:adjustRightInd w:val="0"/>
              <w:jc w:val="both"/>
            </w:pPr>
            <w:r>
              <w:t xml:space="preserve">pro jednotlivé kapitálové a </w:t>
            </w:r>
            <w:proofErr w:type="spellStart"/>
            <w:r>
              <w:t>kvazikapitálové</w:t>
            </w:r>
            <w:proofErr w:type="spellEnd"/>
            <w:r>
              <w:t xml:space="preserve"> investice je stanovena jasná a realistická výstupní strategie.</w:t>
            </w:r>
          </w:p>
          <w:p w14:paraId="7F7AA950" w14:textId="77777777" w:rsidR="00BB080C" w:rsidRPr="000C51C2" w:rsidRDefault="006250A2" w:rsidP="00B46C58">
            <w:pPr>
              <w:numPr>
                <w:ilvl w:val="0"/>
                <w:numId w:val="34"/>
              </w:numPr>
              <w:autoSpaceDE w:val="0"/>
              <w:autoSpaceDN w:val="0"/>
              <w:adjustRightInd w:val="0"/>
            </w:pPr>
            <w:r>
              <w:rPr>
                <w:b/>
              </w:rPr>
              <w:t>Fond urbanistického rozvoje poskytuje půjčky nebo záruky na urbanistické projekty</w:t>
            </w:r>
            <w:r>
              <w:t>; podmínky (odstavec 10)</w:t>
            </w:r>
          </w:p>
          <w:p w14:paraId="1FBE712E" w14:textId="77777777" w:rsidR="00BB080C" w:rsidRPr="000C51C2" w:rsidRDefault="00BB080C" w:rsidP="009F530E">
            <w:pPr>
              <w:numPr>
                <w:ilvl w:val="0"/>
                <w:numId w:val="70"/>
              </w:numPr>
              <w:autoSpaceDE w:val="0"/>
              <w:autoSpaceDN w:val="0"/>
              <w:adjustRightInd w:val="0"/>
              <w:jc w:val="both"/>
            </w:pPr>
            <w:r>
              <w:t>v případě půjček se při výpočtu maximální výše investice vychází z nominální výše půjčky, jež nepřekračuje 20 milionů EUR (viz odstavec 3);</w:t>
            </w:r>
          </w:p>
          <w:p w14:paraId="6808A2C9" w14:textId="77777777" w:rsidR="00BB080C" w:rsidRPr="000C51C2" w:rsidRDefault="00BB080C" w:rsidP="009F530E">
            <w:pPr>
              <w:numPr>
                <w:ilvl w:val="0"/>
                <w:numId w:val="70"/>
              </w:numPr>
              <w:autoSpaceDE w:val="0"/>
              <w:autoSpaceDN w:val="0"/>
              <w:adjustRightInd w:val="0"/>
              <w:jc w:val="both"/>
            </w:pPr>
            <w:r>
              <w:t>v případě záruk se při výpočtu maximální výše investice vychází z nominální výše podkladové půjčky, jež nepřekračuje 20 milionů EUR (viz odstavec 3);</w:t>
            </w:r>
          </w:p>
          <w:p w14:paraId="2E59F840" w14:textId="77777777" w:rsidR="00BB080C" w:rsidRPr="008243DE" w:rsidRDefault="00BB080C" w:rsidP="00B46C58">
            <w:pPr>
              <w:numPr>
                <w:ilvl w:val="0"/>
                <w:numId w:val="34"/>
              </w:numPr>
              <w:jc w:val="both"/>
              <w:rPr>
                <w:sz w:val="20"/>
                <w:szCs w:val="20"/>
              </w:rPr>
            </w:pPr>
            <w:r>
              <w:t>Členský stát může provádění opatření v oblasti urbanistického rozvoje uložit pověřenému subjektu (odstavec 11).</w:t>
            </w:r>
          </w:p>
        </w:tc>
        <w:tc>
          <w:tcPr>
            <w:tcW w:w="876" w:type="pct"/>
            <w:shd w:val="clear" w:color="auto" w:fill="auto"/>
          </w:tcPr>
          <w:p w14:paraId="4C95730F" w14:textId="77777777" w:rsidR="00BB080C" w:rsidRDefault="00BB080C" w:rsidP="003E00A3"/>
        </w:tc>
      </w:tr>
    </w:tbl>
    <w:p w14:paraId="73BE8F13" w14:textId="77777777" w:rsidR="00A67375" w:rsidRDefault="00A67375" w:rsidP="009F52DA"/>
    <w:sectPr w:rsidR="00A67375" w:rsidSect="00E442B2">
      <w:footerReference w:type="default" r:id="rId8"/>
      <w:pgSz w:w="15840" w:h="12240" w:orient="landscape"/>
      <w:pgMar w:top="661" w:right="814"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224DF" w14:textId="77777777" w:rsidR="00786426" w:rsidRDefault="00786426">
      <w:r>
        <w:separator/>
      </w:r>
    </w:p>
  </w:endnote>
  <w:endnote w:type="continuationSeparator" w:id="0">
    <w:p w14:paraId="3164DEA0" w14:textId="77777777" w:rsidR="00786426" w:rsidRDefault="0078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EUAlbertina-Regu">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7347F" w14:textId="77777777" w:rsidR="004462F3" w:rsidRDefault="004462F3" w:rsidP="004462F3">
    <w:pPr>
      <w:pStyle w:val="Zpat"/>
      <w:jc w:val="right"/>
    </w:pPr>
    <w:r>
      <w:fldChar w:fldCharType="begin"/>
    </w:r>
    <w:r>
      <w:instrText xml:space="preserve"> PAGE   \* MERGEFORMAT </w:instrText>
    </w:r>
    <w:r>
      <w:fldChar w:fldCharType="separate"/>
    </w:r>
    <w:r w:rsidR="00E442B2">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A9C4B" w14:textId="77777777" w:rsidR="00786426" w:rsidRDefault="00786426">
      <w:r>
        <w:separator/>
      </w:r>
    </w:p>
  </w:footnote>
  <w:footnote w:type="continuationSeparator" w:id="0">
    <w:p w14:paraId="611482A1" w14:textId="77777777" w:rsidR="00786426" w:rsidRDefault="007864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66E"/>
    <w:multiLevelType w:val="hybridMultilevel"/>
    <w:tmpl w:val="95E2A0A0"/>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465C6D"/>
    <w:multiLevelType w:val="hybridMultilevel"/>
    <w:tmpl w:val="16C87988"/>
    <w:lvl w:ilvl="0" w:tplc="061A6A34">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565D80"/>
    <w:multiLevelType w:val="hybridMultilevel"/>
    <w:tmpl w:val="8CB0B1B6"/>
    <w:lvl w:ilvl="0" w:tplc="531A62E0">
      <w:numFmt w:val="bullet"/>
      <w:lvlText w:val="-"/>
      <w:lvlJc w:val="left"/>
      <w:pPr>
        <w:ind w:left="1026" w:hanging="360"/>
      </w:pPr>
      <w:rPr>
        <w:rFonts w:ascii="Times New Roman" w:eastAsia="Times New Roman" w:hAnsi="Times New Roman" w:cs="Times New Roman"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
    <w:nsid w:val="0B9165AD"/>
    <w:multiLevelType w:val="hybridMultilevel"/>
    <w:tmpl w:val="AE2AF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CF0070D"/>
    <w:multiLevelType w:val="hybridMultilevel"/>
    <w:tmpl w:val="7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214B63"/>
    <w:multiLevelType w:val="hybridMultilevel"/>
    <w:tmpl w:val="A7620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5776B2"/>
    <w:multiLevelType w:val="hybridMultilevel"/>
    <w:tmpl w:val="80EC4EA2"/>
    <w:lvl w:ilvl="0" w:tplc="08090017">
      <w:start w:val="1"/>
      <w:numFmt w:val="lowerLetter"/>
      <w:lvlText w:val="%1)"/>
      <w:lvlJc w:val="left"/>
      <w:pPr>
        <w:ind w:left="720" w:hanging="360"/>
      </w:pPr>
      <w:rPr>
        <w:rFonts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C20B69"/>
    <w:multiLevelType w:val="hybridMultilevel"/>
    <w:tmpl w:val="EA823142"/>
    <w:lvl w:ilvl="0" w:tplc="6AEA2D58">
      <w:start w:val="1"/>
      <w:numFmt w:val="lowerRoman"/>
      <w:lvlText w:val="%1)"/>
      <w:lvlJc w:val="left"/>
      <w:pPr>
        <w:tabs>
          <w:tab w:val="num" w:pos="720"/>
        </w:tabs>
        <w:ind w:left="720" w:hanging="360"/>
      </w:pPr>
      <w:rPr>
        <w:rFonts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0DB62E5"/>
    <w:multiLevelType w:val="hybridMultilevel"/>
    <w:tmpl w:val="E36665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9760C0"/>
    <w:multiLevelType w:val="hybridMultilevel"/>
    <w:tmpl w:val="F11C8A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137B0AB8"/>
    <w:multiLevelType w:val="hybridMultilevel"/>
    <w:tmpl w:val="B06CC218"/>
    <w:lvl w:ilvl="0" w:tplc="0ECCE3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5642CE"/>
    <w:multiLevelType w:val="hybridMultilevel"/>
    <w:tmpl w:val="8418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C736DE"/>
    <w:multiLevelType w:val="hybridMultilevel"/>
    <w:tmpl w:val="E6609D6C"/>
    <w:lvl w:ilvl="0" w:tplc="061A6A34">
      <w:start w:val="1"/>
      <w:numFmt w:val="lowerLetter"/>
      <w:lvlText w:val="%1)"/>
      <w:lvlJc w:val="left"/>
      <w:pPr>
        <w:tabs>
          <w:tab w:val="num" w:pos="360"/>
        </w:tabs>
        <w:ind w:left="360" w:hanging="360"/>
      </w:pPr>
      <w:rPr>
        <w:rFonts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169F04FB"/>
    <w:multiLevelType w:val="hybridMultilevel"/>
    <w:tmpl w:val="63B2303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73576D8"/>
    <w:multiLevelType w:val="hybridMultilevel"/>
    <w:tmpl w:val="AAE48EC2"/>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8AD6CCA"/>
    <w:multiLevelType w:val="hybridMultilevel"/>
    <w:tmpl w:val="87B22D28"/>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D23775"/>
    <w:multiLevelType w:val="hybridMultilevel"/>
    <w:tmpl w:val="2452A1B4"/>
    <w:lvl w:ilvl="0" w:tplc="0809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C3F4C32"/>
    <w:multiLevelType w:val="hybridMultilevel"/>
    <w:tmpl w:val="B4FCAE1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E00298C"/>
    <w:multiLevelType w:val="hybridMultilevel"/>
    <w:tmpl w:val="3C26DB34"/>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F664B04"/>
    <w:multiLevelType w:val="hybridMultilevel"/>
    <w:tmpl w:val="15BAF8CA"/>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1864340"/>
    <w:multiLevelType w:val="hybridMultilevel"/>
    <w:tmpl w:val="9A0EA36E"/>
    <w:lvl w:ilvl="0" w:tplc="08090017">
      <w:start w:val="1"/>
      <w:numFmt w:val="lowerLetter"/>
      <w:lvlText w:val="%1)"/>
      <w:lvlJc w:val="left"/>
      <w:pPr>
        <w:ind w:left="720" w:hanging="360"/>
      </w:pPr>
    </w:lvl>
    <w:lvl w:ilvl="1" w:tplc="513264B6">
      <w:start w:val="2"/>
      <w:numFmt w:val="bullet"/>
      <w:lvlText w:val="—"/>
      <w:lvlJc w:val="left"/>
      <w:pPr>
        <w:ind w:left="1440" w:hanging="360"/>
      </w:pPr>
      <w:rPr>
        <w:rFonts w:ascii="EUAlbertina-Regu" w:eastAsia="Times New Roman" w:hAnsi="EUAlbertina-Regu" w:cs="EUAlbertina-Regu"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44A6D3B"/>
    <w:multiLevelType w:val="hybridMultilevel"/>
    <w:tmpl w:val="6666B85A"/>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8815EC"/>
    <w:multiLevelType w:val="hybridMultilevel"/>
    <w:tmpl w:val="10C4B268"/>
    <w:lvl w:ilvl="0" w:tplc="6AEA2D58">
      <w:start w:val="1"/>
      <w:numFmt w:val="lowerRoman"/>
      <w:lvlText w:val="%1)"/>
      <w:lvlJc w:val="left"/>
      <w:pPr>
        <w:tabs>
          <w:tab w:val="num" w:pos="720"/>
        </w:tabs>
        <w:ind w:left="720" w:hanging="360"/>
      </w:pPr>
      <w:rPr>
        <w:rFonts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2C7F4D52"/>
    <w:multiLevelType w:val="hybridMultilevel"/>
    <w:tmpl w:val="2C10C46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EBF103E"/>
    <w:multiLevelType w:val="hybridMultilevel"/>
    <w:tmpl w:val="B936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0420C27"/>
    <w:multiLevelType w:val="hybridMultilevel"/>
    <w:tmpl w:val="E554719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32B5155E"/>
    <w:multiLevelType w:val="hybridMultilevel"/>
    <w:tmpl w:val="F468CEF2"/>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CB5AEB"/>
    <w:multiLevelType w:val="hybridMultilevel"/>
    <w:tmpl w:val="6900A176"/>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FF0D20"/>
    <w:multiLevelType w:val="hybridMultilevel"/>
    <w:tmpl w:val="AB8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31A23BA"/>
    <w:multiLevelType w:val="hybridMultilevel"/>
    <w:tmpl w:val="ACDE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6F761CB"/>
    <w:multiLevelType w:val="hybridMultilevel"/>
    <w:tmpl w:val="CCD46D66"/>
    <w:lvl w:ilvl="0" w:tplc="061A6A34">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3">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3C7C1109"/>
    <w:multiLevelType w:val="hybridMultilevel"/>
    <w:tmpl w:val="DC7C293E"/>
    <w:lvl w:ilvl="0" w:tplc="4F920C30">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3D551820"/>
    <w:multiLevelType w:val="hybridMultilevel"/>
    <w:tmpl w:val="865E5A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EE461F4"/>
    <w:multiLevelType w:val="hybridMultilevel"/>
    <w:tmpl w:val="4D8C4470"/>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F2A65AC"/>
    <w:multiLevelType w:val="hybridMultilevel"/>
    <w:tmpl w:val="8BE2DDD8"/>
    <w:lvl w:ilvl="0" w:tplc="08090001">
      <w:start w:val="1"/>
      <w:numFmt w:val="bullet"/>
      <w:lvlText w:val=""/>
      <w:lvlJc w:val="left"/>
      <w:pPr>
        <w:ind w:left="-188" w:hanging="360"/>
      </w:pPr>
      <w:rPr>
        <w:rFonts w:ascii="Symbol" w:hAnsi="Symbol" w:hint="default"/>
      </w:rPr>
    </w:lvl>
    <w:lvl w:ilvl="1" w:tplc="08090003" w:tentative="1">
      <w:start w:val="1"/>
      <w:numFmt w:val="bullet"/>
      <w:lvlText w:val="o"/>
      <w:lvlJc w:val="left"/>
      <w:pPr>
        <w:ind w:left="532" w:hanging="360"/>
      </w:pPr>
      <w:rPr>
        <w:rFonts w:ascii="Courier New" w:hAnsi="Courier New" w:cs="Courier New" w:hint="default"/>
      </w:rPr>
    </w:lvl>
    <w:lvl w:ilvl="2" w:tplc="08090005" w:tentative="1">
      <w:start w:val="1"/>
      <w:numFmt w:val="bullet"/>
      <w:lvlText w:val=""/>
      <w:lvlJc w:val="left"/>
      <w:pPr>
        <w:ind w:left="1252" w:hanging="360"/>
      </w:pPr>
      <w:rPr>
        <w:rFonts w:ascii="Wingdings" w:hAnsi="Wingdings" w:hint="default"/>
      </w:rPr>
    </w:lvl>
    <w:lvl w:ilvl="3" w:tplc="08090001" w:tentative="1">
      <w:start w:val="1"/>
      <w:numFmt w:val="bullet"/>
      <w:lvlText w:val=""/>
      <w:lvlJc w:val="left"/>
      <w:pPr>
        <w:ind w:left="1972" w:hanging="360"/>
      </w:pPr>
      <w:rPr>
        <w:rFonts w:ascii="Symbol" w:hAnsi="Symbol" w:hint="default"/>
      </w:rPr>
    </w:lvl>
    <w:lvl w:ilvl="4" w:tplc="08090003" w:tentative="1">
      <w:start w:val="1"/>
      <w:numFmt w:val="bullet"/>
      <w:lvlText w:val="o"/>
      <w:lvlJc w:val="left"/>
      <w:pPr>
        <w:ind w:left="2692" w:hanging="360"/>
      </w:pPr>
      <w:rPr>
        <w:rFonts w:ascii="Courier New" w:hAnsi="Courier New" w:cs="Courier New" w:hint="default"/>
      </w:rPr>
    </w:lvl>
    <w:lvl w:ilvl="5" w:tplc="08090005" w:tentative="1">
      <w:start w:val="1"/>
      <w:numFmt w:val="bullet"/>
      <w:lvlText w:val=""/>
      <w:lvlJc w:val="left"/>
      <w:pPr>
        <w:ind w:left="3412" w:hanging="360"/>
      </w:pPr>
      <w:rPr>
        <w:rFonts w:ascii="Wingdings" w:hAnsi="Wingdings" w:hint="default"/>
      </w:rPr>
    </w:lvl>
    <w:lvl w:ilvl="6" w:tplc="08090001" w:tentative="1">
      <w:start w:val="1"/>
      <w:numFmt w:val="bullet"/>
      <w:lvlText w:val=""/>
      <w:lvlJc w:val="left"/>
      <w:pPr>
        <w:ind w:left="4132" w:hanging="360"/>
      </w:pPr>
      <w:rPr>
        <w:rFonts w:ascii="Symbol" w:hAnsi="Symbol" w:hint="default"/>
      </w:rPr>
    </w:lvl>
    <w:lvl w:ilvl="7" w:tplc="08090003" w:tentative="1">
      <w:start w:val="1"/>
      <w:numFmt w:val="bullet"/>
      <w:lvlText w:val="o"/>
      <w:lvlJc w:val="left"/>
      <w:pPr>
        <w:ind w:left="4852" w:hanging="360"/>
      </w:pPr>
      <w:rPr>
        <w:rFonts w:ascii="Courier New" w:hAnsi="Courier New" w:cs="Courier New" w:hint="default"/>
      </w:rPr>
    </w:lvl>
    <w:lvl w:ilvl="8" w:tplc="08090005" w:tentative="1">
      <w:start w:val="1"/>
      <w:numFmt w:val="bullet"/>
      <w:lvlText w:val=""/>
      <w:lvlJc w:val="left"/>
      <w:pPr>
        <w:ind w:left="5572" w:hanging="360"/>
      </w:pPr>
      <w:rPr>
        <w:rFonts w:ascii="Wingdings" w:hAnsi="Wingdings" w:hint="default"/>
      </w:rPr>
    </w:lvl>
  </w:abstractNum>
  <w:abstractNum w:abstractNumId="39">
    <w:nsid w:val="3F8C25C8"/>
    <w:multiLevelType w:val="hybridMultilevel"/>
    <w:tmpl w:val="2038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33F78B6"/>
    <w:multiLevelType w:val="hybridMultilevel"/>
    <w:tmpl w:val="CD70F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43E26BE8"/>
    <w:multiLevelType w:val="hybridMultilevel"/>
    <w:tmpl w:val="EE0ABADA"/>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F595A62"/>
    <w:multiLevelType w:val="hybridMultilevel"/>
    <w:tmpl w:val="3C98E178"/>
    <w:lvl w:ilvl="0" w:tplc="08090001">
      <w:start w:val="1"/>
      <w:numFmt w:val="bullet"/>
      <w:lvlText w:val=""/>
      <w:lvlJc w:val="left"/>
      <w:pPr>
        <w:tabs>
          <w:tab w:val="num" w:pos="360"/>
        </w:tabs>
        <w:ind w:left="360" w:hanging="360"/>
      </w:pPr>
      <w:rPr>
        <w:rFonts w:ascii="Symbol" w:hAnsi="Symbol" w:hint="default"/>
      </w:rPr>
    </w:lvl>
    <w:lvl w:ilvl="1" w:tplc="0ECCE3F2">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515871D5"/>
    <w:multiLevelType w:val="hybridMultilevel"/>
    <w:tmpl w:val="C5D2B0D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18F1D5E"/>
    <w:multiLevelType w:val="hybridMultilevel"/>
    <w:tmpl w:val="D0A6162A"/>
    <w:lvl w:ilvl="0" w:tplc="531A62E0">
      <w:numFmt w:val="bullet"/>
      <w:lvlText w:val="-"/>
      <w:lvlJc w:val="left"/>
      <w:pPr>
        <w:ind w:left="684" w:hanging="360"/>
      </w:pPr>
      <w:rPr>
        <w:rFonts w:ascii="Times New Roman" w:eastAsia="Times New Roman" w:hAnsi="Times New Roman" w:cs="Times New Roman"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45">
    <w:nsid w:val="52612975"/>
    <w:multiLevelType w:val="hybridMultilevel"/>
    <w:tmpl w:val="60F65676"/>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62F04B9"/>
    <w:multiLevelType w:val="hybridMultilevel"/>
    <w:tmpl w:val="DC902B8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58087186"/>
    <w:multiLevelType w:val="hybridMultilevel"/>
    <w:tmpl w:val="D7D0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84526F4"/>
    <w:multiLevelType w:val="hybridMultilevel"/>
    <w:tmpl w:val="3B9E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90135DC"/>
    <w:multiLevelType w:val="hybridMultilevel"/>
    <w:tmpl w:val="B0D6ADF8"/>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5A6E0566"/>
    <w:multiLevelType w:val="hybridMultilevel"/>
    <w:tmpl w:val="0CE4D5B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1">
    <w:nsid w:val="5D083B05"/>
    <w:multiLevelType w:val="hybridMultilevel"/>
    <w:tmpl w:val="D3CCEE64"/>
    <w:lvl w:ilvl="0" w:tplc="0ECCE3F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5DB816A3"/>
    <w:multiLevelType w:val="hybridMultilevel"/>
    <w:tmpl w:val="BE6CC93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nsid w:val="5F7B4427"/>
    <w:multiLevelType w:val="hybridMultilevel"/>
    <w:tmpl w:val="A3545D06"/>
    <w:lvl w:ilvl="0" w:tplc="0A909186">
      <w:start w:val="1"/>
      <w:numFmt w:val="lowerLetter"/>
      <w:lvlText w:val="%1)"/>
      <w:lvlJc w:val="left"/>
      <w:pPr>
        <w:ind w:left="375" w:hanging="375"/>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6071078B"/>
    <w:multiLevelType w:val="hybridMultilevel"/>
    <w:tmpl w:val="807A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1757F28"/>
    <w:multiLevelType w:val="hybridMultilevel"/>
    <w:tmpl w:val="E6EE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3B569EC"/>
    <w:multiLevelType w:val="hybridMultilevel"/>
    <w:tmpl w:val="68E2FD24"/>
    <w:lvl w:ilvl="0" w:tplc="0ECCE3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4085285"/>
    <w:multiLevelType w:val="hybridMultilevel"/>
    <w:tmpl w:val="DDC0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49045F1"/>
    <w:multiLevelType w:val="hybridMultilevel"/>
    <w:tmpl w:val="C89A68C0"/>
    <w:lvl w:ilvl="0" w:tplc="0ECCE3F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nsid w:val="652E53CB"/>
    <w:multiLevelType w:val="hybridMultilevel"/>
    <w:tmpl w:val="B55C3304"/>
    <w:lvl w:ilvl="0" w:tplc="0ECCE3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5FD55A2"/>
    <w:multiLevelType w:val="hybridMultilevel"/>
    <w:tmpl w:val="FB6883F4"/>
    <w:lvl w:ilvl="0" w:tplc="061A6A34">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7783541"/>
    <w:multiLevelType w:val="hybridMultilevel"/>
    <w:tmpl w:val="6680A184"/>
    <w:lvl w:ilvl="0" w:tplc="061A6A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9F064B4"/>
    <w:multiLevelType w:val="hybridMultilevel"/>
    <w:tmpl w:val="9C668D26"/>
    <w:lvl w:ilvl="0" w:tplc="061A6A34">
      <w:start w:val="1"/>
      <w:numFmt w:val="lowerLetter"/>
      <w:lvlText w:val="%1)"/>
      <w:lvlJc w:val="left"/>
      <w:pPr>
        <w:tabs>
          <w:tab w:val="num" w:pos="675"/>
        </w:tabs>
        <w:ind w:left="675" w:hanging="360"/>
      </w:pPr>
      <w:rPr>
        <w:rFonts w:hint="default"/>
      </w:rPr>
    </w:lvl>
    <w:lvl w:ilvl="1" w:tplc="08090003" w:tentative="1">
      <w:start w:val="1"/>
      <w:numFmt w:val="bullet"/>
      <w:lvlText w:val="o"/>
      <w:lvlJc w:val="left"/>
      <w:pPr>
        <w:tabs>
          <w:tab w:val="num" w:pos="1395"/>
        </w:tabs>
        <w:ind w:left="1395" w:hanging="360"/>
      </w:pPr>
      <w:rPr>
        <w:rFonts w:ascii="Courier New" w:hAnsi="Courier New" w:cs="Courier New" w:hint="default"/>
      </w:rPr>
    </w:lvl>
    <w:lvl w:ilvl="2" w:tplc="08090005" w:tentative="1">
      <w:start w:val="1"/>
      <w:numFmt w:val="bullet"/>
      <w:lvlText w:val=""/>
      <w:lvlJc w:val="left"/>
      <w:pPr>
        <w:tabs>
          <w:tab w:val="num" w:pos="2115"/>
        </w:tabs>
        <w:ind w:left="2115" w:hanging="360"/>
      </w:pPr>
      <w:rPr>
        <w:rFonts w:ascii="Wingdings" w:hAnsi="Wingdings" w:hint="default"/>
      </w:rPr>
    </w:lvl>
    <w:lvl w:ilvl="3" w:tplc="08090001" w:tentative="1">
      <w:start w:val="1"/>
      <w:numFmt w:val="bullet"/>
      <w:lvlText w:val=""/>
      <w:lvlJc w:val="left"/>
      <w:pPr>
        <w:tabs>
          <w:tab w:val="num" w:pos="2835"/>
        </w:tabs>
        <w:ind w:left="2835" w:hanging="360"/>
      </w:pPr>
      <w:rPr>
        <w:rFonts w:ascii="Symbol" w:hAnsi="Symbol" w:hint="default"/>
      </w:rPr>
    </w:lvl>
    <w:lvl w:ilvl="4" w:tplc="08090003" w:tentative="1">
      <w:start w:val="1"/>
      <w:numFmt w:val="bullet"/>
      <w:lvlText w:val="o"/>
      <w:lvlJc w:val="left"/>
      <w:pPr>
        <w:tabs>
          <w:tab w:val="num" w:pos="3555"/>
        </w:tabs>
        <w:ind w:left="3555" w:hanging="360"/>
      </w:pPr>
      <w:rPr>
        <w:rFonts w:ascii="Courier New" w:hAnsi="Courier New" w:cs="Courier New" w:hint="default"/>
      </w:rPr>
    </w:lvl>
    <w:lvl w:ilvl="5" w:tplc="08090005" w:tentative="1">
      <w:start w:val="1"/>
      <w:numFmt w:val="bullet"/>
      <w:lvlText w:val=""/>
      <w:lvlJc w:val="left"/>
      <w:pPr>
        <w:tabs>
          <w:tab w:val="num" w:pos="4275"/>
        </w:tabs>
        <w:ind w:left="4275" w:hanging="360"/>
      </w:pPr>
      <w:rPr>
        <w:rFonts w:ascii="Wingdings" w:hAnsi="Wingdings" w:hint="default"/>
      </w:rPr>
    </w:lvl>
    <w:lvl w:ilvl="6" w:tplc="08090001" w:tentative="1">
      <w:start w:val="1"/>
      <w:numFmt w:val="bullet"/>
      <w:lvlText w:val=""/>
      <w:lvlJc w:val="left"/>
      <w:pPr>
        <w:tabs>
          <w:tab w:val="num" w:pos="4995"/>
        </w:tabs>
        <w:ind w:left="4995" w:hanging="360"/>
      </w:pPr>
      <w:rPr>
        <w:rFonts w:ascii="Symbol" w:hAnsi="Symbol" w:hint="default"/>
      </w:rPr>
    </w:lvl>
    <w:lvl w:ilvl="7" w:tplc="08090003" w:tentative="1">
      <w:start w:val="1"/>
      <w:numFmt w:val="bullet"/>
      <w:lvlText w:val="o"/>
      <w:lvlJc w:val="left"/>
      <w:pPr>
        <w:tabs>
          <w:tab w:val="num" w:pos="5715"/>
        </w:tabs>
        <w:ind w:left="5715" w:hanging="360"/>
      </w:pPr>
      <w:rPr>
        <w:rFonts w:ascii="Courier New" w:hAnsi="Courier New" w:cs="Courier New" w:hint="default"/>
      </w:rPr>
    </w:lvl>
    <w:lvl w:ilvl="8" w:tplc="08090005" w:tentative="1">
      <w:start w:val="1"/>
      <w:numFmt w:val="bullet"/>
      <w:lvlText w:val=""/>
      <w:lvlJc w:val="left"/>
      <w:pPr>
        <w:tabs>
          <w:tab w:val="num" w:pos="6435"/>
        </w:tabs>
        <w:ind w:left="6435" w:hanging="360"/>
      </w:pPr>
      <w:rPr>
        <w:rFonts w:ascii="Wingdings" w:hAnsi="Wingdings" w:hint="default"/>
      </w:rPr>
    </w:lvl>
  </w:abstractNum>
  <w:abstractNum w:abstractNumId="64">
    <w:nsid w:val="6A256691"/>
    <w:multiLevelType w:val="hybridMultilevel"/>
    <w:tmpl w:val="36A0E6CC"/>
    <w:lvl w:ilvl="0" w:tplc="531A62E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5">
    <w:nsid w:val="6B3220B7"/>
    <w:multiLevelType w:val="hybridMultilevel"/>
    <w:tmpl w:val="8E46B87C"/>
    <w:lvl w:ilvl="0" w:tplc="0ECCE3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B6A2084"/>
    <w:multiLevelType w:val="hybridMultilevel"/>
    <w:tmpl w:val="2738D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F6C58B8"/>
    <w:multiLevelType w:val="multilevel"/>
    <w:tmpl w:val="26945B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nsid w:val="713C4A50"/>
    <w:multiLevelType w:val="hybridMultilevel"/>
    <w:tmpl w:val="EC528CC0"/>
    <w:lvl w:ilvl="0" w:tplc="061A6A34">
      <w:start w:val="1"/>
      <w:numFmt w:val="lowerLetter"/>
      <w:lvlText w:val="%1)"/>
      <w:lvlJc w:val="left"/>
      <w:pPr>
        <w:ind w:left="720" w:hanging="360"/>
      </w:pPr>
      <w:rPr>
        <w:rFonts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5447C67"/>
    <w:multiLevelType w:val="hybridMultilevel"/>
    <w:tmpl w:val="7D187A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0">
    <w:nsid w:val="7B6A69AB"/>
    <w:multiLevelType w:val="hybridMultilevel"/>
    <w:tmpl w:val="2E04AFBE"/>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C005761"/>
    <w:multiLevelType w:val="hybridMultilevel"/>
    <w:tmpl w:val="25F2F838"/>
    <w:lvl w:ilvl="0" w:tplc="061A6A34">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7F8C7E8A"/>
    <w:multiLevelType w:val="hybridMultilevel"/>
    <w:tmpl w:val="907A0290"/>
    <w:lvl w:ilvl="0" w:tplc="0ECCE3F2">
      <w:start w:val="1"/>
      <w:numFmt w:val="bullet"/>
      <w:lvlText w:val="-"/>
      <w:lvlJc w:val="left"/>
      <w:pPr>
        <w:ind w:left="720" w:hanging="360"/>
      </w:pPr>
      <w:rPr>
        <w:rFonts w:ascii="Courier New" w:hAnsi="Courier New" w:hint="default"/>
      </w:rPr>
    </w:lvl>
    <w:lvl w:ilvl="1" w:tplc="513264B6">
      <w:start w:val="2"/>
      <w:numFmt w:val="bullet"/>
      <w:lvlText w:val="—"/>
      <w:lvlJc w:val="left"/>
      <w:pPr>
        <w:ind w:left="1440" w:hanging="360"/>
      </w:pPr>
      <w:rPr>
        <w:rFonts w:ascii="EUAlbertina-Regu" w:eastAsia="Times New Roman" w:hAnsi="EUAlbertina-Regu" w:cs="EUAlbertina-Regu"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3"/>
  </w:num>
  <w:num w:numId="2">
    <w:abstractNumId w:val="34"/>
  </w:num>
  <w:num w:numId="3">
    <w:abstractNumId w:val="21"/>
  </w:num>
  <w:num w:numId="4">
    <w:abstractNumId w:val="52"/>
  </w:num>
  <w:num w:numId="5">
    <w:abstractNumId w:val="10"/>
  </w:num>
  <w:num w:numId="6">
    <w:abstractNumId w:val="54"/>
  </w:num>
  <w:num w:numId="7">
    <w:abstractNumId w:val="0"/>
  </w:num>
  <w:num w:numId="8">
    <w:abstractNumId w:val="30"/>
  </w:num>
  <w:num w:numId="9">
    <w:abstractNumId w:val="5"/>
  </w:num>
  <w:num w:numId="10">
    <w:abstractNumId w:val="47"/>
  </w:num>
  <w:num w:numId="11">
    <w:abstractNumId w:val="9"/>
  </w:num>
  <w:num w:numId="12">
    <w:abstractNumId w:val="22"/>
  </w:num>
  <w:num w:numId="13">
    <w:abstractNumId w:val="15"/>
  </w:num>
  <w:num w:numId="14">
    <w:abstractNumId w:val="17"/>
  </w:num>
  <w:num w:numId="15">
    <w:abstractNumId w:val="56"/>
  </w:num>
  <w:num w:numId="16">
    <w:abstractNumId w:val="27"/>
  </w:num>
  <w:num w:numId="17">
    <w:abstractNumId w:val="13"/>
  </w:num>
  <w:num w:numId="18">
    <w:abstractNumId w:val="43"/>
  </w:num>
  <w:num w:numId="19">
    <w:abstractNumId w:val="12"/>
  </w:num>
  <w:num w:numId="20">
    <w:abstractNumId w:val="2"/>
  </w:num>
  <w:num w:numId="21">
    <w:abstractNumId w:val="50"/>
  </w:num>
  <w:num w:numId="22">
    <w:abstractNumId w:val="18"/>
  </w:num>
  <w:num w:numId="23">
    <w:abstractNumId w:val="26"/>
  </w:num>
  <w:num w:numId="24">
    <w:abstractNumId w:val="37"/>
  </w:num>
  <w:num w:numId="25">
    <w:abstractNumId w:val="48"/>
  </w:num>
  <w:num w:numId="26">
    <w:abstractNumId w:val="55"/>
  </w:num>
  <w:num w:numId="27">
    <w:abstractNumId w:val="31"/>
  </w:num>
  <w:num w:numId="28">
    <w:abstractNumId w:val="3"/>
  </w:num>
  <w:num w:numId="29">
    <w:abstractNumId w:val="49"/>
  </w:num>
  <w:num w:numId="30">
    <w:abstractNumId w:val="14"/>
  </w:num>
  <w:num w:numId="31">
    <w:abstractNumId w:val="20"/>
  </w:num>
  <w:num w:numId="32">
    <w:abstractNumId w:val="44"/>
  </w:num>
  <w:num w:numId="33">
    <w:abstractNumId w:val="58"/>
  </w:num>
  <w:num w:numId="34">
    <w:abstractNumId w:val="40"/>
  </w:num>
  <w:num w:numId="35">
    <w:abstractNumId w:val="70"/>
  </w:num>
  <w:num w:numId="36">
    <w:abstractNumId w:val="28"/>
  </w:num>
  <w:num w:numId="37">
    <w:abstractNumId w:val="19"/>
  </w:num>
  <w:num w:numId="38">
    <w:abstractNumId w:val="45"/>
  </w:num>
  <w:num w:numId="39">
    <w:abstractNumId w:val="29"/>
  </w:num>
  <w:num w:numId="40">
    <w:abstractNumId w:val="64"/>
  </w:num>
  <w:num w:numId="41">
    <w:abstractNumId w:val="41"/>
  </w:num>
  <w:num w:numId="42">
    <w:abstractNumId w:val="16"/>
  </w:num>
  <w:num w:numId="43">
    <w:abstractNumId w:val="23"/>
  </w:num>
  <w:num w:numId="44">
    <w:abstractNumId w:val="4"/>
  </w:num>
  <w:num w:numId="45">
    <w:abstractNumId w:val="38"/>
  </w:num>
  <w:num w:numId="46">
    <w:abstractNumId w:val="33"/>
  </w:num>
  <w:num w:numId="47">
    <w:abstractNumId w:val="69"/>
  </w:num>
  <w:num w:numId="48">
    <w:abstractNumId w:val="66"/>
  </w:num>
  <w:num w:numId="49">
    <w:abstractNumId w:val="67"/>
  </w:num>
  <w:num w:numId="50">
    <w:abstractNumId w:val="36"/>
  </w:num>
  <w:num w:numId="51">
    <w:abstractNumId w:val="1"/>
  </w:num>
  <w:num w:numId="52">
    <w:abstractNumId w:val="32"/>
  </w:num>
  <w:num w:numId="53">
    <w:abstractNumId w:val="62"/>
  </w:num>
  <w:num w:numId="54">
    <w:abstractNumId w:val="61"/>
  </w:num>
  <w:num w:numId="55">
    <w:abstractNumId w:val="53"/>
  </w:num>
  <w:num w:numId="56">
    <w:abstractNumId w:val="35"/>
  </w:num>
  <w:num w:numId="57">
    <w:abstractNumId w:val="71"/>
  </w:num>
  <w:num w:numId="58">
    <w:abstractNumId w:val="72"/>
  </w:num>
  <w:num w:numId="59">
    <w:abstractNumId w:val="59"/>
  </w:num>
  <w:num w:numId="60">
    <w:abstractNumId w:val="57"/>
  </w:num>
  <w:num w:numId="61">
    <w:abstractNumId w:val="51"/>
  </w:num>
  <w:num w:numId="62">
    <w:abstractNumId w:val="11"/>
  </w:num>
  <w:num w:numId="63">
    <w:abstractNumId w:val="65"/>
  </w:num>
  <w:num w:numId="64">
    <w:abstractNumId w:val="42"/>
  </w:num>
  <w:num w:numId="65">
    <w:abstractNumId w:val="60"/>
  </w:num>
  <w:num w:numId="66">
    <w:abstractNumId w:val="24"/>
  </w:num>
  <w:num w:numId="67">
    <w:abstractNumId w:val="7"/>
  </w:num>
  <w:num w:numId="68">
    <w:abstractNumId w:val="46"/>
  </w:num>
  <w:num w:numId="69">
    <w:abstractNumId w:val="68"/>
  </w:num>
  <w:num w:numId="70">
    <w:abstractNumId w:val="6"/>
  </w:num>
  <w:num w:numId="71">
    <w:abstractNumId w:val="39"/>
  </w:num>
  <w:num w:numId="72">
    <w:abstractNumId w:val="8"/>
  </w:num>
  <w:num w:numId="73">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D461F"/>
    <w:rsid w:val="00003443"/>
    <w:rsid w:val="00003D17"/>
    <w:rsid w:val="000116D1"/>
    <w:rsid w:val="000307FC"/>
    <w:rsid w:val="000372A4"/>
    <w:rsid w:val="00037AEA"/>
    <w:rsid w:val="0004275D"/>
    <w:rsid w:val="00045763"/>
    <w:rsid w:val="00045C91"/>
    <w:rsid w:val="00047DB1"/>
    <w:rsid w:val="000550A4"/>
    <w:rsid w:val="00066155"/>
    <w:rsid w:val="000729AA"/>
    <w:rsid w:val="0007495E"/>
    <w:rsid w:val="00080E6A"/>
    <w:rsid w:val="00085359"/>
    <w:rsid w:val="000934FB"/>
    <w:rsid w:val="000969AA"/>
    <w:rsid w:val="0009762A"/>
    <w:rsid w:val="000A0383"/>
    <w:rsid w:val="000A19E8"/>
    <w:rsid w:val="000A2636"/>
    <w:rsid w:val="000B0C62"/>
    <w:rsid w:val="000C38DE"/>
    <w:rsid w:val="000C51C2"/>
    <w:rsid w:val="000C5680"/>
    <w:rsid w:val="000D3DFE"/>
    <w:rsid w:val="000E10AB"/>
    <w:rsid w:val="000E4DAE"/>
    <w:rsid w:val="000F1FCD"/>
    <w:rsid w:val="000F2C08"/>
    <w:rsid w:val="000F75EF"/>
    <w:rsid w:val="00101AC3"/>
    <w:rsid w:val="0012665D"/>
    <w:rsid w:val="0013556A"/>
    <w:rsid w:val="00165C30"/>
    <w:rsid w:val="00176DBE"/>
    <w:rsid w:val="00180EAA"/>
    <w:rsid w:val="001910C8"/>
    <w:rsid w:val="001A6EB8"/>
    <w:rsid w:val="001A78F8"/>
    <w:rsid w:val="001B05F1"/>
    <w:rsid w:val="001C0C3A"/>
    <w:rsid w:val="001D0FD1"/>
    <w:rsid w:val="001F48D0"/>
    <w:rsid w:val="00205AC3"/>
    <w:rsid w:val="0020708C"/>
    <w:rsid w:val="00221B84"/>
    <w:rsid w:val="00222F1C"/>
    <w:rsid w:val="002307F0"/>
    <w:rsid w:val="00231553"/>
    <w:rsid w:val="002427AF"/>
    <w:rsid w:val="002470A3"/>
    <w:rsid w:val="00255D0C"/>
    <w:rsid w:val="0025789A"/>
    <w:rsid w:val="00275069"/>
    <w:rsid w:val="002779BE"/>
    <w:rsid w:val="00291068"/>
    <w:rsid w:val="002920BD"/>
    <w:rsid w:val="00293736"/>
    <w:rsid w:val="00296EC8"/>
    <w:rsid w:val="002B3E57"/>
    <w:rsid w:val="002B4358"/>
    <w:rsid w:val="002B4CA9"/>
    <w:rsid w:val="002B54DF"/>
    <w:rsid w:val="002B7D7E"/>
    <w:rsid w:val="002C1D40"/>
    <w:rsid w:val="002D4CC4"/>
    <w:rsid w:val="002E180B"/>
    <w:rsid w:val="002E3BB9"/>
    <w:rsid w:val="002F4921"/>
    <w:rsid w:val="00307511"/>
    <w:rsid w:val="00311BDC"/>
    <w:rsid w:val="00321646"/>
    <w:rsid w:val="00335128"/>
    <w:rsid w:val="00336EAF"/>
    <w:rsid w:val="00337965"/>
    <w:rsid w:val="00356870"/>
    <w:rsid w:val="0037514B"/>
    <w:rsid w:val="0037615F"/>
    <w:rsid w:val="00397EC8"/>
    <w:rsid w:val="003A1CEE"/>
    <w:rsid w:val="003A34CB"/>
    <w:rsid w:val="003A70AE"/>
    <w:rsid w:val="003B745C"/>
    <w:rsid w:val="003D41BA"/>
    <w:rsid w:val="003E0049"/>
    <w:rsid w:val="003E00A3"/>
    <w:rsid w:val="003E4E9D"/>
    <w:rsid w:val="003F4EC4"/>
    <w:rsid w:val="003F7596"/>
    <w:rsid w:val="00400566"/>
    <w:rsid w:val="00420FE3"/>
    <w:rsid w:val="00421231"/>
    <w:rsid w:val="0042377F"/>
    <w:rsid w:val="00424808"/>
    <w:rsid w:val="004412F5"/>
    <w:rsid w:val="004452B6"/>
    <w:rsid w:val="004462F3"/>
    <w:rsid w:val="0045170D"/>
    <w:rsid w:val="004618BB"/>
    <w:rsid w:val="00461A7C"/>
    <w:rsid w:val="00462813"/>
    <w:rsid w:val="004745B1"/>
    <w:rsid w:val="00481FD8"/>
    <w:rsid w:val="004B7EF7"/>
    <w:rsid w:val="004D0D76"/>
    <w:rsid w:val="004D5832"/>
    <w:rsid w:val="004F201B"/>
    <w:rsid w:val="004F6330"/>
    <w:rsid w:val="004F7C3E"/>
    <w:rsid w:val="00502676"/>
    <w:rsid w:val="00513516"/>
    <w:rsid w:val="00531692"/>
    <w:rsid w:val="00534552"/>
    <w:rsid w:val="005442C1"/>
    <w:rsid w:val="00554D95"/>
    <w:rsid w:val="00557283"/>
    <w:rsid w:val="00562D41"/>
    <w:rsid w:val="00571298"/>
    <w:rsid w:val="005875CA"/>
    <w:rsid w:val="00593387"/>
    <w:rsid w:val="005B598E"/>
    <w:rsid w:val="005B780B"/>
    <w:rsid w:val="005C0077"/>
    <w:rsid w:val="005E23C6"/>
    <w:rsid w:val="005E7699"/>
    <w:rsid w:val="005F14EC"/>
    <w:rsid w:val="005F52E9"/>
    <w:rsid w:val="00601BA7"/>
    <w:rsid w:val="0061207C"/>
    <w:rsid w:val="0061345C"/>
    <w:rsid w:val="006149DC"/>
    <w:rsid w:val="006155AB"/>
    <w:rsid w:val="00620255"/>
    <w:rsid w:val="00624BDF"/>
    <w:rsid w:val="006250A2"/>
    <w:rsid w:val="00626599"/>
    <w:rsid w:val="0063569E"/>
    <w:rsid w:val="00654CC5"/>
    <w:rsid w:val="00660ED7"/>
    <w:rsid w:val="00663D78"/>
    <w:rsid w:val="0066573A"/>
    <w:rsid w:val="0067010A"/>
    <w:rsid w:val="00674F49"/>
    <w:rsid w:val="00682CD5"/>
    <w:rsid w:val="006A58CF"/>
    <w:rsid w:val="006B5336"/>
    <w:rsid w:val="006B700A"/>
    <w:rsid w:val="006C6F39"/>
    <w:rsid w:val="006D137E"/>
    <w:rsid w:val="006D2A3F"/>
    <w:rsid w:val="006D612B"/>
    <w:rsid w:val="006E1F72"/>
    <w:rsid w:val="0070535F"/>
    <w:rsid w:val="007164DF"/>
    <w:rsid w:val="00723B58"/>
    <w:rsid w:val="007405A0"/>
    <w:rsid w:val="00750A7B"/>
    <w:rsid w:val="00761D21"/>
    <w:rsid w:val="0076242B"/>
    <w:rsid w:val="007660AB"/>
    <w:rsid w:val="00772B86"/>
    <w:rsid w:val="00773F1E"/>
    <w:rsid w:val="00782E44"/>
    <w:rsid w:val="00783CA1"/>
    <w:rsid w:val="00786426"/>
    <w:rsid w:val="0079018B"/>
    <w:rsid w:val="00793D63"/>
    <w:rsid w:val="007A2C05"/>
    <w:rsid w:val="007B0B68"/>
    <w:rsid w:val="007B4054"/>
    <w:rsid w:val="007B6E14"/>
    <w:rsid w:val="007C4733"/>
    <w:rsid w:val="007D461F"/>
    <w:rsid w:val="007D6D47"/>
    <w:rsid w:val="007E0908"/>
    <w:rsid w:val="007E1A2F"/>
    <w:rsid w:val="007E2284"/>
    <w:rsid w:val="007E28AE"/>
    <w:rsid w:val="007F572A"/>
    <w:rsid w:val="00801247"/>
    <w:rsid w:val="00832DAB"/>
    <w:rsid w:val="0083439D"/>
    <w:rsid w:val="008476F4"/>
    <w:rsid w:val="00852C3B"/>
    <w:rsid w:val="00856814"/>
    <w:rsid w:val="00867005"/>
    <w:rsid w:val="00875A7C"/>
    <w:rsid w:val="00883DFF"/>
    <w:rsid w:val="00885BB0"/>
    <w:rsid w:val="00895393"/>
    <w:rsid w:val="008A3AC1"/>
    <w:rsid w:val="008A3D6A"/>
    <w:rsid w:val="008A5071"/>
    <w:rsid w:val="008B33CE"/>
    <w:rsid w:val="008B64AA"/>
    <w:rsid w:val="008B71EA"/>
    <w:rsid w:val="008C0F0E"/>
    <w:rsid w:val="008C1495"/>
    <w:rsid w:val="008C5BB2"/>
    <w:rsid w:val="008D3D7C"/>
    <w:rsid w:val="008E1A18"/>
    <w:rsid w:val="008E6EFF"/>
    <w:rsid w:val="008F28E4"/>
    <w:rsid w:val="008F31DD"/>
    <w:rsid w:val="008F3609"/>
    <w:rsid w:val="008F7532"/>
    <w:rsid w:val="00917062"/>
    <w:rsid w:val="00920585"/>
    <w:rsid w:val="0092466F"/>
    <w:rsid w:val="00931208"/>
    <w:rsid w:val="00935945"/>
    <w:rsid w:val="00947544"/>
    <w:rsid w:val="0095164F"/>
    <w:rsid w:val="0095335C"/>
    <w:rsid w:val="00960792"/>
    <w:rsid w:val="00971195"/>
    <w:rsid w:val="00973747"/>
    <w:rsid w:val="00977A9A"/>
    <w:rsid w:val="00980103"/>
    <w:rsid w:val="00981AB9"/>
    <w:rsid w:val="00986F2B"/>
    <w:rsid w:val="00991733"/>
    <w:rsid w:val="00994B7C"/>
    <w:rsid w:val="00995DBB"/>
    <w:rsid w:val="009B0CDD"/>
    <w:rsid w:val="009C13FD"/>
    <w:rsid w:val="009D4F26"/>
    <w:rsid w:val="009E14D9"/>
    <w:rsid w:val="009E27EC"/>
    <w:rsid w:val="009F0902"/>
    <w:rsid w:val="009F52DA"/>
    <w:rsid w:val="009F530E"/>
    <w:rsid w:val="009F73FF"/>
    <w:rsid w:val="00A21C2F"/>
    <w:rsid w:val="00A2428C"/>
    <w:rsid w:val="00A24976"/>
    <w:rsid w:val="00A404CF"/>
    <w:rsid w:val="00A415C5"/>
    <w:rsid w:val="00A416C6"/>
    <w:rsid w:val="00A432F4"/>
    <w:rsid w:val="00A43E85"/>
    <w:rsid w:val="00A46329"/>
    <w:rsid w:val="00A46614"/>
    <w:rsid w:val="00A57B85"/>
    <w:rsid w:val="00A6604D"/>
    <w:rsid w:val="00A67375"/>
    <w:rsid w:val="00A8428A"/>
    <w:rsid w:val="00A96B23"/>
    <w:rsid w:val="00AA37CE"/>
    <w:rsid w:val="00AA60FC"/>
    <w:rsid w:val="00AA6116"/>
    <w:rsid w:val="00AA779E"/>
    <w:rsid w:val="00AB1D4E"/>
    <w:rsid w:val="00AB57BD"/>
    <w:rsid w:val="00AB6771"/>
    <w:rsid w:val="00AB7FD4"/>
    <w:rsid w:val="00AC1C17"/>
    <w:rsid w:val="00AC39C3"/>
    <w:rsid w:val="00AC4476"/>
    <w:rsid w:val="00AD2B50"/>
    <w:rsid w:val="00AE1488"/>
    <w:rsid w:val="00AE56FC"/>
    <w:rsid w:val="00AE5F0D"/>
    <w:rsid w:val="00AE7DE8"/>
    <w:rsid w:val="00AF647A"/>
    <w:rsid w:val="00B106C8"/>
    <w:rsid w:val="00B4159B"/>
    <w:rsid w:val="00B46C58"/>
    <w:rsid w:val="00B55BDD"/>
    <w:rsid w:val="00B70C80"/>
    <w:rsid w:val="00B82243"/>
    <w:rsid w:val="00B87F87"/>
    <w:rsid w:val="00B94558"/>
    <w:rsid w:val="00BA710B"/>
    <w:rsid w:val="00BB06AE"/>
    <w:rsid w:val="00BB080C"/>
    <w:rsid w:val="00BB2CA7"/>
    <w:rsid w:val="00BC780C"/>
    <w:rsid w:val="00BD3F80"/>
    <w:rsid w:val="00BE0F35"/>
    <w:rsid w:val="00BE13EB"/>
    <w:rsid w:val="00BF4423"/>
    <w:rsid w:val="00BF4C99"/>
    <w:rsid w:val="00C032F5"/>
    <w:rsid w:val="00C12FD6"/>
    <w:rsid w:val="00C146A4"/>
    <w:rsid w:val="00C400E7"/>
    <w:rsid w:val="00C4593E"/>
    <w:rsid w:val="00C5368A"/>
    <w:rsid w:val="00C615C4"/>
    <w:rsid w:val="00C62BFC"/>
    <w:rsid w:val="00C64EBE"/>
    <w:rsid w:val="00C71B8F"/>
    <w:rsid w:val="00C7370B"/>
    <w:rsid w:val="00C90B65"/>
    <w:rsid w:val="00C928A0"/>
    <w:rsid w:val="00C93DBE"/>
    <w:rsid w:val="00CA2F50"/>
    <w:rsid w:val="00CB12B9"/>
    <w:rsid w:val="00CB55F1"/>
    <w:rsid w:val="00CD5054"/>
    <w:rsid w:val="00CE18A8"/>
    <w:rsid w:val="00CE25D0"/>
    <w:rsid w:val="00CE58B8"/>
    <w:rsid w:val="00CE73F7"/>
    <w:rsid w:val="00D177B0"/>
    <w:rsid w:val="00D30804"/>
    <w:rsid w:val="00D324A5"/>
    <w:rsid w:val="00D3640F"/>
    <w:rsid w:val="00D40C63"/>
    <w:rsid w:val="00D42B4C"/>
    <w:rsid w:val="00D432C8"/>
    <w:rsid w:val="00D435B4"/>
    <w:rsid w:val="00D44F34"/>
    <w:rsid w:val="00D51612"/>
    <w:rsid w:val="00D53F45"/>
    <w:rsid w:val="00D55F5A"/>
    <w:rsid w:val="00D57C5A"/>
    <w:rsid w:val="00D64EFF"/>
    <w:rsid w:val="00D77616"/>
    <w:rsid w:val="00D807E0"/>
    <w:rsid w:val="00D92430"/>
    <w:rsid w:val="00D95CEB"/>
    <w:rsid w:val="00DB18F6"/>
    <w:rsid w:val="00DB569B"/>
    <w:rsid w:val="00DD24CA"/>
    <w:rsid w:val="00DD52F8"/>
    <w:rsid w:val="00DD57E1"/>
    <w:rsid w:val="00DE1EEC"/>
    <w:rsid w:val="00DE6449"/>
    <w:rsid w:val="00DE6687"/>
    <w:rsid w:val="00DE7770"/>
    <w:rsid w:val="00E002A5"/>
    <w:rsid w:val="00E158B2"/>
    <w:rsid w:val="00E25E2E"/>
    <w:rsid w:val="00E351CB"/>
    <w:rsid w:val="00E37A77"/>
    <w:rsid w:val="00E442B2"/>
    <w:rsid w:val="00E57D5E"/>
    <w:rsid w:val="00E60B67"/>
    <w:rsid w:val="00E649EB"/>
    <w:rsid w:val="00E71C38"/>
    <w:rsid w:val="00EA0570"/>
    <w:rsid w:val="00EA5920"/>
    <w:rsid w:val="00EA594D"/>
    <w:rsid w:val="00EA7B22"/>
    <w:rsid w:val="00EC3C1E"/>
    <w:rsid w:val="00ED5B7F"/>
    <w:rsid w:val="00EE12F9"/>
    <w:rsid w:val="00EE4443"/>
    <w:rsid w:val="00EF14CC"/>
    <w:rsid w:val="00EF2B54"/>
    <w:rsid w:val="00EF4AEC"/>
    <w:rsid w:val="00EF7825"/>
    <w:rsid w:val="00F0671F"/>
    <w:rsid w:val="00F1470E"/>
    <w:rsid w:val="00F177AC"/>
    <w:rsid w:val="00F24F5B"/>
    <w:rsid w:val="00F26421"/>
    <w:rsid w:val="00F27FDA"/>
    <w:rsid w:val="00F35FBA"/>
    <w:rsid w:val="00F50360"/>
    <w:rsid w:val="00F6027A"/>
    <w:rsid w:val="00F83023"/>
    <w:rsid w:val="00F851C2"/>
    <w:rsid w:val="00F856AA"/>
    <w:rsid w:val="00FA0202"/>
    <w:rsid w:val="00FA329D"/>
    <w:rsid w:val="00FB1D1F"/>
    <w:rsid w:val="00FB4961"/>
    <w:rsid w:val="00FB562F"/>
    <w:rsid w:val="00FC0E5C"/>
    <w:rsid w:val="00FC2D31"/>
    <w:rsid w:val="00FC42D8"/>
    <w:rsid w:val="00FD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642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cs-CZ"/>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7D4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semiHidden/>
    <w:rsid w:val="007D461F"/>
    <w:rPr>
      <w:sz w:val="20"/>
      <w:szCs w:val="20"/>
    </w:rPr>
  </w:style>
  <w:style w:type="character" w:styleId="Znakapoznpodarou">
    <w:name w:val="footnote reference"/>
    <w:semiHidden/>
    <w:rsid w:val="007D461F"/>
    <w:rPr>
      <w:vertAlign w:val="superscript"/>
    </w:rPr>
  </w:style>
  <w:style w:type="paragraph" w:styleId="Textbubliny">
    <w:name w:val="Balloon Text"/>
    <w:basedOn w:val="Normln"/>
    <w:link w:val="TextbublinyChar"/>
    <w:rsid w:val="00F1470E"/>
    <w:rPr>
      <w:rFonts w:ascii="Tahoma" w:hAnsi="Tahoma" w:cs="Tahoma"/>
      <w:sz w:val="16"/>
      <w:szCs w:val="16"/>
    </w:rPr>
  </w:style>
  <w:style w:type="character" w:customStyle="1" w:styleId="TextbublinyChar">
    <w:name w:val="Text bubliny Char"/>
    <w:link w:val="Textbubliny"/>
    <w:rsid w:val="00F1470E"/>
    <w:rPr>
      <w:rFonts w:ascii="Tahoma" w:hAnsi="Tahoma" w:cs="Tahoma"/>
      <w:sz w:val="16"/>
      <w:szCs w:val="16"/>
      <w:lang w:eastAsia="cs-CZ"/>
    </w:rPr>
  </w:style>
  <w:style w:type="paragraph" w:styleId="Revize">
    <w:name w:val="Revision"/>
    <w:hidden/>
    <w:uiPriority w:val="99"/>
    <w:semiHidden/>
    <w:rsid w:val="00003D17"/>
    <w:rPr>
      <w:sz w:val="24"/>
      <w:szCs w:val="24"/>
    </w:rPr>
  </w:style>
  <w:style w:type="paragraph" w:styleId="Zhlav">
    <w:name w:val="header"/>
    <w:basedOn w:val="Normln"/>
    <w:link w:val="ZhlavChar"/>
    <w:uiPriority w:val="99"/>
    <w:rsid w:val="008B71EA"/>
    <w:pPr>
      <w:tabs>
        <w:tab w:val="center" w:pos="4536"/>
        <w:tab w:val="right" w:pos="9072"/>
      </w:tabs>
    </w:pPr>
  </w:style>
  <w:style w:type="character" w:customStyle="1" w:styleId="ZhlavChar">
    <w:name w:val="Záhlaví Char"/>
    <w:link w:val="Zhlav"/>
    <w:uiPriority w:val="99"/>
    <w:rsid w:val="008B71EA"/>
    <w:rPr>
      <w:sz w:val="24"/>
      <w:szCs w:val="24"/>
      <w:lang w:eastAsia="cs-CZ"/>
    </w:rPr>
  </w:style>
  <w:style w:type="paragraph" w:styleId="Zpat">
    <w:name w:val="footer"/>
    <w:basedOn w:val="Normln"/>
    <w:link w:val="ZpatChar"/>
    <w:uiPriority w:val="99"/>
    <w:rsid w:val="008B71EA"/>
    <w:pPr>
      <w:tabs>
        <w:tab w:val="center" w:pos="4536"/>
        <w:tab w:val="right" w:pos="9072"/>
      </w:tabs>
    </w:pPr>
  </w:style>
  <w:style w:type="character" w:customStyle="1" w:styleId="ZpatChar">
    <w:name w:val="Zápatí Char"/>
    <w:link w:val="Zpat"/>
    <w:uiPriority w:val="99"/>
    <w:rsid w:val="008B71EA"/>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12900">
      <w:bodyDiv w:val="1"/>
      <w:marLeft w:val="0"/>
      <w:marRight w:val="0"/>
      <w:marTop w:val="0"/>
      <w:marBottom w:val="0"/>
      <w:divBdr>
        <w:top w:val="none" w:sz="0" w:space="0" w:color="auto"/>
        <w:left w:val="none" w:sz="0" w:space="0" w:color="auto"/>
        <w:bottom w:val="none" w:sz="0" w:space="0" w:color="auto"/>
        <w:right w:val="none" w:sz="0" w:space="0" w:color="auto"/>
      </w:divBdr>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361002">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6E6F-1872-BF47-9BB9-E42C4B1C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3461</Words>
  <Characters>20456</Characters>
  <Application>Microsoft Macintosh Word</Application>
  <DocSecurity>0</DocSecurity>
  <Lines>511</Lines>
  <Paragraphs>232</Paragraphs>
  <ScaleCrop>false</ScaleCrop>
  <HeadingPairs>
    <vt:vector size="2" baseType="variant">
      <vt:variant>
        <vt:lpstr>Title</vt:lpstr>
      </vt:variant>
      <vt:variant>
        <vt:i4>1</vt:i4>
      </vt:variant>
    </vt:vector>
  </HeadingPairs>
  <TitlesOfParts>
    <vt:vector size="1" baseType="lpstr">
      <vt:lpstr>General block exemption Regulation (Reg</vt:lpstr>
    </vt:vector>
  </TitlesOfParts>
  <Company>European Commission</Company>
  <LinksUpToDate>false</LinksUpToDate>
  <CharactersWithSpaces>23685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block exemption Regulation (Reg</dc:title>
  <dc:creator>Stephanie Nieuwbourg</dc:creator>
  <cp:lastModifiedBy>Milan Bumbálek</cp:lastModifiedBy>
  <cp:revision>2</cp:revision>
  <cp:lastPrinted>2016-07-15T15:49:00Z</cp:lastPrinted>
  <dcterms:created xsi:type="dcterms:W3CDTF">2016-07-15T15:50:00Z</dcterms:created>
  <dcterms:modified xsi:type="dcterms:W3CDTF">2016-07-15T15:50:00Z</dcterms:modified>
</cp:coreProperties>
</file>