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A6ABE" w14:textId="77777777" w:rsidR="0085231B" w:rsidRPr="00CF5DEA" w:rsidRDefault="0085231B" w:rsidP="0085231B">
      <w:pPr>
        <w:jc w:val="center"/>
        <w:rPr>
          <w:rFonts w:asciiTheme="majorHAnsi" w:hAnsiTheme="majorHAnsi" w:cs="Times New Roman"/>
          <w:b/>
          <w:color w:val="000000"/>
          <w:sz w:val="20"/>
          <w:szCs w:val="20"/>
          <w:shd w:val="clear" w:color="auto" w:fill="FFFFFF"/>
          <w:lang w:val="en-US"/>
        </w:rPr>
      </w:pPr>
      <w:r w:rsidRPr="00CF5DEA">
        <w:rPr>
          <w:rFonts w:asciiTheme="majorHAnsi" w:hAnsiTheme="majorHAnsi" w:cs="Times New Roman"/>
          <w:b/>
          <w:color w:val="000000"/>
          <w:sz w:val="20"/>
          <w:szCs w:val="20"/>
          <w:shd w:val="clear" w:color="auto" w:fill="FFFFFF"/>
          <w:lang w:val="en-US"/>
        </w:rPr>
        <w:t>MID-TERM TEST FROM MPF_AACC</w:t>
      </w:r>
      <w:r w:rsidRPr="00CF5DEA">
        <w:rPr>
          <w:rFonts w:asciiTheme="majorHAnsi" w:hAnsiTheme="majorHAnsi" w:cs="Times New Roman"/>
          <w:b/>
          <w:sz w:val="20"/>
          <w:szCs w:val="20"/>
          <w:shd w:val="clear" w:color="auto" w:fill="FFFFFF"/>
          <w:lang w:val="en-US"/>
        </w:rPr>
        <w:t> </w:t>
      </w:r>
      <w:r w:rsidR="00560F8F" w:rsidRPr="00CF5DEA">
        <w:rPr>
          <w:rFonts w:asciiTheme="majorHAnsi" w:hAnsiTheme="majorHAnsi" w:cs="Times New Roman"/>
          <w:b/>
          <w:color w:val="000000"/>
          <w:sz w:val="20"/>
          <w:szCs w:val="20"/>
          <w:shd w:val="clear" w:color="auto" w:fill="FFFFFF"/>
          <w:lang w:val="en-US"/>
        </w:rPr>
        <w:t>INTERNATIONAL ACCOUNTING</w:t>
      </w:r>
    </w:p>
    <w:tbl>
      <w:tblPr>
        <w:tblStyle w:val="TableGrid"/>
        <w:tblW w:w="11232" w:type="dxa"/>
        <w:jc w:val="center"/>
        <w:tblLook w:val="04A0" w:firstRow="1" w:lastRow="0" w:firstColumn="1" w:lastColumn="0" w:noHBand="0" w:noVBand="1"/>
      </w:tblPr>
      <w:tblGrid>
        <w:gridCol w:w="5616"/>
        <w:gridCol w:w="5616"/>
      </w:tblGrid>
      <w:tr w:rsidR="00D13FCE" w:rsidRPr="00CF5DEA" w14:paraId="7EB35D21" w14:textId="77777777" w:rsidTr="00D13FCE">
        <w:trPr>
          <w:trHeight w:val="496"/>
          <w:jc w:val="center"/>
        </w:trPr>
        <w:tc>
          <w:tcPr>
            <w:tcW w:w="5616" w:type="dxa"/>
            <w:vAlign w:val="center"/>
          </w:tcPr>
          <w:p w14:paraId="739E03B1" w14:textId="77777777" w:rsidR="00D13FCE" w:rsidRPr="00CF5DEA" w:rsidRDefault="00D13FCE" w:rsidP="00D13FCE">
            <w:pPr>
              <w:jc w:val="center"/>
              <w:rPr>
                <w:rFonts w:asciiTheme="majorHAnsi" w:hAnsiTheme="majorHAnsi" w:cs="Times New Roman"/>
                <w:b/>
                <w:color w:val="000000"/>
                <w:sz w:val="20"/>
                <w:szCs w:val="20"/>
                <w:shd w:val="clear" w:color="auto" w:fill="FFFFFF"/>
                <w:lang w:val="en-US"/>
              </w:rPr>
            </w:pPr>
            <w:r w:rsidRPr="00CF5DEA">
              <w:rPr>
                <w:rFonts w:asciiTheme="majorHAnsi" w:hAnsiTheme="majorHAnsi" w:cs="Times New Roman"/>
                <w:b/>
                <w:color w:val="000000"/>
                <w:sz w:val="20"/>
                <w:szCs w:val="20"/>
                <w:shd w:val="clear" w:color="auto" w:fill="FFFFFF"/>
                <w:lang w:val="en-US"/>
              </w:rPr>
              <w:t>Name and surname</w:t>
            </w:r>
          </w:p>
        </w:tc>
        <w:tc>
          <w:tcPr>
            <w:tcW w:w="5616" w:type="dxa"/>
            <w:vAlign w:val="center"/>
          </w:tcPr>
          <w:p w14:paraId="10008322" w14:textId="77777777" w:rsidR="00D13FCE" w:rsidRPr="00CF5DEA" w:rsidRDefault="00D13FCE" w:rsidP="008A650A">
            <w:pPr>
              <w:jc w:val="center"/>
              <w:rPr>
                <w:rFonts w:asciiTheme="majorHAnsi" w:hAnsiTheme="majorHAnsi" w:cs="Times New Roman"/>
                <w:b/>
                <w:color w:val="000000"/>
                <w:sz w:val="20"/>
                <w:szCs w:val="20"/>
                <w:shd w:val="clear" w:color="auto" w:fill="FFFFFF"/>
                <w:lang w:val="en-US"/>
              </w:rPr>
            </w:pPr>
            <w:r w:rsidRPr="00CF5DEA">
              <w:rPr>
                <w:rFonts w:asciiTheme="majorHAnsi" w:hAnsiTheme="majorHAnsi" w:cs="Times New Roman"/>
                <w:b/>
                <w:color w:val="000000"/>
                <w:sz w:val="20"/>
                <w:szCs w:val="20"/>
                <w:shd w:val="clear" w:color="auto" w:fill="FFFFFF"/>
                <w:lang w:val="en-US"/>
              </w:rPr>
              <w:t>Number of points</w:t>
            </w:r>
          </w:p>
        </w:tc>
      </w:tr>
      <w:tr w:rsidR="00D13FCE" w:rsidRPr="00CF5DEA" w14:paraId="5EFDBA12" w14:textId="77777777" w:rsidTr="00D13FCE">
        <w:trPr>
          <w:trHeight w:val="496"/>
          <w:jc w:val="center"/>
        </w:trPr>
        <w:tc>
          <w:tcPr>
            <w:tcW w:w="5616" w:type="dxa"/>
            <w:vAlign w:val="center"/>
          </w:tcPr>
          <w:p w14:paraId="4208BA84" w14:textId="77777777" w:rsidR="00D13FCE" w:rsidRPr="00CF5DEA" w:rsidRDefault="00D13FCE" w:rsidP="008A650A">
            <w:pPr>
              <w:jc w:val="center"/>
              <w:rPr>
                <w:rFonts w:asciiTheme="majorHAnsi" w:hAnsiTheme="majorHAnsi" w:cs="Times New Roman"/>
                <w:b/>
                <w:color w:val="000000"/>
                <w:sz w:val="20"/>
                <w:szCs w:val="20"/>
                <w:shd w:val="clear" w:color="auto" w:fill="FFFFFF"/>
                <w:lang w:val="en-US"/>
              </w:rPr>
            </w:pPr>
          </w:p>
        </w:tc>
        <w:tc>
          <w:tcPr>
            <w:tcW w:w="5616" w:type="dxa"/>
            <w:vAlign w:val="center"/>
          </w:tcPr>
          <w:p w14:paraId="63E839C9" w14:textId="77777777" w:rsidR="00D13FCE" w:rsidRPr="00CF5DEA" w:rsidRDefault="00D13FCE" w:rsidP="008A650A">
            <w:pPr>
              <w:jc w:val="center"/>
              <w:rPr>
                <w:rFonts w:asciiTheme="majorHAnsi" w:hAnsiTheme="majorHAnsi" w:cs="Times New Roman"/>
                <w:b/>
                <w:color w:val="000000"/>
                <w:sz w:val="20"/>
                <w:szCs w:val="20"/>
                <w:shd w:val="clear" w:color="auto" w:fill="FFFFFF"/>
                <w:lang w:val="en-US"/>
              </w:rPr>
            </w:pPr>
          </w:p>
        </w:tc>
      </w:tr>
    </w:tbl>
    <w:p w14:paraId="46D82D83" w14:textId="77777777" w:rsidR="000F150A" w:rsidRPr="00CF5DEA" w:rsidRDefault="000F150A" w:rsidP="0085231B">
      <w:pPr>
        <w:jc w:val="center"/>
        <w:rPr>
          <w:rFonts w:asciiTheme="majorHAnsi" w:hAnsiTheme="majorHAnsi" w:cs="Times New Roman"/>
          <w:b/>
          <w:color w:val="000000"/>
          <w:sz w:val="20"/>
          <w:szCs w:val="20"/>
          <w:shd w:val="clear" w:color="auto" w:fill="FFFFFF"/>
          <w:lang w:val="en-US"/>
        </w:rPr>
      </w:pPr>
    </w:p>
    <w:p w14:paraId="6E56E6C9" w14:textId="77777777" w:rsidR="0085231B" w:rsidRPr="00CF5DEA" w:rsidRDefault="0085231B" w:rsidP="0085231B">
      <w:pPr>
        <w:jc w:val="center"/>
        <w:rPr>
          <w:rFonts w:asciiTheme="majorHAnsi" w:hAnsiTheme="majorHAnsi" w:cs="Times New Roman"/>
          <w:b/>
          <w:color w:val="000000"/>
          <w:sz w:val="20"/>
          <w:szCs w:val="20"/>
          <w:shd w:val="clear" w:color="auto" w:fill="FFFFFF"/>
          <w:lang w:val="en-US"/>
        </w:rPr>
      </w:pPr>
      <w:r w:rsidRPr="00CF5DEA">
        <w:rPr>
          <w:rFonts w:asciiTheme="majorHAnsi" w:hAnsiTheme="majorHAnsi" w:cs="Times New Roman"/>
          <w:b/>
          <w:color w:val="000000"/>
          <w:sz w:val="20"/>
          <w:szCs w:val="20"/>
          <w:shd w:val="clear" w:color="auto" w:fill="FFFFFF"/>
          <w:lang w:val="en-US"/>
        </w:rPr>
        <w:t xml:space="preserve">TOTAL NUMBER POINTS – </w:t>
      </w:r>
      <w:r w:rsidR="00992846" w:rsidRPr="00CF5DEA">
        <w:rPr>
          <w:rFonts w:asciiTheme="majorHAnsi" w:hAnsiTheme="majorHAnsi" w:cs="Times New Roman"/>
          <w:b/>
          <w:color w:val="000000"/>
          <w:sz w:val="20"/>
          <w:szCs w:val="20"/>
          <w:shd w:val="clear" w:color="auto" w:fill="FFFFFF"/>
          <w:lang w:val="en-US"/>
        </w:rPr>
        <w:t>2</w:t>
      </w:r>
      <w:r w:rsidRPr="00CF5DEA">
        <w:rPr>
          <w:rFonts w:asciiTheme="majorHAnsi" w:hAnsiTheme="majorHAnsi" w:cs="Times New Roman"/>
          <w:b/>
          <w:color w:val="000000"/>
          <w:sz w:val="20"/>
          <w:szCs w:val="20"/>
          <w:shd w:val="clear" w:color="auto" w:fill="FFFFFF"/>
          <w:lang w:val="en-US"/>
        </w:rPr>
        <w:t>0 points</w:t>
      </w:r>
    </w:p>
    <w:p w14:paraId="16E091F3" w14:textId="77777777" w:rsidR="0085231B" w:rsidRPr="00CF5DEA" w:rsidRDefault="008B4D37" w:rsidP="0085231B">
      <w:pPr>
        <w:jc w:val="both"/>
        <w:rPr>
          <w:rFonts w:asciiTheme="majorHAnsi" w:hAnsiTheme="majorHAnsi" w:cs="Times New Roman"/>
          <w:b/>
          <w:color w:val="000000"/>
          <w:u w:val="single"/>
          <w:shd w:val="clear" w:color="auto" w:fill="FFFFFF"/>
          <w:lang w:val="en-US"/>
        </w:rPr>
      </w:pPr>
      <w:r w:rsidRPr="00CF5DEA">
        <w:rPr>
          <w:rFonts w:asciiTheme="majorHAnsi" w:hAnsiTheme="majorHAnsi" w:cs="Times New Roman"/>
          <w:b/>
          <w:color w:val="000000"/>
          <w:u w:val="single"/>
          <w:shd w:val="clear" w:color="auto" w:fill="FFFFFF"/>
          <w:lang w:val="en-US"/>
        </w:rPr>
        <w:t xml:space="preserve">Part I. </w:t>
      </w:r>
      <w:r w:rsidR="0085231B" w:rsidRPr="00CF5DEA">
        <w:rPr>
          <w:rFonts w:asciiTheme="majorHAnsi" w:hAnsiTheme="majorHAnsi" w:cs="Times New Roman"/>
          <w:b/>
          <w:color w:val="000000"/>
          <w:u w:val="single"/>
          <w:shd w:val="clear" w:color="auto" w:fill="FFFFFF"/>
          <w:lang w:val="en-US"/>
        </w:rPr>
        <w:t>Multiple choice questions, more than one correct answer is poss</w:t>
      </w:r>
      <w:r w:rsidR="00011EB8" w:rsidRPr="00CF5DEA">
        <w:rPr>
          <w:rFonts w:asciiTheme="majorHAnsi" w:hAnsiTheme="majorHAnsi" w:cs="Times New Roman"/>
          <w:b/>
          <w:color w:val="000000"/>
          <w:u w:val="single"/>
          <w:shd w:val="clear" w:color="auto" w:fill="FFFFFF"/>
          <w:lang w:val="en-US"/>
        </w:rPr>
        <w:t>ible, total number of points</w:t>
      </w:r>
      <w:r w:rsidR="00560F8F" w:rsidRPr="00CF5DEA">
        <w:rPr>
          <w:rFonts w:asciiTheme="majorHAnsi" w:hAnsiTheme="majorHAnsi" w:cs="Times New Roman"/>
          <w:b/>
          <w:color w:val="000000"/>
          <w:u w:val="single"/>
          <w:shd w:val="clear" w:color="auto" w:fill="FFFFFF"/>
          <w:lang w:val="en-US"/>
        </w:rPr>
        <w:t xml:space="preserve"> -</w:t>
      </w:r>
      <w:r w:rsidR="006868BB" w:rsidRPr="00CF5DEA">
        <w:rPr>
          <w:rFonts w:asciiTheme="majorHAnsi" w:hAnsiTheme="majorHAnsi" w:cs="Times New Roman"/>
          <w:b/>
          <w:color w:val="000000"/>
          <w:u w:val="single"/>
          <w:shd w:val="clear" w:color="auto" w:fill="FFFFFF"/>
          <w:lang w:val="en-US"/>
        </w:rPr>
        <w:t xml:space="preserve"> 5</w:t>
      </w:r>
    </w:p>
    <w:p w14:paraId="404BE487" w14:textId="77777777" w:rsidR="00011EB8" w:rsidRPr="00CF5DEA" w:rsidRDefault="00011EB8"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 xml:space="preserve">What is the primary function of IASB? </w:t>
      </w:r>
    </w:p>
    <w:p w14:paraId="3A8AF34C" w14:textId="77777777" w:rsidR="00011EB8" w:rsidRPr="00CF5DEA" w:rsidRDefault="00011EB8" w:rsidP="000E277F">
      <w:pPr>
        <w:pStyle w:val="ListParagraph"/>
        <w:numPr>
          <w:ilvl w:val="0"/>
          <w:numId w:val="15"/>
        </w:numPr>
        <w:jc w:val="both"/>
        <w:rPr>
          <w:rFonts w:asciiTheme="majorHAnsi" w:eastAsia="Calibri" w:hAnsiTheme="majorHAnsi" w:cs="Times New Roman"/>
          <w:lang w:val="en-US"/>
        </w:rPr>
      </w:pPr>
      <w:r w:rsidRPr="00CF5DEA">
        <w:rPr>
          <w:rFonts w:asciiTheme="majorHAnsi" w:eastAsia="Calibri" w:hAnsiTheme="majorHAnsi" w:cs="Times New Roman"/>
          <w:lang w:val="en-US"/>
        </w:rPr>
        <w:t>to develop and publish IFRS.</w:t>
      </w:r>
    </w:p>
    <w:p w14:paraId="7FA485CB" w14:textId="77777777" w:rsidR="00011EB8" w:rsidRPr="00CF5DEA" w:rsidRDefault="00011EB8" w:rsidP="000E277F">
      <w:pPr>
        <w:pStyle w:val="ListParagraph"/>
        <w:numPr>
          <w:ilvl w:val="0"/>
          <w:numId w:val="15"/>
        </w:numPr>
        <w:jc w:val="both"/>
        <w:rPr>
          <w:rFonts w:asciiTheme="majorHAnsi" w:eastAsia="Calibri" w:hAnsiTheme="majorHAnsi" w:cs="Times New Roman"/>
          <w:lang w:val="en-US"/>
        </w:rPr>
      </w:pPr>
      <w:r w:rsidRPr="00CF5DEA">
        <w:rPr>
          <w:rFonts w:asciiTheme="majorHAnsi" w:eastAsia="Calibri" w:hAnsiTheme="majorHAnsi" w:cs="Times New Roman"/>
          <w:lang w:val="en-US"/>
        </w:rPr>
        <w:t>to develop and publish IFRS and strive for their worldwide use instead of national accounting standards.</w:t>
      </w:r>
    </w:p>
    <w:p w14:paraId="65ADBF1F" w14:textId="77777777" w:rsidR="00011EB8" w:rsidRPr="00CF5DEA" w:rsidRDefault="00011EB8" w:rsidP="000E277F">
      <w:pPr>
        <w:pStyle w:val="ListParagraph"/>
        <w:numPr>
          <w:ilvl w:val="0"/>
          <w:numId w:val="15"/>
        </w:numPr>
        <w:jc w:val="both"/>
        <w:rPr>
          <w:rFonts w:asciiTheme="majorHAnsi" w:eastAsia="Calibri" w:hAnsiTheme="majorHAnsi" w:cs="Times New Roman"/>
          <w:lang w:val="en-US"/>
        </w:rPr>
      </w:pPr>
      <w:r w:rsidRPr="00CF5DEA">
        <w:rPr>
          <w:rFonts w:asciiTheme="majorHAnsi" w:eastAsia="Calibri" w:hAnsiTheme="majorHAnsi" w:cs="Times New Roman"/>
          <w:lang w:val="en-US"/>
        </w:rPr>
        <w:t>to develop and publish IFRS and strive for their convergence with national accounting standards.</w:t>
      </w:r>
    </w:p>
    <w:p w14:paraId="5589E433" w14:textId="77777777" w:rsidR="00011EB8" w:rsidRPr="00CF5DEA" w:rsidRDefault="00011EB8" w:rsidP="000E277F">
      <w:pPr>
        <w:pStyle w:val="ListParagraph"/>
        <w:numPr>
          <w:ilvl w:val="0"/>
          <w:numId w:val="15"/>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to develop and publish IFRS and strive for their worldwide use in general purpose financial statements and other financial reporting. </w:t>
      </w:r>
    </w:p>
    <w:p w14:paraId="26044D7F" w14:textId="77777777" w:rsidR="00011EB8" w:rsidRPr="00CF5DEA" w:rsidRDefault="00011EB8" w:rsidP="00011EB8">
      <w:pPr>
        <w:pStyle w:val="ListParagraph"/>
        <w:jc w:val="both"/>
        <w:rPr>
          <w:rFonts w:asciiTheme="majorHAnsi" w:eastAsia="Calibri" w:hAnsiTheme="majorHAnsi" w:cs="Times New Roman"/>
          <w:lang w:val="en-US"/>
        </w:rPr>
      </w:pPr>
    </w:p>
    <w:p w14:paraId="0E1DDA3B" w14:textId="77777777" w:rsidR="00BD7954" w:rsidRPr="00CF5DEA" w:rsidRDefault="00011EB8"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O</w:t>
      </w:r>
      <w:r w:rsidR="00BD7954" w:rsidRPr="00CF5DEA">
        <w:rPr>
          <w:rFonts w:asciiTheme="majorHAnsi" w:hAnsiTheme="majorHAnsi"/>
          <w:lang w:val="en-US"/>
        </w:rPr>
        <w:t xml:space="preserve">bjective of </w:t>
      </w:r>
      <w:proofErr w:type="gramStart"/>
      <w:r w:rsidR="00BD7954" w:rsidRPr="00CF5DEA">
        <w:rPr>
          <w:rFonts w:asciiTheme="majorHAnsi" w:hAnsiTheme="majorHAnsi"/>
          <w:lang w:val="en-US"/>
        </w:rPr>
        <w:t>general purpose</w:t>
      </w:r>
      <w:proofErr w:type="gramEnd"/>
      <w:r w:rsidR="00BD7954" w:rsidRPr="00CF5DEA">
        <w:rPr>
          <w:rFonts w:asciiTheme="majorHAnsi" w:hAnsiTheme="majorHAnsi"/>
          <w:lang w:val="en-US"/>
        </w:rPr>
        <w:t xml:space="preserve"> financial statements is:</w:t>
      </w:r>
      <w:r w:rsidRPr="00CF5DEA">
        <w:rPr>
          <w:rFonts w:asciiTheme="majorHAnsi" w:hAnsiTheme="majorHAnsi"/>
          <w:lang w:val="en-US"/>
        </w:rPr>
        <w:t xml:space="preserve"> </w:t>
      </w:r>
    </w:p>
    <w:p w14:paraId="2A49BBC9" w14:textId="77777777" w:rsidR="00BD7954" w:rsidRPr="00CF5DEA" w:rsidRDefault="00BD7954" w:rsidP="000E277F">
      <w:pPr>
        <w:pStyle w:val="ListParagraph"/>
        <w:numPr>
          <w:ilvl w:val="0"/>
          <w:numId w:val="8"/>
        </w:numPr>
        <w:jc w:val="both"/>
        <w:rPr>
          <w:rFonts w:asciiTheme="majorHAnsi" w:eastAsia="Calibri" w:hAnsiTheme="majorHAnsi" w:cs="Times New Roman"/>
          <w:lang w:val="en-US"/>
        </w:rPr>
      </w:pPr>
      <w:r w:rsidRPr="00CF5DEA">
        <w:rPr>
          <w:rFonts w:asciiTheme="majorHAnsi" w:eastAsia="Calibri" w:hAnsiTheme="majorHAnsi" w:cs="Times New Roman"/>
          <w:lang w:val="en-US"/>
        </w:rPr>
        <w:t>to inform government statistics</w:t>
      </w:r>
      <w:r w:rsidR="00011EB8" w:rsidRPr="00CF5DEA">
        <w:rPr>
          <w:rFonts w:asciiTheme="majorHAnsi" w:eastAsia="Calibri" w:hAnsiTheme="majorHAnsi" w:cs="Times New Roman"/>
          <w:lang w:val="en-US"/>
        </w:rPr>
        <w:t>.</w:t>
      </w:r>
      <w:r w:rsidRPr="00CF5DEA">
        <w:rPr>
          <w:rFonts w:asciiTheme="majorHAnsi" w:eastAsia="Calibri" w:hAnsiTheme="majorHAnsi" w:cs="Times New Roman"/>
          <w:lang w:val="en-US"/>
        </w:rPr>
        <w:t xml:space="preserve"> </w:t>
      </w:r>
    </w:p>
    <w:p w14:paraId="69B5EA41" w14:textId="77777777" w:rsidR="00BD7954" w:rsidRPr="00CF5DEA" w:rsidRDefault="00BD7954" w:rsidP="000E277F">
      <w:pPr>
        <w:pStyle w:val="ListParagraph"/>
        <w:numPr>
          <w:ilvl w:val="0"/>
          <w:numId w:val="8"/>
        </w:numPr>
        <w:jc w:val="both"/>
        <w:rPr>
          <w:rFonts w:asciiTheme="majorHAnsi" w:eastAsia="Calibri" w:hAnsiTheme="majorHAnsi" w:cs="Times New Roman"/>
          <w:lang w:val="en-US"/>
        </w:rPr>
      </w:pPr>
      <w:r w:rsidRPr="00CF5DEA">
        <w:rPr>
          <w:rFonts w:asciiTheme="majorHAnsi" w:eastAsia="Calibri" w:hAnsiTheme="majorHAnsi" w:cs="Times New Roman"/>
          <w:lang w:val="en-US"/>
        </w:rPr>
        <w:t>to support entity’s tax return</w:t>
      </w:r>
      <w:r w:rsidR="00011EB8" w:rsidRPr="00CF5DEA">
        <w:rPr>
          <w:rFonts w:asciiTheme="majorHAnsi" w:eastAsia="Calibri" w:hAnsiTheme="majorHAnsi" w:cs="Times New Roman"/>
          <w:lang w:val="en-US"/>
        </w:rPr>
        <w:t>.</w:t>
      </w:r>
      <w:r w:rsidRPr="00CF5DEA">
        <w:rPr>
          <w:rFonts w:asciiTheme="majorHAnsi" w:eastAsia="Calibri" w:hAnsiTheme="majorHAnsi" w:cs="Times New Roman"/>
          <w:lang w:val="en-US"/>
        </w:rPr>
        <w:t xml:space="preserve"> </w:t>
      </w:r>
    </w:p>
    <w:p w14:paraId="02E8B076" w14:textId="77777777" w:rsidR="00BD7954" w:rsidRPr="00CF5DEA" w:rsidRDefault="00BD7954" w:rsidP="000E277F">
      <w:pPr>
        <w:pStyle w:val="ListParagraph"/>
        <w:numPr>
          <w:ilvl w:val="0"/>
          <w:numId w:val="8"/>
        </w:numPr>
        <w:jc w:val="both"/>
        <w:rPr>
          <w:rFonts w:asciiTheme="majorHAnsi" w:eastAsia="Calibri" w:hAnsiTheme="majorHAnsi" w:cs="Times New Roman"/>
          <w:lang w:val="en-US"/>
        </w:rPr>
      </w:pPr>
      <w:r w:rsidRPr="00CF5DEA">
        <w:rPr>
          <w:rFonts w:asciiTheme="majorHAnsi" w:eastAsia="Calibri" w:hAnsiTheme="majorHAnsi" w:cs="Times New Roman"/>
          <w:lang w:val="en-US"/>
        </w:rPr>
        <w:t>to meet all information needs of all users of entity’s financial statements</w:t>
      </w:r>
      <w:r w:rsidR="00011EB8" w:rsidRPr="00CF5DEA">
        <w:rPr>
          <w:rFonts w:asciiTheme="majorHAnsi" w:eastAsia="Calibri" w:hAnsiTheme="majorHAnsi" w:cs="Times New Roman"/>
          <w:lang w:val="en-US"/>
        </w:rPr>
        <w:t>.</w:t>
      </w:r>
    </w:p>
    <w:p w14:paraId="33C6411C" w14:textId="77777777" w:rsidR="00BD7954" w:rsidRPr="00CF5DEA" w:rsidRDefault="00BD7954" w:rsidP="000E277F">
      <w:pPr>
        <w:pStyle w:val="ListParagraph"/>
        <w:numPr>
          <w:ilvl w:val="0"/>
          <w:numId w:val="8"/>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to inform economic decision-making by a broad range of users that are not </w:t>
      </w:r>
      <w:proofErr w:type="gramStart"/>
      <w:r w:rsidRPr="00CF5DEA">
        <w:rPr>
          <w:rFonts w:asciiTheme="majorHAnsi" w:eastAsia="Calibri" w:hAnsiTheme="majorHAnsi" w:cs="Times New Roman"/>
          <w:lang w:val="en-US"/>
        </w:rPr>
        <w:t>in a position</w:t>
      </w:r>
      <w:proofErr w:type="gramEnd"/>
      <w:r w:rsidRPr="00CF5DEA">
        <w:rPr>
          <w:rFonts w:asciiTheme="majorHAnsi" w:eastAsia="Calibri" w:hAnsiTheme="majorHAnsi" w:cs="Times New Roman"/>
          <w:lang w:val="en-US"/>
        </w:rPr>
        <w:t xml:space="preserve"> to demand reports tailored to their needs (e.g. investors and creditors)</w:t>
      </w:r>
      <w:r w:rsidR="00011EB8" w:rsidRPr="00CF5DEA">
        <w:rPr>
          <w:rFonts w:asciiTheme="majorHAnsi" w:eastAsia="Calibri" w:hAnsiTheme="majorHAnsi" w:cs="Times New Roman"/>
          <w:lang w:val="en-US"/>
        </w:rPr>
        <w:t>.</w:t>
      </w:r>
      <w:r w:rsidRPr="00CF5DEA">
        <w:rPr>
          <w:rFonts w:asciiTheme="majorHAnsi" w:eastAsia="Calibri" w:hAnsiTheme="majorHAnsi" w:cs="Times New Roman"/>
          <w:lang w:val="en-US"/>
        </w:rPr>
        <w:t xml:space="preserve"> </w:t>
      </w:r>
    </w:p>
    <w:p w14:paraId="57BCA963" w14:textId="77777777" w:rsidR="00BD7954" w:rsidRPr="00CF5DEA" w:rsidRDefault="00BD7954" w:rsidP="00BD7954">
      <w:pPr>
        <w:pStyle w:val="ListParagraph"/>
        <w:jc w:val="both"/>
        <w:rPr>
          <w:rFonts w:asciiTheme="majorHAnsi" w:eastAsia="Calibri" w:hAnsiTheme="majorHAnsi" w:cs="Times New Roman"/>
          <w:lang w:val="en-US"/>
        </w:rPr>
      </w:pPr>
    </w:p>
    <w:p w14:paraId="7BBB201D" w14:textId="77777777" w:rsidR="00BD7954" w:rsidRPr="00CF5DEA" w:rsidRDefault="00011EB8"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In which example</w:t>
      </w:r>
      <w:r w:rsidR="00BD7954" w:rsidRPr="00CF5DEA">
        <w:rPr>
          <w:rFonts w:asciiTheme="majorHAnsi" w:hAnsiTheme="majorHAnsi"/>
          <w:lang w:val="en-US"/>
        </w:rPr>
        <w:t xml:space="preserve"> </w:t>
      </w:r>
      <w:r w:rsidRPr="00CF5DEA">
        <w:rPr>
          <w:rFonts w:asciiTheme="majorHAnsi" w:hAnsiTheme="majorHAnsi"/>
          <w:lang w:val="en-US"/>
        </w:rPr>
        <w:t>an entity</w:t>
      </w:r>
      <w:r w:rsidR="00BD7954" w:rsidRPr="00CF5DEA">
        <w:rPr>
          <w:rFonts w:asciiTheme="majorHAnsi" w:hAnsiTheme="majorHAnsi"/>
          <w:lang w:val="en-US"/>
        </w:rPr>
        <w:t xml:space="preserve"> </w:t>
      </w:r>
      <w:r w:rsidRPr="00CF5DEA">
        <w:rPr>
          <w:rFonts w:asciiTheme="majorHAnsi" w:hAnsiTheme="majorHAnsi"/>
          <w:lang w:val="en-US"/>
        </w:rPr>
        <w:t>has</w:t>
      </w:r>
      <w:r w:rsidR="00BD7954" w:rsidRPr="00CF5DEA">
        <w:rPr>
          <w:rFonts w:asciiTheme="majorHAnsi" w:hAnsiTheme="majorHAnsi"/>
          <w:lang w:val="en-US"/>
        </w:rPr>
        <w:t xml:space="preserve"> public accountability? </w:t>
      </w:r>
    </w:p>
    <w:p w14:paraId="54CC00FB" w14:textId="77777777" w:rsidR="00BD7954" w:rsidRPr="00CF5DEA" w:rsidRDefault="00BD7954" w:rsidP="000E277F">
      <w:pPr>
        <w:pStyle w:val="ListParagraph"/>
        <w:numPr>
          <w:ilvl w:val="0"/>
          <w:numId w:val="9"/>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An entity operates two businesses from its premises - banking and retail clothing. Its banking operation takes deposits from the general public in return for a promise to pay to customers the capital plus a return interest for every deposit received from them. The entity uses the funds generated in its banking operation to partially fund its retail clothing operations. </w:t>
      </w:r>
    </w:p>
    <w:p w14:paraId="314E6E2F" w14:textId="77777777" w:rsidR="00BD7954" w:rsidRPr="00CF5DEA" w:rsidRDefault="00BD7954" w:rsidP="000E277F">
      <w:pPr>
        <w:pStyle w:val="ListParagraph"/>
        <w:numPr>
          <w:ilvl w:val="0"/>
          <w:numId w:val="9"/>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An entity’s shares are not listed on a stock exchange but do trade ‘over-the-counter’ and the over-the-counter market is subject to government regulation though to a lesser degree than the stock exchange. </w:t>
      </w:r>
    </w:p>
    <w:p w14:paraId="28E5C21D" w14:textId="77777777" w:rsidR="00BD7954" w:rsidRPr="00CF5DEA" w:rsidRDefault="00BD7954" w:rsidP="000E277F">
      <w:pPr>
        <w:pStyle w:val="ListParagraph"/>
        <w:numPr>
          <w:ilvl w:val="0"/>
          <w:numId w:val="9"/>
        </w:numPr>
        <w:jc w:val="both"/>
        <w:rPr>
          <w:rFonts w:asciiTheme="majorHAnsi" w:eastAsia="Calibri" w:hAnsiTheme="majorHAnsi" w:cs="Times New Roman"/>
          <w:lang w:val="en-US"/>
        </w:rPr>
      </w:pPr>
      <w:r w:rsidRPr="00CF5DEA">
        <w:rPr>
          <w:rFonts w:asciiTheme="majorHAnsi" w:eastAsia="Calibri" w:hAnsiTheme="majorHAnsi" w:cs="Times New Roman"/>
          <w:lang w:val="en-US"/>
        </w:rPr>
        <w:t>An entity’s shares are traded on one of the secondary securities markets in the European Union (EU) that are not ‘regulated markets’ for the purposes of applying the EU’s IAS Regulation</w:t>
      </w:r>
      <w:r w:rsidR="00DF37A4" w:rsidRPr="00CF5DEA">
        <w:rPr>
          <w:rFonts w:asciiTheme="majorHAnsi" w:eastAsia="Calibri" w:hAnsiTheme="majorHAnsi" w:cs="Times New Roman"/>
          <w:lang w:val="en-US"/>
        </w:rPr>
        <w:t>.</w:t>
      </w:r>
    </w:p>
    <w:p w14:paraId="11549F7D" w14:textId="77777777" w:rsidR="00BD7954" w:rsidRPr="00CF5DEA" w:rsidRDefault="00BD7954" w:rsidP="000E277F">
      <w:pPr>
        <w:pStyle w:val="ListParagraph"/>
        <w:numPr>
          <w:ilvl w:val="0"/>
          <w:numId w:val="9"/>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An entity’s only business is earning interest on money that it lends to its clients. The entity obtains </w:t>
      </w:r>
      <w:proofErr w:type="gramStart"/>
      <w:r w:rsidRPr="00CF5DEA">
        <w:rPr>
          <w:rFonts w:asciiTheme="majorHAnsi" w:eastAsia="Calibri" w:hAnsiTheme="majorHAnsi" w:cs="Times New Roman"/>
          <w:lang w:val="en-US"/>
        </w:rPr>
        <w:t>all of</w:t>
      </w:r>
      <w:proofErr w:type="gramEnd"/>
      <w:r w:rsidRPr="00CF5DEA">
        <w:rPr>
          <w:rFonts w:asciiTheme="majorHAnsi" w:eastAsia="Calibri" w:hAnsiTheme="majorHAnsi" w:cs="Times New Roman"/>
          <w:lang w:val="en-US"/>
        </w:rPr>
        <w:t xml:space="preserve"> its funds direct from its two owner-managers both of whom are billionaires (i.e. the entity does not take deposits from customers). </w:t>
      </w:r>
    </w:p>
    <w:p w14:paraId="767746CA" w14:textId="77777777" w:rsidR="00BD7954" w:rsidRPr="00CF5DEA" w:rsidRDefault="00BD7954" w:rsidP="000E277F">
      <w:pPr>
        <w:pStyle w:val="ListParagraph"/>
        <w:numPr>
          <w:ilvl w:val="0"/>
          <w:numId w:val="9"/>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The ordinary shares of an entity’s parent are listed on a stock exchange. </w:t>
      </w:r>
    </w:p>
    <w:p w14:paraId="58E39F0E" w14:textId="77777777" w:rsidR="00BD7954" w:rsidRPr="00CF5DEA" w:rsidRDefault="00BD7954" w:rsidP="0085231B">
      <w:pPr>
        <w:pStyle w:val="ListParagraph"/>
        <w:jc w:val="both"/>
        <w:rPr>
          <w:rFonts w:asciiTheme="majorHAnsi" w:hAnsiTheme="majorHAnsi"/>
          <w:lang w:val="en-US"/>
        </w:rPr>
      </w:pPr>
    </w:p>
    <w:p w14:paraId="2F59B6AD" w14:textId="77777777" w:rsidR="00BD7954" w:rsidRPr="00CF5DEA" w:rsidRDefault="00011EB8"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I</w:t>
      </w:r>
      <w:r w:rsidR="00BD7954" w:rsidRPr="00CF5DEA">
        <w:rPr>
          <w:rFonts w:asciiTheme="majorHAnsi" w:hAnsiTheme="majorHAnsi"/>
          <w:lang w:val="en-US"/>
        </w:rPr>
        <w:t>n</w:t>
      </w:r>
      <w:r w:rsidRPr="00CF5DEA">
        <w:rPr>
          <w:rFonts w:asciiTheme="majorHAnsi" w:hAnsiTheme="majorHAnsi"/>
          <w:lang w:val="en-US"/>
        </w:rPr>
        <w:t xml:space="preserve"> which of the following examples according to IFRS for SME</w:t>
      </w:r>
      <w:r w:rsidR="00BD7954" w:rsidRPr="00CF5DEA">
        <w:rPr>
          <w:rFonts w:asciiTheme="majorHAnsi" w:hAnsiTheme="majorHAnsi"/>
          <w:lang w:val="en-US"/>
        </w:rPr>
        <w:t xml:space="preserve"> income is recognized as gain</w:t>
      </w:r>
      <w:r w:rsidRPr="00CF5DEA">
        <w:rPr>
          <w:rFonts w:asciiTheme="majorHAnsi" w:hAnsiTheme="majorHAnsi"/>
          <w:lang w:val="en-US"/>
        </w:rPr>
        <w:t>:</w:t>
      </w:r>
    </w:p>
    <w:p w14:paraId="1FC1D57B" w14:textId="77777777" w:rsidR="00BD7954" w:rsidRPr="00CF5DEA" w:rsidRDefault="00BD7954" w:rsidP="000E277F">
      <w:pPr>
        <w:pStyle w:val="ListParagraph"/>
        <w:numPr>
          <w:ilvl w:val="0"/>
          <w:numId w:val="16"/>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On 31 December 20X5 an entity sold inventory for CU1,500 when the carrying amount of the inventory was CU1,000. </w:t>
      </w:r>
    </w:p>
    <w:p w14:paraId="6A277FDC" w14:textId="77777777" w:rsidR="00BD7954" w:rsidRPr="00CF5DEA" w:rsidRDefault="00BD7954" w:rsidP="000E277F">
      <w:pPr>
        <w:pStyle w:val="ListParagraph"/>
        <w:numPr>
          <w:ilvl w:val="0"/>
          <w:numId w:val="16"/>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On 31 December 20X5 an entity sold a machine used by the entity in the manufacture of goods for CU1,500 when the carrying amount of the machine was CU1,000. </w:t>
      </w:r>
    </w:p>
    <w:p w14:paraId="08611343" w14:textId="77777777" w:rsidR="00BD7954" w:rsidRPr="00CF5DEA" w:rsidRDefault="00BD7954" w:rsidP="000E277F">
      <w:pPr>
        <w:pStyle w:val="ListParagraph"/>
        <w:numPr>
          <w:ilvl w:val="0"/>
          <w:numId w:val="16"/>
        </w:numPr>
        <w:jc w:val="both"/>
        <w:rPr>
          <w:rFonts w:asciiTheme="majorHAnsi" w:eastAsia="Calibri" w:hAnsiTheme="majorHAnsi" w:cs="Times New Roman"/>
          <w:lang w:val="en-US"/>
        </w:rPr>
      </w:pPr>
      <w:r w:rsidRPr="00CF5DEA">
        <w:rPr>
          <w:rFonts w:asciiTheme="majorHAnsi" w:eastAsia="Calibri" w:hAnsiTheme="majorHAnsi" w:cs="Times New Roman"/>
          <w:lang w:val="en-US"/>
        </w:rPr>
        <w:t xml:space="preserve">A chain of bicycle shops holds bicycles for short-term hire and for sale. The bicycles available for hire are used for two or three years and then sold by the shops as second-hand models. All shops sell both new and second-hand bicycles. The shops have three sources of revenue: (i) the sale of new bicycles, (ii) the sale of second-hand bicycles and (iii) the rental of bicycles. </w:t>
      </w:r>
    </w:p>
    <w:p w14:paraId="0F2C99E1" w14:textId="77777777" w:rsidR="00BD7954" w:rsidRPr="00CF5DEA" w:rsidRDefault="00BD7954" w:rsidP="000E277F">
      <w:pPr>
        <w:pStyle w:val="ListParagraph"/>
        <w:numPr>
          <w:ilvl w:val="0"/>
          <w:numId w:val="16"/>
        </w:numPr>
        <w:jc w:val="both"/>
        <w:rPr>
          <w:rFonts w:asciiTheme="majorHAnsi" w:eastAsia="Calibri" w:hAnsiTheme="majorHAnsi" w:cs="Times New Roman"/>
          <w:lang w:val="en-US"/>
        </w:rPr>
      </w:pPr>
      <w:r w:rsidRPr="00CF5DEA">
        <w:rPr>
          <w:rFonts w:asciiTheme="majorHAnsi" w:eastAsia="Calibri" w:hAnsiTheme="majorHAnsi" w:cs="Times New Roman"/>
          <w:lang w:val="en-US"/>
        </w:rPr>
        <w:lastRenderedPageBreak/>
        <w:t>On 31 December 20X5 an entity received settlement from its foreign customer for invoiced issued in foreign currency. The invoiced amount was FCU100, the exchange rate at the day of its issue was FCU1 = CU1. The exchange rate on 31 December 20X5 was FCU1 = CU1,1.</w:t>
      </w:r>
    </w:p>
    <w:p w14:paraId="3D180A7B" w14:textId="77777777" w:rsidR="00011EB8" w:rsidRPr="00CF5DEA" w:rsidRDefault="00011EB8" w:rsidP="00BD7954">
      <w:pPr>
        <w:pStyle w:val="ListParagraph"/>
        <w:ind w:left="360"/>
        <w:jc w:val="both"/>
        <w:rPr>
          <w:rFonts w:asciiTheme="majorHAnsi" w:hAnsiTheme="majorHAnsi"/>
          <w:lang w:val="en-US"/>
        </w:rPr>
      </w:pPr>
    </w:p>
    <w:p w14:paraId="5E56DDEF" w14:textId="77777777" w:rsidR="00BD7954" w:rsidRPr="00CF5DEA" w:rsidRDefault="00BD7954"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 xml:space="preserve">What are </w:t>
      </w:r>
      <w:r w:rsidR="00011EB8" w:rsidRPr="00CF5DEA">
        <w:rPr>
          <w:rFonts w:asciiTheme="majorHAnsi" w:hAnsiTheme="majorHAnsi"/>
          <w:lang w:val="en-US"/>
        </w:rPr>
        <w:t xml:space="preserve">the </w:t>
      </w:r>
      <w:r w:rsidRPr="00CF5DEA">
        <w:rPr>
          <w:rFonts w:asciiTheme="majorHAnsi" w:hAnsiTheme="majorHAnsi"/>
          <w:lang w:val="en-US"/>
        </w:rPr>
        <w:t xml:space="preserve">primary objectives of notes to </w:t>
      </w:r>
      <w:r w:rsidR="00011EB8" w:rsidRPr="00CF5DEA">
        <w:rPr>
          <w:rFonts w:asciiTheme="majorHAnsi" w:hAnsiTheme="majorHAnsi"/>
          <w:lang w:val="en-US"/>
        </w:rPr>
        <w:t xml:space="preserve">the </w:t>
      </w:r>
      <w:proofErr w:type="gramStart"/>
      <w:r w:rsidR="00011EB8" w:rsidRPr="00CF5DEA">
        <w:rPr>
          <w:rFonts w:asciiTheme="majorHAnsi" w:hAnsiTheme="majorHAnsi"/>
          <w:lang w:val="en-US"/>
        </w:rPr>
        <w:t>general purpose</w:t>
      </w:r>
      <w:proofErr w:type="gramEnd"/>
      <w:r w:rsidR="00011EB8" w:rsidRPr="00CF5DEA">
        <w:rPr>
          <w:rFonts w:asciiTheme="majorHAnsi" w:hAnsiTheme="majorHAnsi"/>
          <w:lang w:val="en-US"/>
        </w:rPr>
        <w:t xml:space="preserve"> </w:t>
      </w:r>
      <w:r w:rsidRPr="00CF5DEA">
        <w:rPr>
          <w:rFonts w:asciiTheme="majorHAnsi" w:hAnsiTheme="majorHAnsi"/>
          <w:lang w:val="en-US"/>
        </w:rPr>
        <w:t>financial statements?</w:t>
      </w:r>
      <w:r w:rsidR="00011EB8" w:rsidRPr="00CF5DEA">
        <w:rPr>
          <w:rFonts w:asciiTheme="majorHAnsi" w:hAnsiTheme="majorHAnsi"/>
          <w:lang w:val="en-US"/>
        </w:rPr>
        <w:t xml:space="preserve"> </w:t>
      </w:r>
    </w:p>
    <w:p w14:paraId="458CFE14" w14:textId="77777777" w:rsidR="00BD7954" w:rsidRPr="00CF5DEA" w:rsidRDefault="00BD7954" w:rsidP="000E277F">
      <w:pPr>
        <w:pStyle w:val="ListParagraph"/>
        <w:numPr>
          <w:ilvl w:val="0"/>
          <w:numId w:val="10"/>
        </w:numPr>
        <w:jc w:val="both"/>
        <w:rPr>
          <w:rFonts w:asciiTheme="majorHAnsi" w:hAnsiTheme="majorHAnsi"/>
          <w:lang w:val="en-US"/>
        </w:rPr>
      </w:pPr>
      <w:r w:rsidRPr="00CF5DEA">
        <w:rPr>
          <w:rFonts w:asciiTheme="majorHAnsi" w:hAnsiTheme="majorHAnsi"/>
          <w:lang w:val="en-US"/>
        </w:rPr>
        <w:t>to present information about the basis of preparation of the financial statements and the specific accounting policies used.</w:t>
      </w:r>
    </w:p>
    <w:p w14:paraId="4CFC2074" w14:textId="77777777" w:rsidR="00BD7954" w:rsidRPr="00CF5DEA" w:rsidRDefault="00BD7954" w:rsidP="000E277F">
      <w:pPr>
        <w:pStyle w:val="ListParagraph"/>
        <w:numPr>
          <w:ilvl w:val="0"/>
          <w:numId w:val="10"/>
        </w:numPr>
        <w:jc w:val="both"/>
        <w:rPr>
          <w:rFonts w:asciiTheme="majorHAnsi" w:hAnsiTheme="majorHAnsi"/>
          <w:lang w:val="en-US"/>
        </w:rPr>
      </w:pPr>
      <w:r w:rsidRPr="00CF5DEA">
        <w:rPr>
          <w:rFonts w:asciiTheme="majorHAnsi" w:hAnsiTheme="majorHAnsi"/>
          <w:lang w:val="en-US"/>
        </w:rPr>
        <w:t xml:space="preserve">to provide information on relationship between entity’s assets, liabilities and equity. </w:t>
      </w:r>
    </w:p>
    <w:p w14:paraId="7F75DE26" w14:textId="77777777" w:rsidR="00BD7954" w:rsidRPr="00CF5DEA" w:rsidRDefault="00BD7954" w:rsidP="000E277F">
      <w:pPr>
        <w:pStyle w:val="ListParagraph"/>
        <w:numPr>
          <w:ilvl w:val="0"/>
          <w:numId w:val="10"/>
        </w:numPr>
        <w:jc w:val="both"/>
        <w:rPr>
          <w:rFonts w:asciiTheme="majorHAnsi" w:hAnsiTheme="majorHAnsi"/>
          <w:lang w:val="en-US"/>
        </w:rPr>
      </w:pPr>
      <w:r w:rsidRPr="00CF5DEA">
        <w:rPr>
          <w:rFonts w:asciiTheme="majorHAnsi" w:hAnsiTheme="majorHAnsi"/>
          <w:lang w:val="en-US"/>
        </w:rPr>
        <w:t>to provide information that is not presented elsewhere in the financial statements but is relevant to an understanding of any of them.</w:t>
      </w:r>
    </w:p>
    <w:p w14:paraId="67D85A1A" w14:textId="77777777" w:rsidR="00BD7954" w:rsidRPr="00CF5DEA" w:rsidRDefault="00BD7954" w:rsidP="000E277F">
      <w:pPr>
        <w:pStyle w:val="ListParagraph"/>
        <w:numPr>
          <w:ilvl w:val="0"/>
          <w:numId w:val="10"/>
        </w:numPr>
        <w:jc w:val="both"/>
        <w:rPr>
          <w:rFonts w:asciiTheme="majorHAnsi" w:hAnsiTheme="majorHAnsi"/>
          <w:lang w:val="en-US"/>
        </w:rPr>
      </w:pPr>
      <w:r w:rsidRPr="00CF5DEA">
        <w:rPr>
          <w:rFonts w:asciiTheme="majorHAnsi" w:hAnsiTheme="majorHAnsi"/>
          <w:lang w:val="en-US"/>
        </w:rPr>
        <w:t>to present fair value measurement of entity’s revenues and expenses.</w:t>
      </w:r>
    </w:p>
    <w:p w14:paraId="720592D9" w14:textId="77777777" w:rsidR="00BD7954" w:rsidRPr="00CF5DEA" w:rsidRDefault="00BD7954" w:rsidP="0085231B">
      <w:pPr>
        <w:pStyle w:val="ListParagraph"/>
        <w:jc w:val="both"/>
        <w:rPr>
          <w:rFonts w:asciiTheme="majorHAnsi" w:hAnsiTheme="majorHAnsi"/>
          <w:lang w:val="en-US"/>
        </w:rPr>
      </w:pPr>
    </w:p>
    <w:p w14:paraId="5ADF9541" w14:textId="77777777" w:rsidR="00E654D8" w:rsidRPr="00CF5DEA" w:rsidRDefault="00011EB8"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In which case</w:t>
      </w:r>
      <w:r w:rsidR="00E654D8" w:rsidRPr="00CF5DEA">
        <w:rPr>
          <w:rFonts w:asciiTheme="majorHAnsi" w:hAnsiTheme="majorHAnsi"/>
          <w:lang w:val="en-US"/>
        </w:rPr>
        <w:t xml:space="preserve"> control is pr</w:t>
      </w:r>
      <w:r w:rsidRPr="00CF5DEA">
        <w:rPr>
          <w:rFonts w:asciiTheme="majorHAnsi" w:hAnsiTheme="majorHAnsi"/>
          <w:lang w:val="en-US"/>
        </w:rPr>
        <w:t>esumed to exist?</w:t>
      </w:r>
    </w:p>
    <w:p w14:paraId="4E6DB35B" w14:textId="77777777" w:rsidR="00E654D8" w:rsidRPr="00CF5DEA" w:rsidRDefault="00011EB8" w:rsidP="000E277F">
      <w:pPr>
        <w:pStyle w:val="ListParagraph"/>
        <w:numPr>
          <w:ilvl w:val="0"/>
          <w:numId w:val="2"/>
        </w:numPr>
        <w:rPr>
          <w:rFonts w:asciiTheme="majorHAnsi" w:hAnsiTheme="majorHAnsi"/>
          <w:lang w:val="en-US"/>
        </w:rPr>
      </w:pPr>
      <w:r w:rsidRPr="00CF5DEA">
        <w:rPr>
          <w:rFonts w:asciiTheme="majorHAnsi" w:hAnsiTheme="majorHAnsi"/>
          <w:lang w:val="en-US"/>
        </w:rPr>
        <w:t>W</w:t>
      </w:r>
      <w:r w:rsidR="00E654D8" w:rsidRPr="00CF5DEA">
        <w:rPr>
          <w:rFonts w:asciiTheme="majorHAnsi" w:hAnsiTheme="majorHAnsi"/>
          <w:lang w:val="en-US"/>
        </w:rPr>
        <w:t xml:space="preserve">hen the parent owns, directly or indirectly through subsidiaries, half of the voting power of an entity. </w:t>
      </w:r>
    </w:p>
    <w:p w14:paraId="6186949B" w14:textId="77777777" w:rsidR="00E654D8" w:rsidRPr="00CF5DEA" w:rsidRDefault="00011EB8" w:rsidP="000E277F">
      <w:pPr>
        <w:pStyle w:val="ListParagraph"/>
        <w:numPr>
          <w:ilvl w:val="0"/>
          <w:numId w:val="2"/>
        </w:numPr>
        <w:rPr>
          <w:rFonts w:asciiTheme="majorHAnsi" w:hAnsiTheme="majorHAnsi"/>
          <w:lang w:val="en-US"/>
        </w:rPr>
      </w:pPr>
      <w:r w:rsidRPr="00CF5DEA">
        <w:rPr>
          <w:rFonts w:asciiTheme="majorHAnsi" w:hAnsiTheme="majorHAnsi"/>
          <w:lang w:val="en-US"/>
        </w:rPr>
        <w:t>W</w:t>
      </w:r>
      <w:r w:rsidR="00E654D8" w:rsidRPr="00CF5DEA">
        <w:rPr>
          <w:rFonts w:asciiTheme="majorHAnsi" w:hAnsiTheme="majorHAnsi"/>
          <w:lang w:val="en-US"/>
        </w:rPr>
        <w:t>hen the parent owns, directly or indirectly through subsidiaries, more than half of the voting power of an entity.</w:t>
      </w:r>
    </w:p>
    <w:p w14:paraId="02FFE364" w14:textId="77777777" w:rsidR="00E654D8" w:rsidRPr="00CF5DEA" w:rsidRDefault="00011EB8" w:rsidP="000E277F">
      <w:pPr>
        <w:pStyle w:val="ListParagraph"/>
        <w:numPr>
          <w:ilvl w:val="0"/>
          <w:numId w:val="2"/>
        </w:numPr>
        <w:rPr>
          <w:rFonts w:asciiTheme="majorHAnsi" w:hAnsiTheme="majorHAnsi"/>
          <w:lang w:val="en-US"/>
        </w:rPr>
      </w:pPr>
      <w:r w:rsidRPr="00CF5DEA">
        <w:rPr>
          <w:rFonts w:asciiTheme="majorHAnsi" w:hAnsiTheme="majorHAnsi"/>
          <w:lang w:val="en-US"/>
        </w:rPr>
        <w:t>W</w:t>
      </w:r>
      <w:r w:rsidR="00E654D8" w:rsidRPr="00CF5DEA">
        <w:rPr>
          <w:rFonts w:asciiTheme="majorHAnsi" w:hAnsiTheme="majorHAnsi"/>
          <w:lang w:val="en-US"/>
        </w:rPr>
        <w:t xml:space="preserve">hen the parent owns half or less of the voting power of an </w:t>
      </w:r>
      <w:proofErr w:type="gramStart"/>
      <w:r w:rsidR="00E654D8" w:rsidRPr="00CF5DEA">
        <w:rPr>
          <w:rFonts w:asciiTheme="majorHAnsi" w:hAnsiTheme="majorHAnsi"/>
          <w:lang w:val="en-US"/>
        </w:rPr>
        <w:t>entity</w:t>
      </w:r>
      <w:proofErr w:type="gramEnd"/>
      <w:r w:rsidR="00E654D8" w:rsidRPr="00CF5DEA">
        <w:rPr>
          <w:rFonts w:asciiTheme="majorHAnsi" w:hAnsiTheme="majorHAnsi"/>
          <w:lang w:val="en-US"/>
        </w:rPr>
        <w:t xml:space="preserve"> but it has power over more than half of the voting rights by virtue of an agreement with other investors. </w:t>
      </w:r>
    </w:p>
    <w:p w14:paraId="2DC32814" w14:textId="77777777" w:rsidR="00E654D8" w:rsidRPr="00CF5DEA" w:rsidRDefault="00011EB8" w:rsidP="000E277F">
      <w:pPr>
        <w:pStyle w:val="ListParagraph"/>
        <w:numPr>
          <w:ilvl w:val="0"/>
          <w:numId w:val="2"/>
        </w:numPr>
        <w:rPr>
          <w:rFonts w:asciiTheme="majorHAnsi" w:hAnsiTheme="majorHAnsi"/>
          <w:lang w:val="en-US"/>
        </w:rPr>
      </w:pPr>
      <w:r w:rsidRPr="00CF5DEA">
        <w:rPr>
          <w:rFonts w:asciiTheme="majorHAnsi" w:hAnsiTheme="majorHAnsi"/>
          <w:lang w:val="en-US"/>
        </w:rPr>
        <w:t>W</w:t>
      </w:r>
      <w:r w:rsidR="00E654D8" w:rsidRPr="00CF5DEA">
        <w:rPr>
          <w:rFonts w:asciiTheme="majorHAnsi" w:hAnsiTheme="majorHAnsi"/>
          <w:lang w:val="en-US"/>
        </w:rPr>
        <w:t xml:space="preserve">hen the parent owns half or less of the voting power of an </w:t>
      </w:r>
      <w:proofErr w:type="gramStart"/>
      <w:r w:rsidR="00E654D8" w:rsidRPr="00CF5DEA">
        <w:rPr>
          <w:rFonts w:asciiTheme="majorHAnsi" w:hAnsiTheme="majorHAnsi"/>
          <w:lang w:val="en-US"/>
        </w:rPr>
        <w:t>entity</w:t>
      </w:r>
      <w:proofErr w:type="gramEnd"/>
      <w:r w:rsidR="00E654D8" w:rsidRPr="00CF5DEA">
        <w:rPr>
          <w:rFonts w:asciiTheme="majorHAnsi" w:hAnsiTheme="majorHAnsi"/>
          <w:lang w:val="en-US"/>
        </w:rPr>
        <w:t xml:space="preserve"> but it has power to govern the financial and operating policies of the entity under a statute or an agreement. </w:t>
      </w:r>
    </w:p>
    <w:p w14:paraId="32E55C50" w14:textId="77777777" w:rsidR="00E654D8" w:rsidRPr="00CF5DEA" w:rsidRDefault="00011EB8" w:rsidP="000E277F">
      <w:pPr>
        <w:pStyle w:val="ListParagraph"/>
        <w:numPr>
          <w:ilvl w:val="0"/>
          <w:numId w:val="2"/>
        </w:numPr>
        <w:rPr>
          <w:rFonts w:asciiTheme="majorHAnsi" w:hAnsiTheme="majorHAnsi"/>
          <w:lang w:val="en-US"/>
        </w:rPr>
      </w:pPr>
      <w:r w:rsidRPr="00CF5DEA">
        <w:rPr>
          <w:rFonts w:asciiTheme="majorHAnsi" w:hAnsiTheme="majorHAnsi"/>
          <w:lang w:val="en-US"/>
        </w:rPr>
        <w:t>W</w:t>
      </w:r>
      <w:r w:rsidR="00E654D8" w:rsidRPr="00CF5DEA">
        <w:rPr>
          <w:rFonts w:asciiTheme="majorHAnsi" w:hAnsiTheme="majorHAnsi"/>
          <w:lang w:val="en-US"/>
        </w:rPr>
        <w:t xml:space="preserve">hen the parent owns half or less of the voting power of an </w:t>
      </w:r>
      <w:proofErr w:type="gramStart"/>
      <w:r w:rsidR="00E654D8" w:rsidRPr="00CF5DEA">
        <w:rPr>
          <w:rFonts w:asciiTheme="majorHAnsi" w:hAnsiTheme="majorHAnsi"/>
          <w:lang w:val="en-US"/>
        </w:rPr>
        <w:t>entity</w:t>
      </w:r>
      <w:proofErr w:type="gramEnd"/>
      <w:r w:rsidR="00E654D8" w:rsidRPr="00CF5DEA">
        <w:rPr>
          <w:rFonts w:asciiTheme="majorHAnsi" w:hAnsiTheme="majorHAnsi"/>
          <w:lang w:val="en-US"/>
        </w:rPr>
        <w:t xml:space="preserve"> but it has power to appoint or remove the majority of the members of the board of directors or equivalent governing body and control of the entity is by that board or body. </w:t>
      </w:r>
    </w:p>
    <w:p w14:paraId="241339C3" w14:textId="77777777" w:rsidR="00E654D8" w:rsidRPr="00CF5DEA" w:rsidRDefault="00E654D8" w:rsidP="0085231B">
      <w:pPr>
        <w:pStyle w:val="ListParagraph"/>
        <w:jc w:val="both"/>
        <w:rPr>
          <w:rFonts w:asciiTheme="majorHAnsi" w:hAnsiTheme="majorHAnsi"/>
          <w:lang w:val="en-US"/>
        </w:rPr>
      </w:pPr>
    </w:p>
    <w:p w14:paraId="109BB95F" w14:textId="77777777" w:rsidR="00BD7954" w:rsidRPr="00CF5DEA" w:rsidRDefault="00011EB8"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Which statement is true?</w:t>
      </w:r>
    </w:p>
    <w:p w14:paraId="41232896" w14:textId="77777777" w:rsidR="00BD7954" w:rsidRPr="00CF5DEA" w:rsidRDefault="00BD7954" w:rsidP="000E277F">
      <w:pPr>
        <w:pStyle w:val="ListParagraph"/>
        <w:numPr>
          <w:ilvl w:val="0"/>
          <w:numId w:val="11"/>
        </w:numPr>
        <w:jc w:val="both"/>
        <w:rPr>
          <w:rFonts w:asciiTheme="majorHAnsi" w:hAnsiTheme="majorHAnsi"/>
          <w:lang w:val="en-US"/>
        </w:rPr>
      </w:pPr>
      <w:r w:rsidRPr="00CF5DEA">
        <w:rPr>
          <w:rFonts w:asciiTheme="majorHAnsi" w:hAnsiTheme="majorHAnsi"/>
          <w:lang w:val="en-US"/>
        </w:rPr>
        <w:t xml:space="preserve">IFRS for SME requires a parent to present consolidated financial statements. </w:t>
      </w:r>
    </w:p>
    <w:p w14:paraId="7CD8C95F" w14:textId="77777777" w:rsidR="00BD7954" w:rsidRPr="00CF5DEA" w:rsidRDefault="00BD7954" w:rsidP="000E277F">
      <w:pPr>
        <w:pStyle w:val="ListParagraph"/>
        <w:numPr>
          <w:ilvl w:val="0"/>
          <w:numId w:val="11"/>
        </w:numPr>
        <w:jc w:val="both"/>
        <w:rPr>
          <w:rFonts w:asciiTheme="majorHAnsi" w:hAnsiTheme="majorHAnsi"/>
          <w:lang w:val="en-US"/>
        </w:rPr>
      </w:pPr>
      <w:r w:rsidRPr="00CF5DEA">
        <w:rPr>
          <w:rFonts w:asciiTheme="majorHAnsi" w:hAnsiTheme="majorHAnsi"/>
          <w:lang w:val="en-US"/>
        </w:rPr>
        <w:t>IFRS for SME requires a parent or a group of subsidiaries to present separate financial statements.</w:t>
      </w:r>
    </w:p>
    <w:p w14:paraId="23B23B46" w14:textId="77777777" w:rsidR="00BD7954" w:rsidRPr="00CF5DEA" w:rsidRDefault="00BD7954" w:rsidP="000E277F">
      <w:pPr>
        <w:pStyle w:val="ListParagraph"/>
        <w:numPr>
          <w:ilvl w:val="0"/>
          <w:numId w:val="11"/>
        </w:numPr>
        <w:jc w:val="both"/>
        <w:rPr>
          <w:rFonts w:asciiTheme="majorHAnsi" w:hAnsiTheme="majorHAnsi"/>
          <w:lang w:val="en-US"/>
        </w:rPr>
      </w:pPr>
      <w:r w:rsidRPr="00CF5DEA">
        <w:rPr>
          <w:rFonts w:asciiTheme="majorHAnsi" w:hAnsiTheme="majorHAnsi"/>
          <w:lang w:val="en-US"/>
        </w:rPr>
        <w:t xml:space="preserve">IFRS for SME requires a group of two or more entities to present combined financial statements. </w:t>
      </w:r>
    </w:p>
    <w:p w14:paraId="0798A65A" w14:textId="77777777" w:rsidR="00BD7954" w:rsidRPr="00CF5DEA" w:rsidRDefault="00BD7954" w:rsidP="0085231B">
      <w:pPr>
        <w:pStyle w:val="ListParagraph"/>
        <w:jc w:val="both"/>
        <w:rPr>
          <w:rFonts w:asciiTheme="majorHAnsi" w:hAnsiTheme="majorHAnsi"/>
          <w:lang w:val="en-US"/>
        </w:rPr>
      </w:pPr>
    </w:p>
    <w:p w14:paraId="06328DD6" w14:textId="77777777" w:rsidR="003E14D5" w:rsidRPr="00CF5DEA" w:rsidRDefault="00011EB8"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What change</w:t>
      </w:r>
      <w:r w:rsidR="003E14D5" w:rsidRPr="00CF5DEA">
        <w:rPr>
          <w:rFonts w:asciiTheme="majorHAnsi" w:hAnsiTheme="majorHAnsi"/>
          <w:lang w:val="en-US"/>
        </w:rPr>
        <w:t xml:space="preserve"> </w:t>
      </w:r>
      <w:r w:rsidRPr="00CF5DEA">
        <w:rPr>
          <w:rFonts w:asciiTheme="majorHAnsi" w:hAnsiTheme="majorHAnsi"/>
          <w:lang w:val="en-US"/>
        </w:rPr>
        <w:t>is</w:t>
      </w:r>
      <w:r w:rsidR="003E14D5" w:rsidRPr="00CF5DEA">
        <w:rPr>
          <w:rFonts w:asciiTheme="majorHAnsi" w:hAnsiTheme="majorHAnsi"/>
          <w:lang w:val="en-US"/>
        </w:rPr>
        <w:t xml:space="preserve"> treated as change </w:t>
      </w:r>
      <w:r w:rsidR="00621EFD" w:rsidRPr="00CF5DEA">
        <w:rPr>
          <w:rFonts w:asciiTheme="majorHAnsi" w:hAnsiTheme="majorHAnsi"/>
          <w:lang w:val="en-US"/>
        </w:rPr>
        <w:t xml:space="preserve">in accounting policy? </w:t>
      </w:r>
    </w:p>
    <w:p w14:paraId="5C77F4A0" w14:textId="77777777" w:rsidR="003E14D5" w:rsidRPr="00CF5DEA" w:rsidRDefault="003E14D5" w:rsidP="000E277F">
      <w:pPr>
        <w:pStyle w:val="ListParagraph"/>
        <w:numPr>
          <w:ilvl w:val="0"/>
          <w:numId w:val="3"/>
        </w:numPr>
        <w:rPr>
          <w:rFonts w:asciiTheme="majorHAnsi" w:hAnsiTheme="majorHAnsi"/>
          <w:lang w:val="en-US"/>
        </w:rPr>
      </w:pPr>
      <w:r w:rsidRPr="00CF5DEA">
        <w:rPr>
          <w:rFonts w:asciiTheme="majorHAnsi" w:hAnsiTheme="majorHAnsi"/>
          <w:lang w:val="en-US"/>
        </w:rPr>
        <w:t xml:space="preserve">Application of new accounting policy which is aimed to improve quality of accounting for </w:t>
      </w:r>
      <w:proofErr w:type="gramStart"/>
      <w:r w:rsidRPr="00CF5DEA">
        <w:rPr>
          <w:rFonts w:asciiTheme="majorHAnsi" w:hAnsiTheme="majorHAnsi"/>
          <w:lang w:val="en-US"/>
        </w:rPr>
        <w:t>particular transac</w:t>
      </w:r>
      <w:r w:rsidR="00621EFD" w:rsidRPr="00CF5DEA">
        <w:rPr>
          <w:rFonts w:asciiTheme="majorHAnsi" w:hAnsiTheme="majorHAnsi"/>
          <w:lang w:val="en-US"/>
        </w:rPr>
        <w:t>tions</w:t>
      </w:r>
      <w:proofErr w:type="gramEnd"/>
      <w:r w:rsidR="00621EFD" w:rsidRPr="00CF5DEA">
        <w:rPr>
          <w:rFonts w:asciiTheme="majorHAnsi" w:hAnsiTheme="majorHAnsi"/>
          <w:lang w:val="en-US"/>
        </w:rPr>
        <w:t>, events or conditions</w:t>
      </w:r>
      <w:r w:rsidR="003C7040" w:rsidRPr="00CF5DEA">
        <w:rPr>
          <w:rFonts w:asciiTheme="majorHAnsi" w:hAnsiTheme="majorHAnsi"/>
          <w:lang w:val="en-US"/>
        </w:rPr>
        <w:t>.</w:t>
      </w:r>
      <w:r w:rsidR="00621EFD" w:rsidRPr="00CF5DEA">
        <w:rPr>
          <w:rFonts w:asciiTheme="majorHAnsi" w:hAnsiTheme="majorHAnsi"/>
          <w:lang w:val="en-US"/>
        </w:rPr>
        <w:t xml:space="preserve"> </w:t>
      </w:r>
    </w:p>
    <w:p w14:paraId="00F08C93" w14:textId="77777777" w:rsidR="003E14D5" w:rsidRPr="00CF5DEA" w:rsidRDefault="003E14D5" w:rsidP="000E277F">
      <w:pPr>
        <w:pStyle w:val="ListParagraph"/>
        <w:numPr>
          <w:ilvl w:val="0"/>
          <w:numId w:val="3"/>
        </w:numPr>
        <w:rPr>
          <w:rFonts w:asciiTheme="majorHAnsi" w:hAnsiTheme="majorHAnsi"/>
          <w:lang w:val="en-US"/>
        </w:rPr>
      </w:pPr>
      <w:r w:rsidRPr="00CF5DEA">
        <w:rPr>
          <w:rFonts w:asciiTheme="majorHAnsi" w:hAnsiTheme="majorHAnsi"/>
          <w:lang w:val="en-US"/>
        </w:rPr>
        <w:t>Application of new accounting policy which is aimed to raise reliability, relevance and faithfulness of com</w:t>
      </w:r>
      <w:r w:rsidR="00621EFD" w:rsidRPr="00CF5DEA">
        <w:rPr>
          <w:rFonts w:asciiTheme="majorHAnsi" w:hAnsiTheme="majorHAnsi"/>
          <w:lang w:val="en-US"/>
        </w:rPr>
        <w:t xml:space="preserve">piled financial statements. </w:t>
      </w:r>
    </w:p>
    <w:p w14:paraId="274D8CD7" w14:textId="77777777" w:rsidR="003E14D5" w:rsidRPr="00CF5DEA" w:rsidRDefault="003E14D5" w:rsidP="000E277F">
      <w:pPr>
        <w:pStyle w:val="ListParagraph"/>
        <w:numPr>
          <w:ilvl w:val="0"/>
          <w:numId w:val="3"/>
        </w:numPr>
        <w:rPr>
          <w:rFonts w:asciiTheme="majorHAnsi" w:hAnsiTheme="majorHAnsi"/>
          <w:lang w:val="en-US"/>
        </w:rPr>
      </w:pPr>
      <w:r w:rsidRPr="00CF5DEA">
        <w:rPr>
          <w:rFonts w:asciiTheme="majorHAnsi" w:hAnsiTheme="majorHAnsi"/>
          <w:lang w:val="en-US"/>
        </w:rPr>
        <w:t>Application of new accounting policy for transactions, other events or conditions, which differ in substance from those previously occurring.</w:t>
      </w:r>
    </w:p>
    <w:p w14:paraId="6520D8BD" w14:textId="77777777" w:rsidR="003E14D5" w:rsidRPr="00CF5DEA" w:rsidRDefault="003E14D5" w:rsidP="000E277F">
      <w:pPr>
        <w:pStyle w:val="ListParagraph"/>
        <w:numPr>
          <w:ilvl w:val="0"/>
          <w:numId w:val="3"/>
        </w:numPr>
        <w:rPr>
          <w:rFonts w:asciiTheme="majorHAnsi" w:hAnsiTheme="majorHAnsi"/>
          <w:lang w:val="en-US"/>
        </w:rPr>
      </w:pPr>
      <w:r w:rsidRPr="00CF5DEA">
        <w:rPr>
          <w:rFonts w:asciiTheme="majorHAnsi" w:hAnsiTheme="majorHAnsi"/>
          <w:lang w:val="en-US"/>
        </w:rPr>
        <w:t>Application of new accounting policy for transactions, other events or conditions, which did not occur previously or were not material.</w:t>
      </w:r>
    </w:p>
    <w:p w14:paraId="3827BEB0" w14:textId="77777777" w:rsidR="0085231B" w:rsidRPr="00CF5DEA" w:rsidRDefault="0085231B" w:rsidP="0085231B">
      <w:pPr>
        <w:pStyle w:val="ListParagraph"/>
        <w:jc w:val="both"/>
        <w:rPr>
          <w:rFonts w:asciiTheme="majorHAnsi" w:hAnsiTheme="majorHAnsi"/>
          <w:lang w:val="en-US"/>
        </w:rPr>
      </w:pPr>
    </w:p>
    <w:p w14:paraId="67CB3702" w14:textId="77777777" w:rsidR="00BE44F0" w:rsidRPr="00CF5DEA" w:rsidRDefault="00BE44F0" w:rsidP="00BE44F0">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Decide which of the followings are cash and cash equivalents?</w:t>
      </w:r>
    </w:p>
    <w:p w14:paraId="7A0A3618" w14:textId="77777777" w:rsidR="00BE44F0" w:rsidRPr="00CF5DEA" w:rsidRDefault="00BE44F0" w:rsidP="00BE44F0">
      <w:pPr>
        <w:pStyle w:val="ListParagraph"/>
        <w:numPr>
          <w:ilvl w:val="0"/>
          <w:numId w:val="23"/>
        </w:numPr>
        <w:jc w:val="both"/>
        <w:rPr>
          <w:rFonts w:asciiTheme="majorHAnsi" w:hAnsiTheme="majorHAnsi"/>
          <w:lang w:val="en-US"/>
        </w:rPr>
      </w:pPr>
      <w:r w:rsidRPr="00CF5DEA">
        <w:rPr>
          <w:rFonts w:asciiTheme="majorHAnsi" w:hAnsiTheme="majorHAnsi"/>
          <w:lang w:val="en-US"/>
        </w:rPr>
        <w:t>cash receipts from the sale of goods and the rendering of services</w:t>
      </w:r>
    </w:p>
    <w:p w14:paraId="74CA25E9" w14:textId="77777777" w:rsidR="00BE44F0" w:rsidRPr="00CF5DEA" w:rsidRDefault="00BE44F0" w:rsidP="00BE44F0">
      <w:pPr>
        <w:pStyle w:val="ListParagraph"/>
        <w:numPr>
          <w:ilvl w:val="0"/>
          <w:numId w:val="23"/>
        </w:numPr>
        <w:jc w:val="both"/>
        <w:rPr>
          <w:rFonts w:asciiTheme="majorHAnsi" w:hAnsiTheme="majorHAnsi"/>
          <w:lang w:val="en-US"/>
        </w:rPr>
      </w:pPr>
      <w:r w:rsidRPr="00CF5DEA">
        <w:rPr>
          <w:rFonts w:asciiTheme="majorHAnsi" w:hAnsiTheme="majorHAnsi"/>
          <w:lang w:val="en-US"/>
        </w:rPr>
        <w:t>cash payments to suppliers for goods and services</w:t>
      </w:r>
    </w:p>
    <w:p w14:paraId="0A1D4AC4" w14:textId="77777777" w:rsidR="00BE44F0" w:rsidRPr="00CF5DEA" w:rsidRDefault="00BE44F0" w:rsidP="00BE44F0">
      <w:pPr>
        <w:pStyle w:val="ListParagraph"/>
        <w:numPr>
          <w:ilvl w:val="0"/>
          <w:numId w:val="23"/>
        </w:numPr>
        <w:jc w:val="both"/>
        <w:rPr>
          <w:rFonts w:asciiTheme="majorHAnsi" w:hAnsiTheme="majorHAnsi"/>
          <w:lang w:val="en-US"/>
        </w:rPr>
      </w:pPr>
      <w:r w:rsidRPr="00CF5DEA">
        <w:rPr>
          <w:rFonts w:asciiTheme="majorHAnsi" w:hAnsiTheme="majorHAnsi"/>
          <w:lang w:val="en-US"/>
        </w:rPr>
        <w:t>money market instruments, e.g. T-bills and commercial loans</w:t>
      </w:r>
    </w:p>
    <w:p w14:paraId="20CA0311" w14:textId="77777777" w:rsidR="00BE44F0" w:rsidRPr="00CF5DEA" w:rsidRDefault="00BE44F0" w:rsidP="00BE44F0">
      <w:pPr>
        <w:pStyle w:val="ListParagraph"/>
        <w:numPr>
          <w:ilvl w:val="0"/>
          <w:numId w:val="23"/>
        </w:numPr>
        <w:jc w:val="both"/>
        <w:rPr>
          <w:rFonts w:asciiTheme="majorHAnsi" w:hAnsiTheme="majorHAnsi"/>
          <w:lang w:val="en-US"/>
        </w:rPr>
      </w:pPr>
      <w:r w:rsidRPr="00CF5DEA">
        <w:rPr>
          <w:rFonts w:asciiTheme="majorHAnsi" w:hAnsiTheme="majorHAnsi"/>
          <w:lang w:val="en-US"/>
        </w:rPr>
        <w:t>cash payments or refunds of income tax</w:t>
      </w:r>
    </w:p>
    <w:p w14:paraId="00E4700E" w14:textId="77777777" w:rsidR="00BE44F0" w:rsidRPr="00CF5DEA" w:rsidRDefault="00BE44F0" w:rsidP="00BE44F0">
      <w:pPr>
        <w:pStyle w:val="ListParagraph"/>
        <w:numPr>
          <w:ilvl w:val="0"/>
          <w:numId w:val="23"/>
        </w:numPr>
        <w:jc w:val="both"/>
        <w:rPr>
          <w:rFonts w:asciiTheme="majorHAnsi" w:hAnsiTheme="majorHAnsi"/>
          <w:lang w:val="en-US"/>
        </w:rPr>
      </w:pPr>
      <w:r w:rsidRPr="00CF5DEA">
        <w:rPr>
          <w:rFonts w:asciiTheme="majorHAnsi" w:hAnsiTheme="majorHAnsi"/>
          <w:lang w:val="en-US"/>
        </w:rPr>
        <w:t>demand deposits and demand loans</w:t>
      </w:r>
    </w:p>
    <w:p w14:paraId="56AB8A7F" w14:textId="77777777" w:rsidR="00BE44F0" w:rsidRPr="00CF5DEA" w:rsidRDefault="00BE44F0" w:rsidP="00BE44F0">
      <w:pPr>
        <w:pStyle w:val="ListParagraph"/>
        <w:numPr>
          <w:ilvl w:val="0"/>
          <w:numId w:val="23"/>
        </w:numPr>
        <w:jc w:val="both"/>
        <w:rPr>
          <w:rFonts w:asciiTheme="majorHAnsi" w:hAnsiTheme="majorHAnsi"/>
          <w:lang w:val="en-US"/>
        </w:rPr>
      </w:pPr>
      <w:r w:rsidRPr="00CF5DEA">
        <w:rPr>
          <w:rFonts w:asciiTheme="majorHAnsi" w:hAnsiTheme="majorHAnsi"/>
          <w:lang w:val="en-US"/>
        </w:rPr>
        <w:t xml:space="preserve">term deposits and term loans </w:t>
      </w:r>
    </w:p>
    <w:p w14:paraId="0DED19EF" w14:textId="77777777" w:rsidR="00BE44F0" w:rsidRPr="00CF5DEA" w:rsidRDefault="00BE44F0" w:rsidP="00BE44F0">
      <w:pPr>
        <w:pStyle w:val="ListParagraph"/>
        <w:ind w:left="360"/>
        <w:jc w:val="both"/>
        <w:rPr>
          <w:rFonts w:asciiTheme="majorHAnsi" w:hAnsiTheme="majorHAnsi"/>
          <w:lang w:val="en-US"/>
        </w:rPr>
      </w:pPr>
    </w:p>
    <w:p w14:paraId="5C08A510" w14:textId="77777777" w:rsidR="003E14D5" w:rsidRPr="00CF5DEA" w:rsidRDefault="003E14D5" w:rsidP="000E277F">
      <w:pPr>
        <w:pStyle w:val="ListParagraph"/>
        <w:numPr>
          <w:ilvl w:val="0"/>
          <w:numId w:val="14"/>
        </w:numPr>
        <w:ind w:left="360"/>
        <w:jc w:val="both"/>
        <w:rPr>
          <w:rFonts w:asciiTheme="majorHAnsi" w:hAnsiTheme="majorHAnsi"/>
          <w:lang w:val="en-US"/>
        </w:rPr>
      </w:pPr>
      <w:r w:rsidRPr="00CF5DEA">
        <w:rPr>
          <w:rFonts w:asciiTheme="majorHAnsi" w:hAnsiTheme="majorHAnsi"/>
          <w:lang w:val="en-US"/>
        </w:rPr>
        <w:t>At initial measurement the cost of an item of property, plant and equipment compr</w:t>
      </w:r>
      <w:r w:rsidR="00621EFD" w:rsidRPr="00CF5DEA">
        <w:rPr>
          <w:rFonts w:asciiTheme="majorHAnsi" w:hAnsiTheme="majorHAnsi"/>
          <w:lang w:val="en-US"/>
        </w:rPr>
        <w:t xml:space="preserve">ises </w:t>
      </w:r>
      <w:proofErr w:type="gramStart"/>
      <w:r w:rsidR="00621EFD" w:rsidRPr="00CF5DEA">
        <w:rPr>
          <w:rFonts w:asciiTheme="majorHAnsi" w:hAnsiTheme="majorHAnsi"/>
          <w:lang w:val="en-US"/>
        </w:rPr>
        <w:t>all of</w:t>
      </w:r>
      <w:proofErr w:type="gramEnd"/>
      <w:r w:rsidR="00621EFD" w:rsidRPr="00CF5DEA">
        <w:rPr>
          <w:rFonts w:asciiTheme="majorHAnsi" w:hAnsiTheme="majorHAnsi"/>
          <w:lang w:val="en-US"/>
        </w:rPr>
        <w:t xml:space="preserve"> the following: </w:t>
      </w:r>
    </w:p>
    <w:p w14:paraId="52B13C57"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lastRenderedPageBreak/>
        <w:t xml:space="preserve">purchase </w:t>
      </w:r>
      <w:r w:rsidR="00621EFD" w:rsidRPr="00CF5DEA">
        <w:rPr>
          <w:rFonts w:asciiTheme="majorHAnsi" w:hAnsiTheme="majorHAnsi"/>
          <w:lang w:val="en-US"/>
        </w:rPr>
        <w:t>price</w:t>
      </w:r>
      <w:r w:rsidR="003C7040" w:rsidRPr="00CF5DEA">
        <w:rPr>
          <w:rFonts w:asciiTheme="majorHAnsi" w:hAnsiTheme="majorHAnsi"/>
          <w:lang w:val="en-US"/>
        </w:rPr>
        <w:t>.</w:t>
      </w:r>
      <w:r w:rsidR="00621EFD" w:rsidRPr="00CF5DEA">
        <w:rPr>
          <w:rFonts w:asciiTheme="majorHAnsi" w:hAnsiTheme="majorHAnsi"/>
          <w:lang w:val="en-US"/>
        </w:rPr>
        <w:t xml:space="preserve"> </w:t>
      </w:r>
    </w:p>
    <w:p w14:paraId="7464B429" w14:textId="77777777" w:rsidR="003E14D5" w:rsidRPr="00CF5DEA" w:rsidRDefault="00621EFD" w:rsidP="000E277F">
      <w:pPr>
        <w:pStyle w:val="ListParagraph"/>
        <w:numPr>
          <w:ilvl w:val="0"/>
          <w:numId w:val="4"/>
        </w:numPr>
        <w:rPr>
          <w:rFonts w:asciiTheme="majorHAnsi" w:hAnsiTheme="majorHAnsi"/>
          <w:lang w:val="en-US"/>
        </w:rPr>
      </w:pPr>
      <w:r w:rsidRPr="00CF5DEA">
        <w:rPr>
          <w:rFonts w:asciiTheme="majorHAnsi" w:hAnsiTheme="majorHAnsi"/>
          <w:lang w:val="en-US"/>
        </w:rPr>
        <w:t>legal and brokerage fees</w:t>
      </w:r>
      <w:r w:rsidR="003C7040" w:rsidRPr="00CF5DEA">
        <w:rPr>
          <w:rFonts w:asciiTheme="majorHAnsi" w:hAnsiTheme="majorHAnsi"/>
          <w:lang w:val="en-US"/>
        </w:rPr>
        <w:t>.</w:t>
      </w:r>
      <w:r w:rsidRPr="00CF5DEA">
        <w:rPr>
          <w:rFonts w:asciiTheme="majorHAnsi" w:hAnsiTheme="majorHAnsi"/>
          <w:lang w:val="en-US"/>
        </w:rPr>
        <w:t xml:space="preserve"> </w:t>
      </w:r>
    </w:p>
    <w:p w14:paraId="566091F0"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t>non-refundable import duties</w:t>
      </w:r>
      <w:r w:rsidR="003C7040" w:rsidRPr="00CF5DEA">
        <w:rPr>
          <w:rFonts w:asciiTheme="majorHAnsi" w:hAnsiTheme="majorHAnsi"/>
          <w:lang w:val="en-US"/>
        </w:rPr>
        <w:t>.</w:t>
      </w:r>
      <w:r w:rsidRPr="00CF5DEA">
        <w:rPr>
          <w:rFonts w:asciiTheme="majorHAnsi" w:hAnsiTheme="majorHAnsi"/>
          <w:lang w:val="en-US"/>
        </w:rPr>
        <w:t xml:space="preserve"> </w:t>
      </w:r>
    </w:p>
    <w:p w14:paraId="51CB8691"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t>trade discounts and rebates</w:t>
      </w:r>
      <w:r w:rsidR="003C7040" w:rsidRPr="00CF5DEA">
        <w:rPr>
          <w:rFonts w:asciiTheme="majorHAnsi" w:hAnsiTheme="majorHAnsi"/>
          <w:lang w:val="en-US"/>
        </w:rPr>
        <w:t>.</w:t>
      </w:r>
    </w:p>
    <w:p w14:paraId="07F6557A"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t xml:space="preserve">costs of site preparation as well costs of dismantling and removing the item and restoring the </w:t>
      </w:r>
      <w:r w:rsidR="00621EFD" w:rsidRPr="00CF5DEA">
        <w:rPr>
          <w:rFonts w:asciiTheme="majorHAnsi" w:hAnsiTheme="majorHAnsi"/>
          <w:lang w:val="en-US"/>
        </w:rPr>
        <w:t>site on which it is located</w:t>
      </w:r>
      <w:r w:rsidR="003C7040" w:rsidRPr="00CF5DEA">
        <w:rPr>
          <w:rFonts w:asciiTheme="majorHAnsi" w:hAnsiTheme="majorHAnsi"/>
          <w:lang w:val="en-US"/>
        </w:rPr>
        <w:t>.</w:t>
      </w:r>
      <w:r w:rsidR="00621EFD" w:rsidRPr="00CF5DEA">
        <w:rPr>
          <w:rFonts w:asciiTheme="majorHAnsi" w:hAnsiTheme="majorHAnsi"/>
          <w:lang w:val="en-US"/>
        </w:rPr>
        <w:t xml:space="preserve"> </w:t>
      </w:r>
    </w:p>
    <w:p w14:paraId="1039D2E9"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t>initial delivery and handling</w:t>
      </w:r>
      <w:r w:rsidR="00621EFD" w:rsidRPr="00CF5DEA">
        <w:rPr>
          <w:rFonts w:asciiTheme="majorHAnsi" w:hAnsiTheme="majorHAnsi"/>
          <w:lang w:val="en-US"/>
        </w:rPr>
        <w:t>, installation and assembly</w:t>
      </w:r>
      <w:r w:rsidR="003C7040" w:rsidRPr="00CF5DEA">
        <w:rPr>
          <w:rFonts w:asciiTheme="majorHAnsi" w:hAnsiTheme="majorHAnsi"/>
          <w:lang w:val="en-US"/>
        </w:rPr>
        <w:t>.</w:t>
      </w:r>
      <w:r w:rsidR="00621EFD" w:rsidRPr="00CF5DEA">
        <w:rPr>
          <w:rFonts w:asciiTheme="majorHAnsi" w:hAnsiTheme="majorHAnsi"/>
          <w:lang w:val="en-US"/>
        </w:rPr>
        <w:t xml:space="preserve"> </w:t>
      </w:r>
    </w:p>
    <w:p w14:paraId="155CE0DB"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t>costs of before-production tests</w:t>
      </w:r>
      <w:r w:rsidR="003C7040" w:rsidRPr="00CF5DEA">
        <w:rPr>
          <w:rFonts w:asciiTheme="majorHAnsi" w:hAnsiTheme="majorHAnsi"/>
          <w:lang w:val="en-US"/>
        </w:rPr>
        <w:t>.</w:t>
      </w:r>
    </w:p>
    <w:p w14:paraId="272AEB7B"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t>costs of advertising and promotional activities</w:t>
      </w:r>
      <w:r w:rsidR="003C7040" w:rsidRPr="00CF5DEA">
        <w:rPr>
          <w:rFonts w:asciiTheme="majorHAnsi" w:hAnsiTheme="majorHAnsi"/>
          <w:lang w:val="en-US"/>
        </w:rPr>
        <w:t>.</w:t>
      </w:r>
    </w:p>
    <w:p w14:paraId="349890D2" w14:textId="77777777" w:rsidR="003E14D5" w:rsidRPr="00CF5DEA" w:rsidRDefault="003E14D5" w:rsidP="000E277F">
      <w:pPr>
        <w:pStyle w:val="ListParagraph"/>
        <w:numPr>
          <w:ilvl w:val="0"/>
          <w:numId w:val="4"/>
        </w:numPr>
        <w:rPr>
          <w:rFonts w:asciiTheme="majorHAnsi" w:hAnsiTheme="majorHAnsi"/>
          <w:lang w:val="en-US"/>
        </w:rPr>
      </w:pPr>
      <w:r w:rsidRPr="00CF5DEA">
        <w:rPr>
          <w:rFonts w:asciiTheme="majorHAnsi" w:hAnsiTheme="majorHAnsi"/>
          <w:lang w:val="en-US"/>
        </w:rPr>
        <w:t>general administrative costs</w:t>
      </w:r>
      <w:r w:rsidR="003C7040" w:rsidRPr="00CF5DEA">
        <w:rPr>
          <w:rFonts w:asciiTheme="majorHAnsi" w:hAnsiTheme="majorHAnsi"/>
          <w:lang w:val="en-US"/>
        </w:rPr>
        <w:t>.</w:t>
      </w:r>
      <w:r w:rsidRPr="00CF5DEA">
        <w:rPr>
          <w:rFonts w:asciiTheme="majorHAnsi" w:hAnsiTheme="majorHAnsi"/>
          <w:lang w:val="en-US"/>
        </w:rPr>
        <w:t xml:space="preserve"> </w:t>
      </w:r>
    </w:p>
    <w:p w14:paraId="5BF89889" w14:textId="4D39AA7E" w:rsidR="0085231B" w:rsidRPr="00CF5DEA" w:rsidRDefault="0085231B" w:rsidP="0085231B">
      <w:pPr>
        <w:pStyle w:val="ListParagraph"/>
        <w:jc w:val="both"/>
        <w:rPr>
          <w:rFonts w:asciiTheme="majorHAnsi" w:hAnsiTheme="majorHAnsi"/>
          <w:sz w:val="20"/>
          <w:szCs w:val="20"/>
          <w:lang w:val="en-US"/>
        </w:rPr>
      </w:pPr>
    </w:p>
    <w:p w14:paraId="384E858E" w14:textId="00590479" w:rsidR="00AD6E0E" w:rsidRPr="00CF5DEA" w:rsidRDefault="00AD6E0E" w:rsidP="0085231B">
      <w:pPr>
        <w:pStyle w:val="ListParagraph"/>
        <w:jc w:val="both"/>
        <w:rPr>
          <w:rFonts w:asciiTheme="majorHAnsi" w:hAnsiTheme="majorHAnsi"/>
          <w:sz w:val="20"/>
          <w:szCs w:val="20"/>
          <w:lang w:val="en-US"/>
        </w:rPr>
      </w:pPr>
    </w:p>
    <w:p w14:paraId="720D51BF" w14:textId="04060AA5" w:rsidR="00D73007" w:rsidRPr="00CF5DEA" w:rsidRDefault="00D73007" w:rsidP="0085231B">
      <w:pPr>
        <w:pStyle w:val="ListParagraph"/>
        <w:jc w:val="both"/>
        <w:rPr>
          <w:rFonts w:asciiTheme="majorHAnsi" w:hAnsiTheme="majorHAnsi"/>
          <w:sz w:val="20"/>
          <w:szCs w:val="20"/>
          <w:lang w:val="en-US"/>
        </w:rPr>
      </w:pPr>
    </w:p>
    <w:p w14:paraId="76D32059" w14:textId="1C8CF051" w:rsidR="00D73007" w:rsidRPr="00CF5DEA" w:rsidRDefault="00D73007" w:rsidP="0085231B">
      <w:pPr>
        <w:pStyle w:val="ListParagraph"/>
        <w:jc w:val="both"/>
        <w:rPr>
          <w:rFonts w:asciiTheme="majorHAnsi" w:hAnsiTheme="majorHAnsi"/>
          <w:sz w:val="20"/>
          <w:szCs w:val="20"/>
          <w:lang w:val="en-US"/>
        </w:rPr>
      </w:pPr>
    </w:p>
    <w:p w14:paraId="65EC222C" w14:textId="2EE7EE84" w:rsidR="00D73007" w:rsidRPr="00CF5DEA" w:rsidRDefault="00D73007" w:rsidP="0085231B">
      <w:pPr>
        <w:pStyle w:val="ListParagraph"/>
        <w:jc w:val="both"/>
        <w:rPr>
          <w:rFonts w:asciiTheme="majorHAnsi" w:hAnsiTheme="majorHAnsi"/>
          <w:sz w:val="20"/>
          <w:szCs w:val="20"/>
          <w:lang w:val="en-US"/>
        </w:rPr>
      </w:pPr>
    </w:p>
    <w:p w14:paraId="12B61373" w14:textId="6E14DFEB" w:rsidR="00D73007" w:rsidRPr="00CF5DEA" w:rsidRDefault="00D73007" w:rsidP="0085231B">
      <w:pPr>
        <w:pStyle w:val="ListParagraph"/>
        <w:jc w:val="both"/>
        <w:rPr>
          <w:rFonts w:asciiTheme="majorHAnsi" w:hAnsiTheme="majorHAnsi"/>
          <w:sz w:val="20"/>
          <w:szCs w:val="20"/>
          <w:lang w:val="en-US"/>
        </w:rPr>
      </w:pPr>
    </w:p>
    <w:p w14:paraId="31DF1C9A" w14:textId="57591EE1" w:rsidR="00D73007" w:rsidRPr="00CF5DEA" w:rsidRDefault="00D73007" w:rsidP="0085231B">
      <w:pPr>
        <w:pStyle w:val="ListParagraph"/>
        <w:jc w:val="both"/>
        <w:rPr>
          <w:rFonts w:asciiTheme="majorHAnsi" w:hAnsiTheme="majorHAnsi"/>
          <w:sz w:val="20"/>
          <w:szCs w:val="20"/>
          <w:lang w:val="en-US"/>
        </w:rPr>
      </w:pPr>
    </w:p>
    <w:p w14:paraId="11027CE7" w14:textId="277E5142" w:rsidR="00D73007" w:rsidRPr="00CF5DEA" w:rsidRDefault="00D73007" w:rsidP="0085231B">
      <w:pPr>
        <w:pStyle w:val="ListParagraph"/>
        <w:jc w:val="both"/>
        <w:rPr>
          <w:rFonts w:asciiTheme="majorHAnsi" w:hAnsiTheme="majorHAnsi"/>
          <w:sz w:val="20"/>
          <w:szCs w:val="20"/>
          <w:lang w:val="en-US"/>
        </w:rPr>
      </w:pPr>
    </w:p>
    <w:p w14:paraId="34001251" w14:textId="01CB6FE4" w:rsidR="00D73007" w:rsidRPr="00CF5DEA" w:rsidRDefault="00D73007" w:rsidP="0085231B">
      <w:pPr>
        <w:pStyle w:val="ListParagraph"/>
        <w:jc w:val="both"/>
        <w:rPr>
          <w:rFonts w:asciiTheme="majorHAnsi" w:hAnsiTheme="majorHAnsi"/>
          <w:sz w:val="20"/>
          <w:szCs w:val="20"/>
          <w:lang w:val="en-US"/>
        </w:rPr>
      </w:pPr>
    </w:p>
    <w:p w14:paraId="749035B9" w14:textId="5B69E761" w:rsidR="00D73007" w:rsidRPr="00CF5DEA" w:rsidRDefault="00D73007" w:rsidP="0085231B">
      <w:pPr>
        <w:pStyle w:val="ListParagraph"/>
        <w:jc w:val="both"/>
        <w:rPr>
          <w:rFonts w:asciiTheme="majorHAnsi" w:hAnsiTheme="majorHAnsi"/>
          <w:sz w:val="20"/>
          <w:szCs w:val="20"/>
          <w:lang w:val="en-US"/>
        </w:rPr>
      </w:pPr>
    </w:p>
    <w:p w14:paraId="08DE57AC" w14:textId="54D61662" w:rsidR="00D73007" w:rsidRPr="00CF5DEA" w:rsidRDefault="00D73007" w:rsidP="0085231B">
      <w:pPr>
        <w:pStyle w:val="ListParagraph"/>
        <w:jc w:val="both"/>
        <w:rPr>
          <w:rFonts w:asciiTheme="majorHAnsi" w:hAnsiTheme="majorHAnsi"/>
          <w:sz w:val="20"/>
          <w:szCs w:val="20"/>
          <w:lang w:val="en-US"/>
        </w:rPr>
      </w:pPr>
    </w:p>
    <w:p w14:paraId="34259095" w14:textId="20287BF2" w:rsidR="00D73007" w:rsidRPr="00CF5DEA" w:rsidRDefault="00D73007" w:rsidP="0085231B">
      <w:pPr>
        <w:pStyle w:val="ListParagraph"/>
        <w:jc w:val="both"/>
        <w:rPr>
          <w:rFonts w:asciiTheme="majorHAnsi" w:hAnsiTheme="majorHAnsi"/>
          <w:sz w:val="20"/>
          <w:szCs w:val="20"/>
          <w:lang w:val="en-US"/>
        </w:rPr>
      </w:pPr>
    </w:p>
    <w:p w14:paraId="4C27C842" w14:textId="2D3A618C" w:rsidR="00D73007" w:rsidRPr="00CF5DEA" w:rsidRDefault="00D73007" w:rsidP="0085231B">
      <w:pPr>
        <w:pStyle w:val="ListParagraph"/>
        <w:jc w:val="both"/>
        <w:rPr>
          <w:rFonts w:asciiTheme="majorHAnsi" w:hAnsiTheme="majorHAnsi"/>
          <w:sz w:val="20"/>
          <w:szCs w:val="20"/>
          <w:lang w:val="en-US"/>
        </w:rPr>
      </w:pPr>
    </w:p>
    <w:p w14:paraId="33BCFBF8" w14:textId="741B3733" w:rsidR="00D73007" w:rsidRPr="00CF5DEA" w:rsidRDefault="00D73007" w:rsidP="0085231B">
      <w:pPr>
        <w:pStyle w:val="ListParagraph"/>
        <w:jc w:val="both"/>
        <w:rPr>
          <w:rFonts w:asciiTheme="majorHAnsi" w:hAnsiTheme="majorHAnsi"/>
          <w:sz w:val="20"/>
          <w:szCs w:val="20"/>
          <w:lang w:val="en-US"/>
        </w:rPr>
      </w:pPr>
    </w:p>
    <w:p w14:paraId="5321A520" w14:textId="4CC8915E" w:rsidR="00D73007" w:rsidRPr="00CF5DEA" w:rsidRDefault="00D73007" w:rsidP="0085231B">
      <w:pPr>
        <w:pStyle w:val="ListParagraph"/>
        <w:jc w:val="both"/>
        <w:rPr>
          <w:rFonts w:asciiTheme="majorHAnsi" w:hAnsiTheme="majorHAnsi"/>
          <w:sz w:val="20"/>
          <w:szCs w:val="20"/>
          <w:lang w:val="en-US"/>
        </w:rPr>
      </w:pPr>
    </w:p>
    <w:p w14:paraId="457DADB2" w14:textId="017D6ABF" w:rsidR="00D73007" w:rsidRPr="00CF5DEA" w:rsidRDefault="00D73007" w:rsidP="0085231B">
      <w:pPr>
        <w:pStyle w:val="ListParagraph"/>
        <w:jc w:val="both"/>
        <w:rPr>
          <w:rFonts w:asciiTheme="majorHAnsi" w:hAnsiTheme="majorHAnsi"/>
          <w:sz w:val="20"/>
          <w:szCs w:val="20"/>
          <w:lang w:val="en-US"/>
        </w:rPr>
      </w:pPr>
    </w:p>
    <w:p w14:paraId="4374D623" w14:textId="7447D1C2" w:rsidR="00D73007" w:rsidRPr="00CF5DEA" w:rsidRDefault="00D73007" w:rsidP="0085231B">
      <w:pPr>
        <w:pStyle w:val="ListParagraph"/>
        <w:jc w:val="both"/>
        <w:rPr>
          <w:rFonts w:asciiTheme="majorHAnsi" w:hAnsiTheme="majorHAnsi"/>
          <w:sz w:val="20"/>
          <w:szCs w:val="20"/>
          <w:lang w:val="en-US"/>
        </w:rPr>
      </w:pPr>
    </w:p>
    <w:p w14:paraId="0246EB01" w14:textId="75B22BA6" w:rsidR="00D73007" w:rsidRPr="00CF5DEA" w:rsidRDefault="00D73007" w:rsidP="0085231B">
      <w:pPr>
        <w:pStyle w:val="ListParagraph"/>
        <w:jc w:val="both"/>
        <w:rPr>
          <w:rFonts w:asciiTheme="majorHAnsi" w:hAnsiTheme="majorHAnsi"/>
          <w:sz w:val="20"/>
          <w:szCs w:val="20"/>
          <w:lang w:val="en-US"/>
        </w:rPr>
      </w:pPr>
    </w:p>
    <w:p w14:paraId="4F41788A" w14:textId="1DBA3302" w:rsidR="00D73007" w:rsidRPr="00CF5DEA" w:rsidRDefault="00D73007" w:rsidP="0085231B">
      <w:pPr>
        <w:pStyle w:val="ListParagraph"/>
        <w:jc w:val="both"/>
        <w:rPr>
          <w:rFonts w:asciiTheme="majorHAnsi" w:hAnsiTheme="majorHAnsi"/>
          <w:sz w:val="20"/>
          <w:szCs w:val="20"/>
          <w:lang w:val="en-US"/>
        </w:rPr>
      </w:pPr>
    </w:p>
    <w:p w14:paraId="0B438449" w14:textId="38368C9B" w:rsidR="00D73007" w:rsidRPr="00CF5DEA" w:rsidRDefault="00D73007" w:rsidP="0085231B">
      <w:pPr>
        <w:pStyle w:val="ListParagraph"/>
        <w:jc w:val="both"/>
        <w:rPr>
          <w:rFonts w:asciiTheme="majorHAnsi" w:hAnsiTheme="majorHAnsi"/>
          <w:sz w:val="20"/>
          <w:szCs w:val="20"/>
          <w:lang w:val="en-US"/>
        </w:rPr>
      </w:pPr>
    </w:p>
    <w:p w14:paraId="1FBCF6F8" w14:textId="2F5B47B6" w:rsidR="00D73007" w:rsidRPr="00CF5DEA" w:rsidRDefault="00D73007" w:rsidP="0085231B">
      <w:pPr>
        <w:pStyle w:val="ListParagraph"/>
        <w:jc w:val="both"/>
        <w:rPr>
          <w:rFonts w:asciiTheme="majorHAnsi" w:hAnsiTheme="majorHAnsi"/>
          <w:sz w:val="20"/>
          <w:szCs w:val="20"/>
          <w:lang w:val="en-US"/>
        </w:rPr>
      </w:pPr>
    </w:p>
    <w:p w14:paraId="5BDACCC2" w14:textId="73EE1ECB" w:rsidR="00D73007" w:rsidRPr="00CF5DEA" w:rsidRDefault="00D73007" w:rsidP="0085231B">
      <w:pPr>
        <w:pStyle w:val="ListParagraph"/>
        <w:jc w:val="both"/>
        <w:rPr>
          <w:rFonts w:asciiTheme="majorHAnsi" w:hAnsiTheme="majorHAnsi"/>
          <w:sz w:val="20"/>
          <w:szCs w:val="20"/>
          <w:lang w:val="en-US"/>
        </w:rPr>
      </w:pPr>
    </w:p>
    <w:p w14:paraId="1120364E" w14:textId="1BCFF8D3" w:rsidR="00D73007" w:rsidRPr="00CF5DEA" w:rsidRDefault="00D73007" w:rsidP="0085231B">
      <w:pPr>
        <w:pStyle w:val="ListParagraph"/>
        <w:jc w:val="both"/>
        <w:rPr>
          <w:rFonts w:asciiTheme="majorHAnsi" w:hAnsiTheme="majorHAnsi"/>
          <w:sz w:val="20"/>
          <w:szCs w:val="20"/>
          <w:lang w:val="en-US"/>
        </w:rPr>
      </w:pPr>
    </w:p>
    <w:p w14:paraId="148969C2" w14:textId="76AAE64E" w:rsidR="00D73007" w:rsidRPr="00CF5DEA" w:rsidRDefault="00D73007" w:rsidP="0085231B">
      <w:pPr>
        <w:pStyle w:val="ListParagraph"/>
        <w:jc w:val="both"/>
        <w:rPr>
          <w:rFonts w:asciiTheme="majorHAnsi" w:hAnsiTheme="majorHAnsi"/>
          <w:sz w:val="20"/>
          <w:szCs w:val="20"/>
          <w:lang w:val="en-US"/>
        </w:rPr>
      </w:pPr>
    </w:p>
    <w:p w14:paraId="15522C55" w14:textId="0C7B853C" w:rsidR="00D73007" w:rsidRPr="00CF5DEA" w:rsidRDefault="00D73007" w:rsidP="0085231B">
      <w:pPr>
        <w:pStyle w:val="ListParagraph"/>
        <w:jc w:val="both"/>
        <w:rPr>
          <w:rFonts w:asciiTheme="majorHAnsi" w:hAnsiTheme="majorHAnsi"/>
          <w:sz w:val="20"/>
          <w:szCs w:val="20"/>
          <w:lang w:val="en-US"/>
        </w:rPr>
      </w:pPr>
    </w:p>
    <w:p w14:paraId="79B305CB" w14:textId="63F22305" w:rsidR="00D73007" w:rsidRPr="00CF5DEA" w:rsidRDefault="00D73007" w:rsidP="0085231B">
      <w:pPr>
        <w:pStyle w:val="ListParagraph"/>
        <w:jc w:val="both"/>
        <w:rPr>
          <w:rFonts w:asciiTheme="majorHAnsi" w:hAnsiTheme="majorHAnsi"/>
          <w:sz w:val="20"/>
          <w:szCs w:val="20"/>
          <w:lang w:val="en-US"/>
        </w:rPr>
      </w:pPr>
    </w:p>
    <w:p w14:paraId="5B3674C5" w14:textId="532A905E" w:rsidR="00D73007" w:rsidRPr="00CF5DEA" w:rsidRDefault="00D73007" w:rsidP="0085231B">
      <w:pPr>
        <w:pStyle w:val="ListParagraph"/>
        <w:jc w:val="both"/>
        <w:rPr>
          <w:rFonts w:asciiTheme="majorHAnsi" w:hAnsiTheme="majorHAnsi"/>
          <w:sz w:val="20"/>
          <w:szCs w:val="20"/>
          <w:lang w:val="en-US"/>
        </w:rPr>
      </w:pPr>
    </w:p>
    <w:p w14:paraId="22F14815" w14:textId="1D67109E" w:rsidR="00D73007" w:rsidRPr="00CF5DEA" w:rsidRDefault="00D73007" w:rsidP="0085231B">
      <w:pPr>
        <w:pStyle w:val="ListParagraph"/>
        <w:jc w:val="both"/>
        <w:rPr>
          <w:rFonts w:asciiTheme="majorHAnsi" w:hAnsiTheme="majorHAnsi"/>
          <w:sz w:val="20"/>
          <w:szCs w:val="20"/>
          <w:lang w:val="en-US"/>
        </w:rPr>
      </w:pPr>
    </w:p>
    <w:p w14:paraId="15F53FB6" w14:textId="7C99F970" w:rsidR="00D73007" w:rsidRPr="00CF5DEA" w:rsidRDefault="00D73007" w:rsidP="0085231B">
      <w:pPr>
        <w:pStyle w:val="ListParagraph"/>
        <w:jc w:val="both"/>
        <w:rPr>
          <w:rFonts w:asciiTheme="majorHAnsi" w:hAnsiTheme="majorHAnsi"/>
          <w:sz w:val="20"/>
          <w:szCs w:val="20"/>
          <w:lang w:val="en-US"/>
        </w:rPr>
      </w:pPr>
    </w:p>
    <w:p w14:paraId="3A03331A" w14:textId="27CC3833" w:rsidR="00D73007" w:rsidRPr="00CF5DEA" w:rsidRDefault="00D73007" w:rsidP="0085231B">
      <w:pPr>
        <w:pStyle w:val="ListParagraph"/>
        <w:jc w:val="both"/>
        <w:rPr>
          <w:rFonts w:asciiTheme="majorHAnsi" w:hAnsiTheme="majorHAnsi"/>
          <w:sz w:val="20"/>
          <w:szCs w:val="20"/>
          <w:lang w:val="en-US"/>
        </w:rPr>
      </w:pPr>
    </w:p>
    <w:p w14:paraId="6094C881" w14:textId="46DCDDBF" w:rsidR="00D73007" w:rsidRPr="00CF5DEA" w:rsidRDefault="00D73007" w:rsidP="0085231B">
      <w:pPr>
        <w:pStyle w:val="ListParagraph"/>
        <w:jc w:val="both"/>
        <w:rPr>
          <w:rFonts w:asciiTheme="majorHAnsi" w:hAnsiTheme="majorHAnsi"/>
          <w:sz w:val="20"/>
          <w:szCs w:val="20"/>
          <w:lang w:val="en-US"/>
        </w:rPr>
      </w:pPr>
    </w:p>
    <w:p w14:paraId="2233BCE8" w14:textId="35E2E5ED" w:rsidR="00D73007" w:rsidRPr="00CF5DEA" w:rsidRDefault="00D73007" w:rsidP="0085231B">
      <w:pPr>
        <w:pStyle w:val="ListParagraph"/>
        <w:jc w:val="both"/>
        <w:rPr>
          <w:rFonts w:asciiTheme="majorHAnsi" w:hAnsiTheme="majorHAnsi"/>
          <w:sz w:val="20"/>
          <w:szCs w:val="20"/>
          <w:lang w:val="en-US"/>
        </w:rPr>
      </w:pPr>
    </w:p>
    <w:p w14:paraId="5C9B802D" w14:textId="54911856" w:rsidR="00D73007" w:rsidRPr="00CF5DEA" w:rsidRDefault="00D73007" w:rsidP="0085231B">
      <w:pPr>
        <w:pStyle w:val="ListParagraph"/>
        <w:jc w:val="both"/>
        <w:rPr>
          <w:rFonts w:asciiTheme="majorHAnsi" w:hAnsiTheme="majorHAnsi"/>
          <w:sz w:val="20"/>
          <w:szCs w:val="20"/>
          <w:lang w:val="en-US"/>
        </w:rPr>
      </w:pPr>
    </w:p>
    <w:p w14:paraId="5D5F7AD9" w14:textId="32F8CE58" w:rsidR="00D73007" w:rsidRPr="00CF5DEA" w:rsidRDefault="00D73007" w:rsidP="0085231B">
      <w:pPr>
        <w:pStyle w:val="ListParagraph"/>
        <w:jc w:val="both"/>
        <w:rPr>
          <w:rFonts w:asciiTheme="majorHAnsi" w:hAnsiTheme="majorHAnsi"/>
          <w:sz w:val="20"/>
          <w:szCs w:val="20"/>
          <w:lang w:val="en-US"/>
        </w:rPr>
      </w:pPr>
    </w:p>
    <w:p w14:paraId="0E10D4F2" w14:textId="36C60CA0" w:rsidR="00D73007" w:rsidRPr="00CF5DEA" w:rsidRDefault="00D73007" w:rsidP="0085231B">
      <w:pPr>
        <w:pStyle w:val="ListParagraph"/>
        <w:jc w:val="both"/>
        <w:rPr>
          <w:rFonts w:asciiTheme="majorHAnsi" w:hAnsiTheme="majorHAnsi"/>
          <w:sz w:val="20"/>
          <w:szCs w:val="20"/>
          <w:lang w:val="en-US"/>
        </w:rPr>
      </w:pPr>
    </w:p>
    <w:p w14:paraId="66DF1F41" w14:textId="18BEE53F" w:rsidR="00D73007" w:rsidRPr="00CF5DEA" w:rsidRDefault="00D73007" w:rsidP="0085231B">
      <w:pPr>
        <w:pStyle w:val="ListParagraph"/>
        <w:jc w:val="both"/>
        <w:rPr>
          <w:rFonts w:asciiTheme="majorHAnsi" w:hAnsiTheme="majorHAnsi"/>
          <w:sz w:val="20"/>
          <w:szCs w:val="20"/>
          <w:lang w:val="en-US"/>
        </w:rPr>
      </w:pPr>
    </w:p>
    <w:p w14:paraId="6E6D5330" w14:textId="731D4634" w:rsidR="00D73007" w:rsidRPr="00CF5DEA" w:rsidRDefault="00D73007" w:rsidP="0085231B">
      <w:pPr>
        <w:pStyle w:val="ListParagraph"/>
        <w:jc w:val="both"/>
        <w:rPr>
          <w:rFonts w:asciiTheme="majorHAnsi" w:hAnsiTheme="majorHAnsi"/>
          <w:sz w:val="20"/>
          <w:szCs w:val="20"/>
          <w:lang w:val="en-US"/>
        </w:rPr>
      </w:pPr>
    </w:p>
    <w:p w14:paraId="451B3D24" w14:textId="4105587B" w:rsidR="00D73007" w:rsidRPr="00CF5DEA" w:rsidRDefault="00D73007" w:rsidP="0085231B">
      <w:pPr>
        <w:pStyle w:val="ListParagraph"/>
        <w:jc w:val="both"/>
        <w:rPr>
          <w:rFonts w:asciiTheme="majorHAnsi" w:hAnsiTheme="majorHAnsi"/>
          <w:sz w:val="20"/>
          <w:szCs w:val="20"/>
          <w:lang w:val="en-US"/>
        </w:rPr>
      </w:pPr>
    </w:p>
    <w:p w14:paraId="05204EB0" w14:textId="43776DE9" w:rsidR="00D73007" w:rsidRPr="00CF5DEA" w:rsidRDefault="00D73007" w:rsidP="0085231B">
      <w:pPr>
        <w:pStyle w:val="ListParagraph"/>
        <w:jc w:val="both"/>
        <w:rPr>
          <w:rFonts w:asciiTheme="majorHAnsi" w:hAnsiTheme="majorHAnsi"/>
          <w:sz w:val="20"/>
          <w:szCs w:val="20"/>
          <w:lang w:val="en-US"/>
        </w:rPr>
      </w:pPr>
    </w:p>
    <w:p w14:paraId="57C0516B" w14:textId="0800648B" w:rsidR="00D73007" w:rsidRPr="00CF5DEA" w:rsidRDefault="00D73007" w:rsidP="0085231B">
      <w:pPr>
        <w:pStyle w:val="ListParagraph"/>
        <w:jc w:val="both"/>
        <w:rPr>
          <w:rFonts w:asciiTheme="majorHAnsi" w:hAnsiTheme="majorHAnsi"/>
          <w:sz w:val="20"/>
          <w:szCs w:val="20"/>
          <w:lang w:val="en-US"/>
        </w:rPr>
      </w:pPr>
    </w:p>
    <w:p w14:paraId="121DE6D7" w14:textId="77777777" w:rsidR="00D73007" w:rsidRPr="00CF5DEA" w:rsidRDefault="00D73007" w:rsidP="0085231B">
      <w:pPr>
        <w:pStyle w:val="ListParagraph"/>
        <w:jc w:val="both"/>
        <w:rPr>
          <w:rFonts w:asciiTheme="majorHAnsi" w:hAnsiTheme="majorHAnsi"/>
          <w:sz w:val="20"/>
          <w:szCs w:val="20"/>
          <w:lang w:val="en-US"/>
        </w:rPr>
      </w:pPr>
    </w:p>
    <w:p w14:paraId="6B00AE36" w14:textId="77777777" w:rsidR="0085231B" w:rsidRPr="00CF5DEA" w:rsidRDefault="008B4D37" w:rsidP="0085231B">
      <w:pPr>
        <w:jc w:val="both"/>
        <w:rPr>
          <w:rFonts w:asciiTheme="majorHAnsi" w:hAnsiTheme="majorHAnsi" w:cs="Times New Roman"/>
          <w:b/>
          <w:color w:val="000000"/>
          <w:sz w:val="20"/>
          <w:szCs w:val="20"/>
          <w:u w:val="single"/>
          <w:shd w:val="clear" w:color="auto" w:fill="FFFFFF"/>
          <w:lang w:val="en-US"/>
        </w:rPr>
      </w:pPr>
      <w:r w:rsidRPr="00CF5DEA">
        <w:rPr>
          <w:rFonts w:asciiTheme="majorHAnsi" w:hAnsiTheme="majorHAnsi" w:cs="Times New Roman"/>
          <w:b/>
          <w:color w:val="000000"/>
          <w:sz w:val="20"/>
          <w:szCs w:val="20"/>
          <w:u w:val="single"/>
          <w:shd w:val="clear" w:color="auto" w:fill="FFFFFF"/>
          <w:lang w:val="en-US"/>
        </w:rPr>
        <w:lastRenderedPageBreak/>
        <w:t xml:space="preserve">Part II. </w:t>
      </w:r>
      <w:r w:rsidR="0085231B" w:rsidRPr="00CF5DEA">
        <w:rPr>
          <w:rFonts w:asciiTheme="majorHAnsi" w:hAnsiTheme="majorHAnsi" w:cs="Times New Roman"/>
          <w:b/>
          <w:color w:val="000000"/>
          <w:sz w:val="20"/>
          <w:szCs w:val="20"/>
          <w:u w:val="single"/>
          <w:shd w:val="clear" w:color="auto" w:fill="FFFFFF"/>
          <w:lang w:val="en-US"/>
        </w:rPr>
        <w:t>Examples, total number of points</w:t>
      </w:r>
      <w:r w:rsidRPr="00CF5DEA">
        <w:rPr>
          <w:rFonts w:asciiTheme="majorHAnsi" w:hAnsiTheme="majorHAnsi" w:cs="Times New Roman"/>
          <w:b/>
          <w:color w:val="000000"/>
          <w:sz w:val="20"/>
          <w:szCs w:val="20"/>
          <w:u w:val="single"/>
          <w:shd w:val="clear" w:color="auto" w:fill="FFFFFF"/>
          <w:lang w:val="en-US"/>
        </w:rPr>
        <w:t xml:space="preserve"> </w:t>
      </w:r>
      <w:r w:rsidR="006868BB" w:rsidRPr="00CF5DEA">
        <w:rPr>
          <w:rFonts w:asciiTheme="majorHAnsi" w:hAnsiTheme="majorHAnsi" w:cs="Times New Roman"/>
          <w:b/>
          <w:color w:val="000000"/>
          <w:sz w:val="20"/>
          <w:szCs w:val="20"/>
          <w:u w:val="single"/>
          <w:shd w:val="clear" w:color="auto" w:fill="FFFFFF"/>
          <w:lang w:val="en-US"/>
        </w:rPr>
        <w:t>– 15</w:t>
      </w:r>
    </w:p>
    <w:p w14:paraId="142843C8" w14:textId="4454F8E9" w:rsidR="006868BB" w:rsidRPr="00CF5DEA" w:rsidRDefault="006868BB" w:rsidP="006868BB">
      <w:pPr>
        <w:jc w:val="both"/>
        <w:rPr>
          <w:rFonts w:asciiTheme="majorHAnsi" w:hAnsiTheme="majorHAnsi"/>
          <w:b/>
          <w:sz w:val="20"/>
          <w:szCs w:val="20"/>
          <w:u w:val="single"/>
          <w:lang w:val="en-US"/>
        </w:rPr>
      </w:pPr>
      <w:r w:rsidRPr="00CF5DEA">
        <w:rPr>
          <w:rFonts w:asciiTheme="majorHAnsi" w:hAnsiTheme="majorHAnsi"/>
          <w:b/>
          <w:sz w:val="20"/>
          <w:szCs w:val="20"/>
          <w:u w:val="single"/>
          <w:lang w:val="en-US"/>
        </w:rPr>
        <w:t>Exercise 1: Statement of income (</w:t>
      </w:r>
      <w:r w:rsidR="00D73007" w:rsidRPr="00CF5DEA">
        <w:rPr>
          <w:rFonts w:asciiTheme="majorHAnsi" w:hAnsiTheme="majorHAnsi"/>
          <w:b/>
          <w:sz w:val="20"/>
          <w:szCs w:val="20"/>
          <w:u w:val="single"/>
          <w:lang w:val="en-US"/>
        </w:rPr>
        <w:t>3</w:t>
      </w:r>
      <w:r w:rsidRPr="00CF5DEA">
        <w:rPr>
          <w:rFonts w:asciiTheme="majorHAnsi" w:hAnsiTheme="majorHAnsi"/>
          <w:b/>
          <w:sz w:val="20"/>
          <w:szCs w:val="20"/>
          <w:u w:val="single"/>
          <w:lang w:val="en-US"/>
        </w:rPr>
        <w:t xml:space="preserve"> points)</w:t>
      </w:r>
    </w:p>
    <w:tbl>
      <w:tblPr>
        <w:tblW w:w="9776" w:type="dxa"/>
        <w:tblInd w:w="80" w:type="dxa"/>
        <w:tblLook w:val="04A0" w:firstRow="1" w:lastRow="0" w:firstColumn="1" w:lastColumn="0" w:noHBand="0" w:noVBand="1"/>
      </w:tblPr>
      <w:tblGrid>
        <w:gridCol w:w="7110"/>
        <w:gridCol w:w="2430"/>
        <w:gridCol w:w="236"/>
      </w:tblGrid>
      <w:tr w:rsidR="006868BB" w:rsidRPr="00CF5DEA" w14:paraId="2AE6E9E7" w14:textId="77777777" w:rsidTr="006D1728">
        <w:trPr>
          <w:trHeight w:val="300"/>
        </w:trPr>
        <w:tc>
          <w:tcPr>
            <w:tcW w:w="71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BD145D" w14:textId="77777777" w:rsidR="006868BB" w:rsidRPr="00CF5DEA" w:rsidRDefault="006868BB" w:rsidP="006D1728">
            <w:pPr>
              <w:spacing w:after="0" w:line="240" w:lineRule="auto"/>
              <w:jc w:val="center"/>
              <w:rPr>
                <w:rFonts w:ascii="Calibri" w:eastAsia="Times New Roman" w:hAnsi="Calibri" w:cs="Calibri"/>
                <w:b/>
                <w:bCs/>
                <w:color w:val="000000"/>
                <w:lang w:val="en-US"/>
              </w:rPr>
            </w:pPr>
            <w:r w:rsidRPr="00CF5DEA">
              <w:rPr>
                <w:rFonts w:ascii="Calibri" w:eastAsia="Times New Roman" w:hAnsi="Calibri" w:cs="Calibri"/>
                <w:b/>
                <w:bCs/>
                <w:color w:val="000000"/>
                <w:lang w:val="en-US"/>
              </w:rPr>
              <w:t>Item</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14:paraId="5BC32347" w14:textId="77777777" w:rsidR="006868BB" w:rsidRPr="00CF5DEA" w:rsidRDefault="006868BB" w:rsidP="006D1728">
            <w:pPr>
              <w:spacing w:after="0" w:line="240" w:lineRule="auto"/>
              <w:jc w:val="center"/>
              <w:rPr>
                <w:rFonts w:ascii="Calibri" w:eastAsia="Times New Roman" w:hAnsi="Calibri" w:cs="Calibri"/>
                <w:b/>
                <w:bCs/>
                <w:color w:val="000000"/>
                <w:lang w:val="en-US"/>
              </w:rPr>
            </w:pPr>
            <w:r w:rsidRPr="00CF5DEA">
              <w:rPr>
                <w:rFonts w:ascii="Calibri" w:eastAsia="Times New Roman" w:hAnsi="Calibri" w:cs="Calibri"/>
                <w:b/>
                <w:bCs/>
                <w:color w:val="000000"/>
                <w:lang w:val="en-US"/>
              </w:rPr>
              <w:t xml:space="preserve"> CU'000 </w:t>
            </w:r>
          </w:p>
        </w:tc>
        <w:tc>
          <w:tcPr>
            <w:tcW w:w="236" w:type="dxa"/>
            <w:tcBorders>
              <w:top w:val="nil"/>
              <w:left w:val="nil"/>
              <w:bottom w:val="nil"/>
              <w:right w:val="nil"/>
            </w:tcBorders>
            <w:shd w:val="clear" w:color="auto" w:fill="auto"/>
            <w:noWrap/>
            <w:vAlign w:val="center"/>
            <w:hideMark/>
          </w:tcPr>
          <w:p w14:paraId="682D3F6B" w14:textId="77777777" w:rsidR="006868BB" w:rsidRPr="00CF5DEA" w:rsidRDefault="006868BB" w:rsidP="006D1728">
            <w:pPr>
              <w:spacing w:after="0" w:line="240" w:lineRule="auto"/>
              <w:jc w:val="center"/>
              <w:rPr>
                <w:rFonts w:ascii="Calibri" w:eastAsia="Times New Roman" w:hAnsi="Calibri" w:cs="Calibri"/>
                <w:b/>
                <w:bCs/>
                <w:color w:val="000000"/>
                <w:lang w:val="en-US"/>
              </w:rPr>
            </w:pPr>
          </w:p>
        </w:tc>
      </w:tr>
      <w:tr w:rsidR="006868BB" w:rsidRPr="00CF5DEA" w14:paraId="2D229A18"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77A80A52"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Advertising</w:t>
            </w:r>
          </w:p>
        </w:tc>
        <w:tc>
          <w:tcPr>
            <w:tcW w:w="2430" w:type="dxa"/>
            <w:tcBorders>
              <w:top w:val="nil"/>
              <w:left w:val="nil"/>
              <w:bottom w:val="single" w:sz="8" w:space="0" w:color="auto"/>
              <w:right w:val="single" w:sz="8" w:space="0" w:color="auto"/>
            </w:tcBorders>
            <w:shd w:val="clear" w:color="auto" w:fill="auto"/>
            <w:noWrap/>
            <w:vAlign w:val="center"/>
            <w:hideMark/>
          </w:tcPr>
          <w:p w14:paraId="04A0EFF7" w14:textId="7EE65462"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18,000</w:t>
            </w:r>
          </w:p>
        </w:tc>
      </w:tr>
      <w:tr w:rsidR="006868BB" w:rsidRPr="00CF5DEA" w14:paraId="54B4C19F"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237E4983"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Carriage inwards</w:t>
            </w:r>
          </w:p>
        </w:tc>
        <w:tc>
          <w:tcPr>
            <w:tcW w:w="2430" w:type="dxa"/>
            <w:tcBorders>
              <w:top w:val="nil"/>
              <w:left w:val="nil"/>
              <w:bottom w:val="single" w:sz="8" w:space="0" w:color="auto"/>
              <w:right w:val="single" w:sz="8" w:space="0" w:color="auto"/>
            </w:tcBorders>
            <w:shd w:val="clear" w:color="auto" w:fill="auto"/>
            <w:noWrap/>
            <w:vAlign w:val="center"/>
            <w:hideMark/>
          </w:tcPr>
          <w:p w14:paraId="3ED6E24F" w14:textId="6B71F32F"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15,135</w:t>
            </w:r>
          </w:p>
        </w:tc>
      </w:tr>
      <w:tr w:rsidR="006868BB" w:rsidRPr="00CF5DEA" w14:paraId="1B35B82B"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3574D132"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Carriage outwards</w:t>
            </w:r>
          </w:p>
        </w:tc>
        <w:tc>
          <w:tcPr>
            <w:tcW w:w="2430" w:type="dxa"/>
            <w:tcBorders>
              <w:top w:val="nil"/>
              <w:left w:val="nil"/>
              <w:bottom w:val="single" w:sz="8" w:space="0" w:color="auto"/>
              <w:right w:val="single" w:sz="8" w:space="0" w:color="auto"/>
            </w:tcBorders>
            <w:shd w:val="clear" w:color="auto" w:fill="auto"/>
            <w:noWrap/>
            <w:vAlign w:val="center"/>
            <w:hideMark/>
          </w:tcPr>
          <w:p w14:paraId="5D8A3C3C" w14:textId="321A3F69"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6,799</w:t>
            </w:r>
          </w:p>
        </w:tc>
      </w:tr>
      <w:tr w:rsidR="006868BB" w:rsidRPr="00CF5DEA" w14:paraId="51179D6A"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76E71273"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Depreciation</w:t>
            </w:r>
          </w:p>
        </w:tc>
        <w:tc>
          <w:tcPr>
            <w:tcW w:w="2430" w:type="dxa"/>
            <w:tcBorders>
              <w:top w:val="nil"/>
              <w:left w:val="nil"/>
              <w:bottom w:val="single" w:sz="8" w:space="0" w:color="auto"/>
              <w:right w:val="single" w:sz="8" w:space="0" w:color="auto"/>
            </w:tcBorders>
            <w:shd w:val="clear" w:color="auto" w:fill="auto"/>
            <w:noWrap/>
            <w:vAlign w:val="center"/>
            <w:hideMark/>
          </w:tcPr>
          <w:p w14:paraId="19BBB4E6" w14:textId="6810ECE7"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12,852</w:t>
            </w:r>
          </w:p>
        </w:tc>
      </w:tr>
      <w:tr w:rsidR="006868BB" w:rsidRPr="00CF5DEA" w14:paraId="10356DB1"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11FEDEC0"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Closing inventory</w:t>
            </w:r>
          </w:p>
        </w:tc>
        <w:tc>
          <w:tcPr>
            <w:tcW w:w="2430" w:type="dxa"/>
            <w:tcBorders>
              <w:top w:val="nil"/>
              <w:left w:val="nil"/>
              <w:bottom w:val="single" w:sz="8" w:space="0" w:color="auto"/>
              <w:right w:val="single" w:sz="8" w:space="0" w:color="auto"/>
            </w:tcBorders>
            <w:shd w:val="clear" w:color="auto" w:fill="auto"/>
            <w:noWrap/>
            <w:vAlign w:val="center"/>
            <w:hideMark/>
          </w:tcPr>
          <w:p w14:paraId="79B42D29" w14:textId="505AB6D8"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13,088</w:t>
            </w:r>
          </w:p>
        </w:tc>
      </w:tr>
      <w:tr w:rsidR="006868BB" w:rsidRPr="00CF5DEA" w14:paraId="3A0E9DD5"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6CBDD313"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Discounts allowed</w:t>
            </w:r>
          </w:p>
        </w:tc>
        <w:tc>
          <w:tcPr>
            <w:tcW w:w="2430" w:type="dxa"/>
            <w:tcBorders>
              <w:top w:val="nil"/>
              <w:left w:val="nil"/>
              <w:bottom w:val="single" w:sz="8" w:space="0" w:color="auto"/>
              <w:right w:val="single" w:sz="8" w:space="0" w:color="auto"/>
            </w:tcBorders>
            <w:shd w:val="clear" w:color="auto" w:fill="auto"/>
            <w:noWrap/>
            <w:vAlign w:val="center"/>
            <w:hideMark/>
          </w:tcPr>
          <w:p w14:paraId="49576D73" w14:textId="0B24DE19"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4,477</w:t>
            </w:r>
          </w:p>
        </w:tc>
      </w:tr>
      <w:tr w:rsidR="006868BB" w:rsidRPr="00CF5DEA" w14:paraId="6255E744"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5DC9D20A"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Discounts received</w:t>
            </w:r>
          </w:p>
        </w:tc>
        <w:tc>
          <w:tcPr>
            <w:tcW w:w="2430" w:type="dxa"/>
            <w:tcBorders>
              <w:top w:val="nil"/>
              <w:left w:val="nil"/>
              <w:bottom w:val="single" w:sz="8" w:space="0" w:color="auto"/>
              <w:right w:val="single" w:sz="8" w:space="0" w:color="auto"/>
            </w:tcBorders>
            <w:shd w:val="clear" w:color="auto" w:fill="auto"/>
            <w:noWrap/>
            <w:vAlign w:val="center"/>
            <w:hideMark/>
          </w:tcPr>
          <w:p w14:paraId="228BA56C" w14:textId="7B86B01E"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6,644</w:t>
            </w:r>
          </w:p>
        </w:tc>
      </w:tr>
      <w:tr w:rsidR="006868BB" w:rsidRPr="00CF5DEA" w14:paraId="33105314"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1495FD0A"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Gas and electricity</w:t>
            </w:r>
          </w:p>
        </w:tc>
        <w:tc>
          <w:tcPr>
            <w:tcW w:w="2430" w:type="dxa"/>
            <w:tcBorders>
              <w:top w:val="nil"/>
              <w:left w:val="nil"/>
              <w:bottom w:val="single" w:sz="8" w:space="0" w:color="auto"/>
              <w:right w:val="single" w:sz="8" w:space="0" w:color="auto"/>
            </w:tcBorders>
            <w:shd w:val="clear" w:color="auto" w:fill="auto"/>
            <w:noWrap/>
            <w:vAlign w:val="center"/>
            <w:hideMark/>
          </w:tcPr>
          <w:p w14:paraId="59191A3C" w14:textId="44919A3B"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18,359</w:t>
            </w:r>
          </w:p>
        </w:tc>
      </w:tr>
      <w:tr w:rsidR="006868BB" w:rsidRPr="00CF5DEA" w14:paraId="03EE7D56"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144FF398"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Irrecoverable debts</w:t>
            </w:r>
          </w:p>
        </w:tc>
        <w:tc>
          <w:tcPr>
            <w:tcW w:w="2430" w:type="dxa"/>
            <w:tcBorders>
              <w:top w:val="nil"/>
              <w:left w:val="nil"/>
              <w:bottom w:val="single" w:sz="8" w:space="0" w:color="auto"/>
              <w:right w:val="single" w:sz="8" w:space="0" w:color="auto"/>
            </w:tcBorders>
            <w:shd w:val="clear" w:color="auto" w:fill="auto"/>
            <w:noWrap/>
            <w:vAlign w:val="center"/>
            <w:hideMark/>
          </w:tcPr>
          <w:p w14:paraId="5A40D314" w14:textId="625727B9"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9,274</w:t>
            </w:r>
          </w:p>
        </w:tc>
      </w:tr>
      <w:tr w:rsidR="006868BB" w:rsidRPr="00CF5DEA" w14:paraId="1E243CA1"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6F4B0243"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Loan interest</w:t>
            </w:r>
          </w:p>
        </w:tc>
        <w:tc>
          <w:tcPr>
            <w:tcW w:w="2430" w:type="dxa"/>
            <w:tcBorders>
              <w:top w:val="nil"/>
              <w:left w:val="nil"/>
              <w:bottom w:val="single" w:sz="8" w:space="0" w:color="auto"/>
              <w:right w:val="single" w:sz="8" w:space="0" w:color="auto"/>
            </w:tcBorders>
            <w:shd w:val="clear" w:color="auto" w:fill="auto"/>
            <w:noWrap/>
            <w:vAlign w:val="center"/>
            <w:hideMark/>
          </w:tcPr>
          <w:p w14:paraId="2BA2C31F" w14:textId="2B1DA740"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6,000</w:t>
            </w:r>
          </w:p>
        </w:tc>
      </w:tr>
      <w:tr w:rsidR="006868BB" w:rsidRPr="00CF5DEA" w14:paraId="1E3AB53F"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6F36A116"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Opening inventory</w:t>
            </w:r>
          </w:p>
        </w:tc>
        <w:tc>
          <w:tcPr>
            <w:tcW w:w="2430" w:type="dxa"/>
            <w:tcBorders>
              <w:top w:val="nil"/>
              <w:left w:val="nil"/>
              <w:bottom w:val="single" w:sz="8" w:space="0" w:color="auto"/>
              <w:right w:val="single" w:sz="8" w:space="0" w:color="auto"/>
            </w:tcBorders>
            <w:shd w:val="clear" w:color="auto" w:fill="auto"/>
            <w:noWrap/>
            <w:vAlign w:val="center"/>
            <w:hideMark/>
          </w:tcPr>
          <w:p w14:paraId="1DCEB677" w14:textId="1BB09123"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13,565</w:t>
            </w:r>
          </w:p>
        </w:tc>
      </w:tr>
      <w:tr w:rsidR="006868BB" w:rsidRPr="00CF5DEA" w14:paraId="2293AC79"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4D47E656"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Other operating expenses</w:t>
            </w:r>
          </w:p>
        </w:tc>
        <w:tc>
          <w:tcPr>
            <w:tcW w:w="2430" w:type="dxa"/>
            <w:tcBorders>
              <w:top w:val="nil"/>
              <w:left w:val="nil"/>
              <w:bottom w:val="single" w:sz="8" w:space="0" w:color="auto"/>
              <w:right w:val="single" w:sz="8" w:space="0" w:color="auto"/>
            </w:tcBorders>
            <w:shd w:val="clear" w:color="auto" w:fill="auto"/>
            <w:noWrap/>
            <w:vAlign w:val="center"/>
            <w:hideMark/>
          </w:tcPr>
          <w:p w14:paraId="5A5C50C6" w14:textId="65028C24"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3,613</w:t>
            </w:r>
          </w:p>
        </w:tc>
      </w:tr>
      <w:tr w:rsidR="006868BB" w:rsidRPr="00CF5DEA" w14:paraId="64C2FDE2"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164C710E"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Other operating income</w:t>
            </w:r>
          </w:p>
        </w:tc>
        <w:tc>
          <w:tcPr>
            <w:tcW w:w="2430" w:type="dxa"/>
            <w:tcBorders>
              <w:top w:val="nil"/>
              <w:left w:val="nil"/>
              <w:bottom w:val="single" w:sz="8" w:space="0" w:color="auto"/>
              <w:right w:val="single" w:sz="8" w:space="0" w:color="auto"/>
            </w:tcBorders>
            <w:shd w:val="clear" w:color="auto" w:fill="auto"/>
            <w:noWrap/>
            <w:vAlign w:val="center"/>
            <w:hideMark/>
          </w:tcPr>
          <w:p w14:paraId="0D99EA6D" w14:textId="4B23F240"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4,400</w:t>
            </w:r>
          </w:p>
        </w:tc>
      </w:tr>
      <w:tr w:rsidR="006868BB" w:rsidRPr="00CF5DEA" w14:paraId="6ED52748"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2792C056"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Purchases</w:t>
            </w:r>
          </w:p>
        </w:tc>
        <w:tc>
          <w:tcPr>
            <w:tcW w:w="2430" w:type="dxa"/>
            <w:tcBorders>
              <w:top w:val="nil"/>
              <w:left w:val="nil"/>
              <w:bottom w:val="single" w:sz="8" w:space="0" w:color="auto"/>
              <w:right w:val="single" w:sz="8" w:space="0" w:color="auto"/>
            </w:tcBorders>
            <w:shd w:val="clear" w:color="auto" w:fill="auto"/>
            <w:noWrap/>
            <w:vAlign w:val="center"/>
            <w:hideMark/>
          </w:tcPr>
          <w:p w14:paraId="43E97909" w14:textId="5C0EA7FA"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178,647</w:t>
            </w:r>
          </w:p>
        </w:tc>
      </w:tr>
      <w:tr w:rsidR="006868BB" w:rsidRPr="00CF5DEA" w14:paraId="427C51CA"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0250ED45"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Revenue</w:t>
            </w:r>
          </w:p>
        </w:tc>
        <w:tc>
          <w:tcPr>
            <w:tcW w:w="2430" w:type="dxa"/>
            <w:tcBorders>
              <w:top w:val="nil"/>
              <w:left w:val="nil"/>
              <w:bottom w:val="single" w:sz="8" w:space="0" w:color="auto"/>
              <w:right w:val="single" w:sz="8" w:space="0" w:color="auto"/>
            </w:tcBorders>
            <w:shd w:val="clear" w:color="auto" w:fill="auto"/>
            <w:noWrap/>
            <w:vAlign w:val="center"/>
            <w:hideMark/>
          </w:tcPr>
          <w:p w14:paraId="75AB2A22" w14:textId="28583A34"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349,500</w:t>
            </w:r>
          </w:p>
        </w:tc>
      </w:tr>
      <w:tr w:rsidR="006868BB" w:rsidRPr="00CF5DEA" w14:paraId="3F3AAEF9" w14:textId="77777777" w:rsidTr="006D1728">
        <w:trPr>
          <w:gridAfter w:val="1"/>
          <w:wAfter w:w="236" w:type="dxa"/>
          <w:trHeight w:val="300"/>
        </w:trPr>
        <w:tc>
          <w:tcPr>
            <w:tcW w:w="7110" w:type="dxa"/>
            <w:tcBorders>
              <w:top w:val="nil"/>
              <w:left w:val="single" w:sz="8" w:space="0" w:color="auto"/>
              <w:bottom w:val="single" w:sz="8" w:space="0" w:color="auto"/>
              <w:right w:val="single" w:sz="8" w:space="0" w:color="auto"/>
            </w:tcBorders>
            <w:shd w:val="clear" w:color="auto" w:fill="auto"/>
            <w:noWrap/>
            <w:vAlign w:val="center"/>
            <w:hideMark/>
          </w:tcPr>
          <w:p w14:paraId="365A9178" w14:textId="77777777" w:rsidR="006868BB" w:rsidRPr="00CF5DEA" w:rsidRDefault="006868BB" w:rsidP="006D1728">
            <w:pPr>
              <w:spacing w:after="0" w:line="240" w:lineRule="auto"/>
              <w:rPr>
                <w:rFonts w:ascii="Cambria" w:eastAsia="Times New Roman" w:hAnsi="Cambria" w:cs="Calibri"/>
                <w:color w:val="000000"/>
                <w:lang w:val="en-US"/>
              </w:rPr>
            </w:pPr>
            <w:r w:rsidRPr="00CF5DEA">
              <w:rPr>
                <w:rFonts w:ascii="Cambria" w:eastAsia="Times New Roman" w:hAnsi="Cambria" w:cs="Calibri"/>
                <w:color w:val="000000"/>
                <w:lang w:val="en-US"/>
              </w:rPr>
              <w:t>Water rates</w:t>
            </w:r>
          </w:p>
        </w:tc>
        <w:tc>
          <w:tcPr>
            <w:tcW w:w="2430" w:type="dxa"/>
            <w:tcBorders>
              <w:top w:val="nil"/>
              <w:left w:val="nil"/>
              <w:bottom w:val="single" w:sz="8" w:space="0" w:color="auto"/>
              <w:right w:val="single" w:sz="8" w:space="0" w:color="auto"/>
            </w:tcBorders>
            <w:shd w:val="clear" w:color="auto" w:fill="auto"/>
            <w:noWrap/>
            <w:vAlign w:val="center"/>
            <w:hideMark/>
          </w:tcPr>
          <w:p w14:paraId="4B8B6F53" w14:textId="153DD675" w:rsidR="006868BB" w:rsidRPr="00CF5DEA" w:rsidRDefault="006868BB" w:rsidP="00D73007">
            <w:pPr>
              <w:spacing w:after="0" w:line="240" w:lineRule="auto"/>
              <w:jc w:val="center"/>
              <w:rPr>
                <w:rFonts w:ascii="Cambria" w:eastAsia="Times New Roman" w:hAnsi="Cambria" w:cs="Calibri"/>
                <w:color w:val="000000"/>
                <w:lang w:val="en-US"/>
              </w:rPr>
            </w:pPr>
            <w:r w:rsidRPr="00CF5DEA">
              <w:rPr>
                <w:rFonts w:ascii="Cambria" w:eastAsia="Times New Roman" w:hAnsi="Cambria" w:cs="Calibri"/>
                <w:color w:val="000000"/>
                <w:lang w:val="en-US"/>
              </w:rPr>
              <w:t>9,711</w:t>
            </w:r>
          </w:p>
        </w:tc>
      </w:tr>
    </w:tbl>
    <w:p w14:paraId="49576EE8" w14:textId="77777777" w:rsidR="006868BB" w:rsidRPr="00CF5DEA" w:rsidRDefault="006868BB" w:rsidP="006868BB">
      <w:pPr>
        <w:pStyle w:val="NoSpacing"/>
        <w:rPr>
          <w:lang w:val="en-US"/>
        </w:rPr>
      </w:pPr>
    </w:p>
    <w:p w14:paraId="3A469C10" w14:textId="77777777" w:rsidR="006868BB" w:rsidRPr="00CF5DEA" w:rsidRDefault="006868BB" w:rsidP="006868BB">
      <w:pPr>
        <w:rPr>
          <w:rFonts w:asciiTheme="majorHAnsi" w:hAnsiTheme="majorHAnsi"/>
          <w:b/>
          <w:sz w:val="20"/>
          <w:szCs w:val="20"/>
          <w:lang w:val="en-US"/>
        </w:rPr>
      </w:pPr>
      <w:proofErr w:type="gramStart"/>
      <w:r w:rsidRPr="00CF5DEA">
        <w:rPr>
          <w:rFonts w:asciiTheme="majorHAnsi" w:hAnsiTheme="majorHAnsi"/>
          <w:b/>
          <w:lang w:val="en-US"/>
        </w:rPr>
        <w:t>On the basis of</w:t>
      </w:r>
      <w:proofErr w:type="gramEnd"/>
      <w:r w:rsidRPr="00CF5DEA">
        <w:rPr>
          <w:rFonts w:asciiTheme="majorHAnsi" w:hAnsiTheme="majorHAnsi"/>
          <w:b/>
          <w:lang w:val="en-US"/>
        </w:rPr>
        <w:t xml:space="preserve"> items presented above prepare a statement of income</w:t>
      </w:r>
      <w:r w:rsidRPr="00CF5DEA">
        <w:rPr>
          <w:rFonts w:asciiTheme="majorHAnsi" w:hAnsiTheme="majorHAnsi"/>
          <w:b/>
          <w:sz w:val="20"/>
          <w:szCs w:val="20"/>
          <w:lang w:val="en-US"/>
        </w:rPr>
        <w:t>.</w:t>
      </w:r>
    </w:p>
    <w:p w14:paraId="41DDED3A" w14:textId="77777777" w:rsidR="006868BB" w:rsidRPr="00CF5DEA" w:rsidRDefault="006868BB" w:rsidP="006868BB">
      <w:pPr>
        <w:rPr>
          <w:rFonts w:asciiTheme="majorHAnsi" w:hAnsiTheme="majorHAnsi"/>
          <w:b/>
          <w:sz w:val="20"/>
          <w:szCs w:val="20"/>
          <w:lang w:val="en-US"/>
        </w:rPr>
      </w:pPr>
    </w:p>
    <w:p w14:paraId="79E2949F" w14:textId="77777777" w:rsidR="006868BB" w:rsidRPr="00CF5DEA" w:rsidRDefault="006868BB" w:rsidP="006868BB">
      <w:pPr>
        <w:rPr>
          <w:rFonts w:asciiTheme="majorHAnsi" w:hAnsiTheme="majorHAnsi"/>
          <w:b/>
          <w:sz w:val="20"/>
          <w:szCs w:val="20"/>
          <w:lang w:val="en-US"/>
        </w:rPr>
      </w:pPr>
    </w:p>
    <w:p w14:paraId="046C8DB4" w14:textId="77777777" w:rsidR="006868BB" w:rsidRPr="00CF5DEA" w:rsidRDefault="006868BB" w:rsidP="006868BB">
      <w:pPr>
        <w:rPr>
          <w:rFonts w:asciiTheme="majorHAnsi" w:hAnsiTheme="majorHAnsi"/>
          <w:b/>
          <w:sz w:val="20"/>
          <w:szCs w:val="20"/>
          <w:lang w:val="en-US"/>
        </w:rPr>
      </w:pPr>
    </w:p>
    <w:p w14:paraId="5384E245" w14:textId="77777777" w:rsidR="006868BB" w:rsidRPr="00CF5DEA" w:rsidRDefault="006868BB" w:rsidP="006868BB">
      <w:pPr>
        <w:rPr>
          <w:rFonts w:asciiTheme="majorHAnsi" w:hAnsiTheme="majorHAnsi"/>
          <w:b/>
          <w:sz w:val="20"/>
          <w:szCs w:val="20"/>
          <w:lang w:val="en-US"/>
        </w:rPr>
      </w:pPr>
    </w:p>
    <w:p w14:paraId="2BE94D88" w14:textId="77777777" w:rsidR="006868BB" w:rsidRPr="00CF5DEA" w:rsidRDefault="006868BB" w:rsidP="006868BB">
      <w:pPr>
        <w:rPr>
          <w:rFonts w:asciiTheme="majorHAnsi" w:hAnsiTheme="majorHAnsi"/>
          <w:b/>
          <w:sz w:val="20"/>
          <w:szCs w:val="20"/>
          <w:lang w:val="en-US"/>
        </w:rPr>
      </w:pPr>
    </w:p>
    <w:p w14:paraId="3050136E" w14:textId="77777777" w:rsidR="006868BB" w:rsidRPr="00CF5DEA" w:rsidRDefault="006868BB" w:rsidP="006868BB">
      <w:pPr>
        <w:rPr>
          <w:rFonts w:asciiTheme="majorHAnsi" w:hAnsiTheme="majorHAnsi"/>
          <w:b/>
          <w:sz w:val="20"/>
          <w:szCs w:val="20"/>
          <w:lang w:val="en-US"/>
        </w:rPr>
      </w:pPr>
    </w:p>
    <w:p w14:paraId="0B061F35" w14:textId="77777777" w:rsidR="006868BB" w:rsidRPr="00CF5DEA" w:rsidRDefault="006868BB" w:rsidP="006868BB">
      <w:pPr>
        <w:rPr>
          <w:rFonts w:asciiTheme="majorHAnsi" w:hAnsiTheme="majorHAnsi"/>
          <w:b/>
          <w:sz w:val="20"/>
          <w:szCs w:val="20"/>
          <w:lang w:val="en-US"/>
        </w:rPr>
      </w:pPr>
    </w:p>
    <w:p w14:paraId="04E7E93B" w14:textId="77777777" w:rsidR="006868BB" w:rsidRPr="00CF5DEA" w:rsidRDefault="006868BB" w:rsidP="006868BB">
      <w:pPr>
        <w:rPr>
          <w:rFonts w:asciiTheme="majorHAnsi" w:hAnsiTheme="majorHAnsi"/>
          <w:b/>
          <w:sz w:val="20"/>
          <w:szCs w:val="20"/>
          <w:lang w:val="en-US"/>
        </w:rPr>
      </w:pPr>
    </w:p>
    <w:p w14:paraId="4FEB4005" w14:textId="77777777" w:rsidR="006868BB" w:rsidRPr="00CF5DEA" w:rsidRDefault="006868BB" w:rsidP="006868BB">
      <w:pPr>
        <w:rPr>
          <w:rFonts w:asciiTheme="majorHAnsi" w:hAnsiTheme="majorHAnsi"/>
          <w:b/>
          <w:sz w:val="20"/>
          <w:szCs w:val="20"/>
          <w:lang w:val="en-US"/>
        </w:rPr>
      </w:pPr>
    </w:p>
    <w:p w14:paraId="0F03D384" w14:textId="77777777" w:rsidR="006868BB" w:rsidRPr="00CF5DEA" w:rsidRDefault="006868BB" w:rsidP="006868BB">
      <w:pPr>
        <w:rPr>
          <w:rFonts w:asciiTheme="majorHAnsi" w:hAnsiTheme="majorHAnsi"/>
          <w:b/>
          <w:sz w:val="20"/>
          <w:szCs w:val="20"/>
          <w:lang w:val="en-US"/>
        </w:rPr>
      </w:pPr>
    </w:p>
    <w:p w14:paraId="20D61E4F" w14:textId="77777777" w:rsidR="006868BB" w:rsidRPr="00CF5DEA" w:rsidRDefault="006868BB" w:rsidP="006868BB">
      <w:pPr>
        <w:rPr>
          <w:rFonts w:asciiTheme="majorHAnsi" w:hAnsiTheme="majorHAnsi"/>
          <w:b/>
          <w:sz w:val="20"/>
          <w:szCs w:val="20"/>
          <w:lang w:val="en-US"/>
        </w:rPr>
      </w:pPr>
    </w:p>
    <w:p w14:paraId="51558EBF" w14:textId="77777777" w:rsidR="006868BB" w:rsidRPr="00CF5DEA" w:rsidRDefault="006868BB" w:rsidP="006868BB">
      <w:pPr>
        <w:rPr>
          <w:rFonts w:asciiTheme="majorHAnsi" w:hAnsiTheme="majorHAnsi"/>
          <w:b/>
          <w:sz w:val="20"/>
          <w:szCs w:val="20"/>
          <w:lang w:val="en-US"/>
        </w:rPr>
      </w:pPr>
    </w:p>
    <w:p w14:paraId="5A520B41" w14:textId="77777777" w:rsidR="006868BB" w:rsidRPr="00CF5DEA" w:rsidRDefault="006868BB" w:rsidP="006868BB">
      <w:pPr>
        <w:rPr>
          <w:rFonts w:asciiTheme="majorHAnsi" w:hAnsiTheme="majorHAnsi"/>
          <w:b/>
          <w:sz w:val="20"/>
          <w:szCs w:val="20"/>
          <w:lang w:val="en-US"/>
        </w:rPr>
      </w:pPr>
    </w:p>
    <w:p w14:paraId="18869C99" w14:textId="77777777" w:rsidR="006868BB" w:rsidRPr="00CF5DEA" w:rsidRDefault="006868BB" w:rsidP="006868BB">
      <w:pPr>
        <w:rPr>
          <w:rFonts w:asciiTheme="majorHAnsi" w:hAnsiTheme="majorHAnsi"/>
          <w:b/>
          <w:sz w:val="20"/>
          <w:szCs w:val="20"/>
          <w:lang w:val="en-US"/>
        </w:rPr>
      </w:pPr>
    </w:p>
    <w:p w14:paraId="7F326734" w14:textId="77777777" w:rsidR="006868BB" w:rsidRPr="00CF5DEA" w:rsidRDefault="006868BB" w:rsidP="006868BB">
      <w:pPr>
        <w:rPr>
          <w:rFonts w:asciiTheme="majorHAnsi" w:hAnsiTheme="majorHAnsi"/>
          <w:b/>
          <w:sz w:val="20"/>
          <w:szCs w:val="20"/>
          <w:lang w:val="en-US"/>
        </w:rPr>
      </w:pPr>
    </w:p>
    <w:p w14:paraId="76667C91" w14:textId="77777777" w:rsidR="006868BB" w:rsidRPr="00CF5DEA" w:rsidRDefault="006868BB" w:rsidP="006868BB">
      <w:pPr>
        <w:rPr>
          <w:rFonts w:asciiTheme="majorHAnsi" w:hAnsiTheme="majorHAnsi"/>
          <w:b/>
          <w:u w:val="single"/>
          <w:lang w:val="en-US"/>
        </w:rPr>
      </w:pPr>
      <w:r w:rsidRPr="00CF5DEA">
        <w:rPr>
          <w:rFonts w:asciiTheme="majorHAnsi" w:hAnsiTheme="majorHAnsi"/>
          <w:b/>
          <w:u w:val="single"/>
          <w:lang w:val="en-US"/>
        </w:rPr>
        <w:lastRenderedPageBreak/>
        <w:t>Exercise 2: Expense and prepayment (3 points)</w:t>
      </w:r>
    </w:p>
    <w:p w14:paraId="54C5AB87" w14:textId="77777777" w:rsidR="006868BB" w:rsidRPr="00CF5DEA" w:rsidRDefault="006868BB" w:rsidP="00D73007">
      <w:pPr>
        <w:jc w:val="both"/>
        <w:rPr>
          <w:rFonts w:asciiTheme="majorHAnsi" w:hAnsiTheme="majorHAnsi"/>
          <w:lang w:val="en-US"/>
        </w:rPr>
      </w:pPr>
      <w:r w:rsidRPr="00CF5DEA">
        <w:rPr>
          <w:rFonts w:asciiTheme="majorHAnsi" w:hAnsiTheme="majorHAnsi"/>
          <w:lang w:val="en-US"/>
        </w:rPr>
        <w:t>During 20X7 Iris Co paid CU100,800 for factory rent for the period 1 August 20X7 to 28 February 20X9.</w:t>
      </w:r>
    </w:p>
    <w:p w14:paraId="3E5246C4" w14:textId="0A0F7F3F" w:rsidR="006868BB" w:rsidRPr="00CF5DEA" w:rsidRDefault="006868BB" w:rsidP="006868BB">
      <w:pPr>
        <w:rPr>
          <w:rFonts w:asciiTheme="majorHAnsi" w:hAnsiTheme="majorHAnsi"/>
          <w:b/>
          <w:lang w:val="en-US"/>
        </w:rPr>
      </w:pPr>
      <w:r w:rsidRPr="00CF5DEA">
        <w:rPr>
          <w:rFonts w:asciiTheme="majorHAnsi" w:hAnsiTheme="majorHAnsi"/>
          <w:b/>
          <w:lang w:val="en-US"/>
        </w:rPr>
        <w:t>What figure should appear for rental expense and prepayment for year ended 31 December 20X8?</w:t>
      </w:r>
    </w:p>
    <w:p w14:paraId="0F9137B5" w14:textId="5112C77C" w:rsidR="00251988" w:rsidRPr="00CF5DEA" w:rsidRDefault="00251988" w:rsidP="006868BB">
      <w:pPr>
        <w:rPr>
          <w:rFonts w:asciiTheme="majorHAnsi" w:hAnsiTheme="majorHAnsi"/>
          <w:b/>
          <w:lang w:val="en-US"/>
        </w:rPr>
      </w:pPr>
    </w:p>
    <w:p w14:paraId="587BCABE" w14:textId="1885E9D2" w:rsidR="00251988" w:rsidRPr="00CF5DEA" w:rsidRDefault="00251988" w:rsidP="006868BB">
      <w:pPr>
        <w:rPr>
          <w:rFonts w:asciiTheme="majorHAnsi" w:hAnsiTheme="majorHAnsi"/>
          <w:b/>
          <w:lang w:val="en-US"/>
        </w:rPr>
      </w:pPr>
    </w:p>
    <w:p w14:paraId="6467DB2E" w14:textId="7F504EE5" w:rsidR="00D73007" w:rsidRPr="00CF5DEA" w:rsidRDefault="00D73007" w:rsidP="006868BB">
      <w:pPr>
        <w:rPr>
          <w:rFonts w:asciiTheme="majorHAnsi" w:hAnsiTheme="majorHAnsi"/>
          <w:b/>
          <w:lang w:val="en-US"/>
        </w:rPr>
      </w:pPr>
    </w:p>
    <w:p w14:paraId="46EFA991" w14:textId="7348FB9C" w:rsidR="00D73007" w:rsidRPr="00CF5DEA" w:rsidRDefault="00D73007" w:rsidP="006868BB">
      <w:pPr>
        <w:rPr>
          <w:rFonts w:asciiTheme="majorHAnsi" w:hAnsiTheme="majorHAnsi"/>
          <w:b/>
          <w:lang w:val="en-US"/>
        </w:rPr>
      </w:pPr>
    </w:p>
    <w:p w14:paraId="51E98B01" w14:textId="07867E9B" w:rsidR="00D73007" w:rsidRPr="00CF5DEA" w:rsidRDefault="00D73007" w:rsidP="006868BB">
      <w:pPr>
        <w:rPr>
          <w:rFonts w:asciiTheme="majorHAnsi" w:hAnsiTheme="majorHAnsi"/>
          <w:b/>
          <w:lang w:val="en-US"/>
        </w:rPr>
      </w:pPr>
    </w:p>
    <w:p w14:paraId="4DB3C099" w14:textId="03F08195" w:rsidR="00D73007" w:rsidRPr="00CF5DEA" w:rsidRDefault="00D73007" w:rsidP="006868BB">
      <w:pPr>
        <w:rPr>
          <w:rFonts w:asciiTheme="majorHAnsi" w:hAnsiTheme="majorHAnsi"/>
          <w:b/>
          <w:lang w:val="en-US"/>
        </w:rPr>
      </w:pPr>
    </w:p>
    <w:p w14:paraId="3CA7D5FF" w14:textId="0DC95934" w:rsidR="00D73007" w:rsidRPr="00CF5DEA" w:rsidRDefault="00D73007" w:rsidP="006868BB">
      <w:pPr>
        <w:rPr>
          <w:rFonts w:asciiTheme="majorHAnsi" w:hAnsiTheme="majorHAnsi"/>
          <w:b/>
          <w:lang w:val="en-US"/>
        </w:rPr>
      </w:pPr>
    </w:p>
    <w:p w14:paraId="006FD0E6" w14:textId="5CADB316" w:rsidR="00D73007" w:rsidRPr="00CF5DEA" w:rsidRDefault="00D73007" w:rsidP="006868BB">
      <w:pPr>
        <w:rPr>
          <w:rFonts w:asciiTheme="majorHAnsi" w:hAnsiTheme="majorHAnsi"/>
          <w:b/>
          <w:lang w:val="en-US"/>
        </w:rPr>
      </w:pPr>
    </w:p>
    <w:p w14:paraId="0EBC414B" w14:textId="77777777" w:rsidR="00D73007" w:rsidRPr="00CF5DEA" w:rsidRDefault="00D73007" w:rsidP="006868BB">
      <w:pPr>
        <w:rPr>
          <w:rFonts w:asciiTheme="majorHAnsi" w:hAnsiTheme="majorHAnsi"/>
          <w:b/>
          <w:lang w:val="en-US"/>
        </w:rPr>
      </w:pPr>
    </w:p>
    <w:p w14:paraId="7571962E" w14:textId="77777777" w:rsidR="006868BB" w:rsidRPr="00CF5DEA" w:rsidRDefault="006868BB" w:rsidP="006868BB">
      <w:pPr>
        <w:pStyle w:val="NoSpacing"/>
        <w:rPr>
          <w:lang w:val="en-US"/>
        </w:rPr>
      </w:pPr>
    </w:p>
    <w:p w14:paraId="7CA44CDF" w14:textId="67218135" w:rsidR="00AD6E0E" w:rsidRPr="00CF5DEA" w:rsidRDefault="00AD6E0E" w:rsidP="00AD6E0E">
      <w:pPr>
        <w:rPr>
          <w:rFonts w:asciiTheme="majorHAnsi" w:hAnsiTheme="majorHAnsi"/>
          <w:b/>
          <w:u w:val="single"/>
          <w:lang w:val="en-US"/>
        </w:rPr>
      </w:pPr>
      <w:r w:rsidRPr="00CF5DEA">
        <w:rPr>
          <w:rFonts w:asciiTheme="majorHAnsi" w:hAnsiTheme="majorHAnsi"/>
          <w:b/>
          <w:u w:val="single"/>
          <w:lang w:val="en-US"/>
        </w:rPr>
        <w:t>Exercise 3: Expense and prepayment (3 points)</w:t>
      </w:r>
    </w:p>
    <w:p w14:paraId="60B5C22F" w14:textId="46260D0F" w:rsidR="006868BB" w:rsidRPr="00CF5DEA" w:rsidRDefault="00AD6E0E" w:rsidP="00D73007">
      <w:pPr>
        <w:jc w:val="both"/>
        <w:rPr>
          <w:rFonts w:asciiTheme="majorHAnsi" w:hAnsiTheme="majorHAnsi"/>
          <w:lang w:val="en-US"/>
        </w:rPr>
      </w:pPr>
      <w:r w:rsidRPr="00CF5DEA">
        <w:rPr>
          <w:rFonts w:asciiTheme="majorHAnsi" w:hAnsiTheme="majorHAnsi"/>
          <w:lang w:val="en-US"/>
        </w:rPr>
        <w:t>At 30 April 20X6 accrued electricity was CU500. During the year ended 30 April 20X7 invoices received for electricity amounted to CU3,000, including an invoice for CU450 for the quarter ended 30 June 20X7.</w:t>
      </w:r>
    </w:p>
    <w:p w14:paraId="14BDD854" w14:textId="3A091868" w:rsidR="00AD6E0E" w:rsidRPr="00CF5DEA" w:rsidRDefault="00AD6E0E" w:rsidP="00D73007">
      <w:pPr>
        <w:jc w:val="both"/>
        <w:rPr>
          <w:rFonts w:asciiTheme="majorHAnsi" w:hAnsiTheme="majorHAnsi"/>
          <w:b/>
          <w:bCs/>
          <w:lang w:val="en-US"/>
        </w:rPr>
      </w:pPr>
      <w:r w:rsidRPr="00CF5DEA">
        <w:rPr>
          <w:rFonts w:asciiTheme="majorHAnsi" w:hAnsiTheme="majorHAnsi"/>
          <w:b/>
          <w:bCs/>
          <w:lang w:val="en-US"/>
        </w:rPr>
        <w:t xml:space="preserve">What </w:t>
      </w:r>
      <w:proofErr w:type="gramStart"/>
      <w:r w:rsidRPr="00CF5DEA">
        <w:rPr>
          <w:rFonts w:asciiTheme="majorHAnsi" w:hAnsiTheme="majorHAnsi"/>
          <w:b/>
          <w:bCs/>
          <w:lang w:val="en-US"/>
        </w:rPr>
        <w:t>is</w:t>
      </w:r>
      <w:proofErr w:type="gramEnd"/>
      <w:r w:rsidRPr="00CF5DEA">
        <w:rPr>
          <w:rFonts w:asciiTheme="majorHAnsi" w:hAnsiTheme="majorHAnsi"/>
          <w:b/>
          <w:bCs/>
          <w:lang w:val="en-US"/>
        </w:rPr>
        <w:t xml:space="preserve"> the correct electricity expenses to include for the year ended 30 April 20X7?</w:t>
      </w:r>
    </w:p>
    <w:p w14:paraId="09FA33B0" w14:textId="564C4E54" w:rsidR="00AD6E0E" w:rsidRPr="00CF5DEA" w:rsidRDefault="00AD6E0E" w:rsidP="006868BB">
      <w:pPr>
        <w:pStyle w:val="NoSpacing"/>
        <w:rPr>
          <w:lang w:val="en-US"/>
        </w:rPr>
      </w:pPr>
    </w:p>
    <w:p w14:paraId="4865CE5F" w14:textId="04AAF4E6" w:rsidR="00373217" w:rsidRPr="00CF5DEA" w:rsidRDefault="00373217" w:rsidP="006868BB">
      <w:pPr>
        <w:pStyle w:val="NoSpacing"/>
        <w:rPr>
          <w:lang w:val="en-US"/>
        </w:rPr>
      </w:pPr>
    </w:p>
    <w:p w14:paraId="2D81BBA0" w14:textId="6507B912" w:rsidR="00373217" w:rsidRPr="00CF5DEA" w:rsidRDefault="00373217" w:rsidP="006868BB">
      <w:pPr>
        <w:pStyle w:val="NoSpacing"/>
        <w:rPr>
          <w:lang w:val="en-US"/>
        </w:rPr>
      </w:pPr>
    </w:p>
    <w:p w14:paraId="7453E078" w14:textId="50D7623D" w:rsidR="00373217" w:rsidRPr="00CF5DEA" w:rsidRDefault="00373217" w:rsidP="006868BB">
      <w:pPr>
        <w:pStyle w:val="NoSpacing"/>
        <w:rPr>
          <w:lang w:val="en-US"/>
        </w:rPr>
      </w:pPr>
    </w:p>
    <w:p w14:paraId="71E0A7BB" w14:textId="528FAE83" w:rsidR="00373217" w:rsidRPr="00CF5DEA" w:rsidRDefault="00373217" w:rsidP="006868BB">
      <w:pPr>
        <w:pStyle w:val="NoSpacing"/>
        <w:rPr>
          <w:lang w:val="en-US"/>
        </w:rPr>
      </w:pPr>
    </w:p>
    <w:p w14:paraId="6D26C1E9" w14:textId="02E9FE2F" w:rsidR="00373217" w:rsidRPr="00CF5DEA" w:rsidRDefault="00373217" w:rsidP="006868BB">
      <w:pPr>
        <w:pStyle w:val="NoSpacing"/>
        <w:rPr>
          <w:lang w:val="en-US"/>
        </w:rPr>
      </w:pPr>
    </w:p>
    <w:p w14:paraId="65C91256" w14:textId="6DD14F19" w:rsidR="00373217" w:rsidRPr="00CF5DEA" w:rsidRDefault="00373217" w:rsidP="006868BB">
      <w:pPr>
        <w:pStyle w:val="NoSpacing"/>
        <w:rPr>
          <w:lang w:val="en-US"/>
        </w:rPr>
      </w:pPr>
    </w:p>
    <w:p w14:paraId="11D46B78" w14:textId="1D2B97F6" w:rsidR="00373217" w:rsidRPr="00CF5DEA" w:rsidRDefault="00373217" w:rsidP="006868BB">
      <w:pPr>
        <w:pStyle w:val="NoSpacing"/>
        <w:rPr>
          <w:lang w:val="en-US"/>
        </w:rPr>
      </w:pPr>
    </w:p>
    <w:p w14:paraId="2C718924" w14:textId="1AA6FC94" w:rsidR="00373217" w:rsidRPr="00CF5DEA" w:rsidRDefault="00373217" w:rsidP="006868BB">
      <w:pPr>
        <w:pStyle w:val="NoSpacing"/>
        <w:rPr>
          <w:lang w:val="en-US"/>
        </w:rPr>
      </w:pPr>
    </w:p>
    <w:p w14:paraId="13346CB8" w14:textId="5D3B9619" w:rsidR="00373217" w:rsidRPr="00CF5DEA" w:rsidRDefault="00373217" w:rsidP="006868BB">
      <w:pPr>
        <w:pStyle w:val="NoSpacing"/>
        <w:rPr>
          <w:lang w:val="en-US"/>
        </w:rPr>
      </w:pPr>
    </w:p>
    <w:p w14:paraId="51FA3351" w14:textId="068F9C65" w:rsidR="00373217" w:rsidRPr="00CF5DEA" w:rsidRDefault="00373217" w:rsidP="006868BB">
      <w:pPr>
        <w:pStyle w:val="NoSpacing"/>
        <w:rPr>
          <w:lang w:val="en-US"/>
        </w:rPr>
      </w:pPr>
    </w:p>
    <w:p w14:paraId="4E6F8CBB" w14:textId="2876CB0F" w:rsidR="00373217" w:rsidRPr="00CF5DEA" w:rsidRDefault="00373217" w:rsidP="006868BB">
      <w:pPr>
        <w:pStyle w:val="NoSpacing"/>
        <w:rPr>
          <w:lang w:val="en-US"/>
        </w:rPr>
      </w:pPr>
    </w:p>
    <w:p w14:paraId="7058D237" w14:textId="1A858B08" w:rsidR="00373217" w:rsidRPr="00CF5DEA" w:rsidRDefault="00373217" w:rsidP="006868BB">
      <w:pPr>
        <w:pStyle w:val="NoSpacing"/>
        <w:rPr>
          <w:lang w:val="en-US"/>
        </w:rPr>
      </w:pPr>
    </w:p>
    <w:p w14:paraId="10337FE9" w14:textId="22BEC47F" w:rsidR="00373217" w:rsidRPr="00CF5DEA" w:rsidRDefault="00373217" w:rsidP="006868BB">
      <w:pPr>
        <w:pStyle w:val="NoSpacing"/>
        <w:rPr>
          <w:lang w:val="en-US"/>
        </w:rPr>
      </w:pPr>
    </w:p>
    <w:p w14:paraId="0B84EE1E" w14:textId="05AFAE4C" w:rsidR="00373217" w:rsidRPr="00CF5DEA" w:rsidRDefault="00373217" w:rsidP="006868BB">
      <w:pPr>
        <w:pStyle w:val="NoSpacing"/>
        <w:rPr>
          <w:lang w:val="en-US"/>
        </w:rPr>
      </w:pPr>
    </w:p>
    <w:p w14:paraId="3FBE5255" w14:textId="03694D9E" w:rsidR="00373217" w:rsidRPr="00CF5DEA" w:rsidRDefault="00373217" w:rsidP="006868BB">
      <w:pPr>
        <w:pStyle w:val="NoSpacing"/>
        <w:rPr>
          <w:lang w:val="en-US"/>
        </w:rPr>
      </w:pPr>
    </w:p>
    <w:p w14:paraId="79D3457E" w14:textId="391DDB39" w:rsidR="00373217" w:rsidRPr="00CF5DEA" w:rsidRDefault="00373217" w:rsidP="006868BB">
      <w:pPr>
        <w:pStyle w:val="NoSpacing"/>
        <w:rPr>
          <w:lang w:val="en-US"/>
        </w:rPr>
      </w:pPr>
    </w:p>
    <w:p w14:paraId="496FFBA3" w14:textId="68158590" w:rsidR="00373217" w:rsidRPr="00CF5DEA" w:rsidRDefault="00373217" w:rsidP="006868BB">
      <w:pPr>
        <w:pStyle w:val="NoSpacing"/>
        <w:rPr>
          <w:lang w:val="en-US"/>
        </w:rPr>
      </w:pPr>
    </w:p>
    <w:p w14:paraId="1CB1CDFD" w14:textId="6C38333B" w:rsidR="00373217" w:rsidRPr="00CF5DEA" w:rsidRDefault="00373217" w:rsidP="006868BB">
      <w:pPr>
        <w:pStyle w:val="NoSpacing"/>
        <w:rPr>
          <w:lang w:val="en-US"/>
        </w:rPr>
      </w:pPr>
    </w:p>
    <w:p w14:paraId="431253D9" w14:textId="31277796" w:rsidR="00373217" w:rsidRPr="00CF5DEA" w:rsidRDefault="00373217" w:rsidP="006868BB">
      <w:pPr>
        <w:pStyle w:val="NoSpacing"/>
        <w:rPr>
          <w:lang w:val="en-US"/>
        </w:rPr>
      </w:pPr>
    </w:p>
    <w:p w14:paraId="52238178" w14:textId="372AB97A" w:rsidR="00373217" w:rsidRPr="00CF5DEA" w:rsidRDefault="00373217" w:rsidP="006868BB">
      <w:pPr>
        <w:pStyle w:val="NoSpacing"/>
        <w:rPr>
          <w:lang w:val="en-US"/>
        </w:rPr>
      </w:pPr>
    </w:p>
    <w:p w14:paraId="7D1A51D6" w14:textId="75C27ABF" w:rsidR="00373217" w:rsidRPr="00CF5DEA" w:rsidRDefault="00373217" w:rsidP="006868BB">
      <w:pPr>
        <w:pStyle w:val="NoSpacing"/>
        <w:rPr>
          <w:lang w:val="en-US"/>
        </w:rPr>
      </w:pPr>
    </w:p>
    <w:p w14:paraId="40EBE2E7" w14:textId="346C98F3" w:rsidR="00373217" w:rsidRPr="00CF5DEA" w:rsidRDefault="00373217" w:rsidP="006868BB">
      <w:pPr>
        <w:pStyle w:val="NoSpacing"/>
        <w:rPr>
          <w:lang w:val="en-US"/>
        </w:rPr>
      </w:pPr>
    </w:p>
    <w:p w14:paraId="089C2DD9" w14:textId="15898B9D" w:rsidR="00373217" w:rsidRPr="00CF5DEA" w:rsidRDefault="00373217" w:rsidP="00373217">
      <w:pPr>
        <w:jc w:val="both"/>
        <w:rPr>
          <w:rFonts w:asciiTheme="majorHAnsi" w:hAnsiTheme="majorHAnsi"/>
          <w:b/>
          <w:u w:val="single"/>
          <w:lang w:val="en-US"/>
        </w:rPr>
      </w:pPr>
      <w:r w:rsidRPr="00CF5DEA">
        <w:rPr>
          <w:rFonts w:asciiTheme="majorHAnsi" w:hAnsiTheme="majorHAnsi"/>
          <w:b/>
          <w:u w:val="single"/>
          <w:lang w:val="en-US"/>
        </w:rPr>
        <w:lastRenderedPageBreak/>
        <w:t xml:space="preserve">Exercise 4: Compile consolidated statement of financial position </w:t>
      </w:r>
      <w:r w:rsidR="00021061" w:rsidRPr="00CF5DEA">
        <w:rPr>
          <w:rFonts w:asciiTheme="majorHAnsi" w:hAnsiTheme="majorHAnsi"/>
          <w:b/>
          <w:u w:val="single"/>
          <w:lang w:val="en-US"/>
        </w:rPr>
        <w:t>(</w:t>
      </w:r>
      <w:r w:rsidR="00D73007" w:rsidRPr="00CF5DEA">
        <w:rPr>
          <w:rFonts w:asciiTheme="majorHAnsi" w:hAnsiTheme="majorHAnsi"/>
          <w:b/>
          <w:u w:val="single"/>
          <w:lang w:val="en-US"/>
        </w:rPr>
        <w:t>3 points)</w:t>
      </w:r>
    </w:p>
    <w:tbl>
      <w:tblPr>
        <w:tblW w:w="11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04"/>
        <w:gridCol w:w="2304"/>
        <w:gridCol w:w="2304"/>
      </w:tblGrid>
      <w:tr w:rsidR="00373217" w:rsidRPr="00CF5DEA" w14:paraId="58B69B23" w14:textId="77777777" w:rsidTr="00373217">
        <w:trPr>
          <w:trHeight w:val="560"/>
        </w:trPr>
        <w:tc>
          <w:tcPr>
            <w:tcW w:w="11011" w:type="dxa"/>
            <w:gridSpan w:val="4"/>
            <w:shd w:val="clear" w:color="auto" w:fill="auto"/>
            <w:vAlign w:val="center"/>
            <w:hideMark/>
          </w:tcPr>
          <w:p w14:paraId="6A978BC3" w14:textId="77777777" w:rsidR="00373217" w:rsidRPr="00CF5DEA" w:rsidRDefault="00373217" w:rsidP="009C6172">
            <w:pPr>
              <w:spacing w:after="0" w:line="240" w:lineRule="auto"/>
              <w:jc w:val="center"/>
              <w:rPr>
                <w:rFonts w:asciiTheme="majorHAnsi" w:eastAsia="Times New Roman" w:hAnsiTheme="majorHAnsi" w:cs="Calibri"/>
                <w:b/>
                <w:bCs/>
                <w:color w:val="000000"/>
                <w:lang w:val="en-US"/>
              </w:rPr>
            </w:pPr>
          </w:p>
          <w:p w14:paraId="52D99EF1" w14:textId="6527D71D" w:rsidR="00373217" w:rsidRPr="00CF5DEA" w:rsidRDefault="00373217" w:rsidP="009C6172">
            <w:pPr>
              <w:jc w:val="center"/>
              <w:rPr>
                <w:rFonts w:asciiTheme="majorHAnsi" w:hAnsiTheme="majorHAnsi"/>
                <w:b/>
                <w:lang w:val="en-US"/>
              </w:rPr>
            </w:pPr>
            <w:r w:rsidRPr="00CF5DEA">
              <w:rPr>
                <w:rFonts w:asciiTheme="majorHAnsi" w:hAnsiTheme="majorHAnsi"/>
                <w:b/>
                <w:lang w:val="en-US"/>
              </w:rPr>
              <w:t xml:space="preserve">Parent acquires </w:t>
            </w:r>
            <w:r w:rsidR="00CA0D07" w:rsidRPr="00CF5DEA">
              <w:rPr>
                <w:rFonts w:asciiTheme="majorHAnsi" w:hAnsiTheme="majorHAnsi"/>
                <w:b/>
                <w:lang w:val="en-US"/>
              </w:rPr>
              <w:t>80</w:t>
            </w:r>
            <w:r w:rsidRPr="00CF5DEA">
              <w:rPr>
                <w:rFonts w:asciiTheme="majorHAnsi" w:hAnsiTheme="majorHAnsi"/>
                <w:b/>
                <w:lang w:val="en-US"/>
              </w:rPr>
              <w:t>% of subsidiary on January 1, 201</w:t>
            </w:r>
            <w:r w:rsidR="00CB5B46" w:rsidRPr="00CF5DEA">
              <w:rPr>
                <w:rFonts w:asciiTheme="majorHAnsi" w:hAnsiTheme="majorHAnsi"/>
                <w:b/>
                <w:lang w:val="en-US"/>
              </w:rPr>
              <w:t>9</w:t>
            </w:r>
            <w:r w:rsidRPr="00CF5DEA">
              <w:rPr>
                <w:rFonts w:asciiTheme="majorHAnsi" w:hAnsiTheme="majorHAnsi"/>
                <w:b/>
                <w:lang w:val="en-US"/>
              </w:rPr>
              <w:t>. Group year-end is December 31, 201</w:t>
            </w:r>
            <w:r w:rsidR="00CB5B46" w:rsidRPr="00CF5DEA">
              <w:rPr>
                <w:rFonts w:asciiTheme="majorHAnsi" w:hAnsiTheme="majorHAnsi"/>
                <w:b/>
                <w:lang w:val="en-US"/>
              </w:rPr>
              <w:t>9</w:t>
            </w:r>
          </w:p>
          <w:p w14:paraId="01B35AFF" w14:textId="77777777" w:rsidR="00373217" w:rsidRPr="00CF5DEA" w:rsidRDefault="00373217" w:rsidP="009C6172">
            <w:pPr>
              <w:jc w:val="center"/>
              <w:rPr>
                <w:rFonts w:asciiTheme="majorHAnsi" w:hAnsiTheme="majorHAnsi"/>
                <w:b/>
                <w:i/>
                <w:lang w:val="en-US"/>
              </w:rPr>
            </w:pPr>
            <w:r w:rsidRPr="00CF5DEA">
              <w:rPr>
                <w:rFonts w:asciiTheme="majorHAnsi" w:hAnsiTheme="majorHAnsi"/>
                <w:b/>
                <w:lang w:val="en-US"/>
              </w:rPr>
              <w:t xml:space="preserve">Goodwill = </w:t>
            </w:r>
            <w:r w:rsidRPr="00CF5DEA">
              <w:rPr>
                <w:rFonts w:asciiTheme="majorHAnsi" w:hAnsiTheme="majorHAnsi"/>
                <w:b/>
                <w:i/>
                <w:lang w:val="en-US"/>
              </w:rPr>
              <w:t>…</w:t>
            </w:r>
            <w:r w:rsidRPr="00CF5DEA">
              <w:rPr>
                <w:rFonts w:asciiTheme="majorHAnsi" w:eastAsia="Times New Roman" w:hAnsiTheme="majorHAnsi" w:cs="Calibri"/>
                <w:b/>
                <w:bCs/>
                <w:color w:val="000000"/>
                <w:lang w:val="en-US"/>
              </w:rPr>
              <w:t xml:space="preserve">    </w:t>
            </w:r>
          </w:p>
        </w:tc>
      </w:tr>
      <w:tr w:rsidR="00373217" w:rsidRPr="00CF5DEA" w14:paraId="7190752A" w14:textId="77777777" w:rsidTr="00CB5B46">
        <w:trPr>
          <w:trHeight w:val="500"/>
        </w:trPr>
        <w:tc>
          <w:tcPr>
            <w:tcW w:w="4099" w:type="dxa"/>
            <w:shd w:val="clear" w:color="auto" w:fill="auto"/>
            <w:noWrap/>
            <w:vAlign w:val="center"/>
            <w:hideMark/>
          </w:tcPr>
          <w:p w14:paraId="706A77E3" w14:textId="77777777" w:rsidR="00373217" w:rsidRPr="00CF5DEA" w:rsidRDefault="00373217" w:rsidP="00CB5B46">
            <w:pPr>
              <w:spacing w:after="0" w:line="240" w:lineRule="auto"/>
              <w:jc w:val="center"/>
              <w:rPr>
                <w:rFonts w:asciiTheme="majorHAnsi" w:eastAsia="Times New Roman" w:hAnsiTheme="majorHAnsi" w:cs="Calibri"/>
                <w:b/>
                <w:color w:val="000000"/>
                <w:lang w:val="en-US"/>
              </w:rPr>
            </w:pPr>
            <w:r w:rsidRPr="00CF5DEA">
              <w:rPr>
                <w:rFonts w:asciiTheme="majorHAnsi" w:eastAsia="Times New Roman" w:hAnsiTheme="majorHAnsi" w:cs="Calibri"/>
                <w:b/>
                <w:color w:val="000000"/>
                <w:lang w:val="en-US"/>
              </w:rPr>
              <w:t>Item</w:t>
            </w:r>
          </w:p>
        </w:tc>
        <w:tc>
          <w:tcPr>
            <w:tcW w:w="2304" w:type="dxa"/>
            <w:shd w:val="clear" w:color="auto" w:fill="auto"/>
            <w:noWrap/>
            <w:vAlign w:val="center"/>
          </w:tcPr>
          <w:p w14:paraId="1C2E55E8" w14:textId="486655FB" w:rsidR="00373217" w:rsidRPr="00CF5DEA" w:rsidRDefault="00373217"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Parent</w:t>
            </w:r>
            <w:r w:rsidR="00CB5B46" w:rsidRPr="00CF5DEA">
              <w:rPr>
                <w:rFonts w:asciiTheme="majorHAnsi" w:eastAsia="Times New Roman" w:hAnsiTheme="majorHAnsi" w:cs="Calibri"/>
                <w:color w:val="000000"/>
                <w:lang w:val="en-US"/>
              </w:rPr>
              <w:t>’s statement of fin position (in CU)</w:t>
            </w:r>
          </w:p>
          <w:p w14:paraId="38A259E2" w14:textId="512D56BB" w:rsidR="00373217" w:rsidRPr="00CF5DEA" w:rsidRDefault="00373217"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at fair value as per Dec 31, 201</w:t>
            </w:r>
            <w:r w:rsidR="00CB5B46" w:rsidRPr="00CF5DEA">
              <w:rPr>
                <w:rFonts w:asciiTheme="majorHAnsi" w:eastAsia="Times New Roman" w:hAnsiTheme="majorHAnsi" w:cs="Calibri"/>
                <w:color w:val="000000"/>
                <w:lang w:val="en-US"/>
              </w:rPr>
              <w:t>9</w:t>
            </w:r>
          </w:p>
        </w:tc>
        <w:tc>
          <w:tcPr>
            <w:tcW w:w="2304" w:type="dxa"/>
            <w:shd w:val="clear" w:color="auto" w:fill="auto"/>
            <w:noWrap/>
            <w:vAlign w:val="center"/>
          </w:tcPr>
          <w:p w14:paraId="21B1AB8E" w14:textId="61889E08" w:rsidR="00373217" w:rsidRPr="00CF5DEA" w:rsidRDefault="00373217"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Subsidiary</w:t>
            </w:r>
            <w:r w:rsidR="00CB5B46" w:rsidRPr="00CF5DEA">
              <w:rPr>
                <w:rFonts w:asciiTheme="majorHAnsi" w:eastAsia="Times New Roman" w:hAnsiTheme="majorHAnsi" w:cs="Calibri"/>
                <w:color w:val="000000"/>
                <w:lang w:val="en-US"/>
              </w:rPr>
              <w:t xml:space="preserve">’s statement of fin position (in </w:t>
            </w:r>
            <w:r w:rsidRPr="00CF5DEA">
              <w:rPr>
                <w:rFonts w:asciiTheme="majorHAnsi" w:eastAsia="Times New Roman" w:hAnsiTheme="majorHAnsi" w:cs="Calibri"/>
                <w:color w:val="000000"/>
                <w:lang w:val="en-US"/>
              </w:rPr>
              <w:t>CU</w:t>
            </w:r>
            <w:r w:rsidR="00CB5B46" w:rsidRPr="00CF5DEA">
              <w:rPr>
                <w:rFonts w:asciiTheme="majorHAnsi" w:eastAsia="Times New Roman" w:hAnsiTheme="majorHAnsi" w:cs="Calibri"/>
                <w:color w:val="000000"/>
                <w:lang w:val="en-US"/>
              </w:rPr>
              <w:t>)</w:t>
            </w:r>
          </w:p>
          <w:p w14:paraId="380F3A6E" w14:textId="440EC073" w:rsidR="00373217" w:rsidRPr="00CF5DEA" w:rsidRDefault="00373217"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at fair value as per Dec 31, 201</w:t>
            </w:r>
            <w:r w:rsidR="00CB5B46" w:rsidRPr="00CF5DEA">
              <w:rPr>
                <w:rFonts w:asciiTheme="majorHAnsi" w:eastAsia="Times New Roman" w:hAnsiTheme="majorHAnsi" w:cs="Calibri"/>
                <w:color w:val="000000"/>
                <w:lang w:val="en-US"/>
              </w:rPr>
              <w:t>9</w:t>
            </w:r>
          </w:p>
        </w:tc>
        <w:tc>
          <w:tcPr>
            <w:tcW w:w="2304" w:type="dxa"/>
            <w:shd w:val="clear" w:color="auto" w:fill="auto"/>
            <w:noWrap/>
            <w:vAlign w:val="center"/>
          </w:tcPr>
          <w:p w14:paraId="58B08434" w14:textId="14C19548" w:rsidR="00373217" w:rsidRPr="00CF5DEA" w:rsidRDefault="00CB5B46"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 xml:space="preserve">Group’s </w:t>
            </w:r>
            <w:r w:rsidR="00373217" w:rsidRPr="00CF5DEA">
              <w:rPr>
                <w:rFonts w:asciiTheme="majorHAnsi" w:eastAsia="Times New Roman" w:hAnsiTheme="majorHAnsi" w:cs="Calibri"/>
                <w:color w:val="000000"/>
                <w:lang w:val="en-US"/>
              </w:rPr>
              <w:t>statement of fin position</w:t>
            </w:r>
            <w:r w:rsidRPr="00CF5DEA">
              <w:rPr>
                <w:rFonts w:asciiTheme="majorHAnsi" w:eastAsia="Times New Roman" w:hAnsiTheme="majorHAnsi" w:cs="Calibri"/>
                <w:color w:val="000000"/>
                <w:lang w:val="en-US"/>
              </w:rPr>
              <w:t xml:space="preserve"> (in </w:t>
            </w:r>
            <w:r w:rsidR="00373217" w:rsidRPr="00CF5DEA">
              <w:rPr>
                <w:rFonts w:asciiTheme="majorHAnsi" w:eastAsia="Times New Roman" w:hAnsiTheme="majorHAnsi" w:cs="Calibri"/>
                <w:color w:val="000000"/>
                <w:lang w:val="en-US"/>
              </w:rPr>
              <w:t>CU</w:t>
            </w:r>
            <w:r w:rsidRPr="00CF5DEA">
              <w:rPr>
                <w:rFonts w:asciiTheme="majorHAnsi" w:eastAsia="Times New Roman" w:hAnsiTheme="majorHAnsi" w:cs="Calibri"/>
                <w:color w:val="000000"/>
                <w:lang w:val="en-US"/>
              </w:rPr>
              <w:t>)</w:t>
            </w:r>
          </w:p>
          <w:p w14:paraId="06CC9583" w14:textId="7EDB47B2" w:rsidR="00373217" w:rsidRPr="00CF5DEA" w:rsidRDefault="00373217"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at fair value as per Dec 31, 201</w:t>
            </w:r>
            <w:r w:rsidR="00CB5B46" w:rsidRPr="00CF5DEA">
              <w:rPr>
                <w:rFonts w:asciiTheme="majorHAnsi" w:eastAsia="Times New Roman" w:hAnsiTheme="majorHAnsi" w:cs="Calibri"/>
                <w:color w:val="000000"/>
                <w:lang w:val="en-US"/>
              </w:rPr>
              <w:t>9</w:t>
            </w:r>
          </w:p>
        </w:tc>
      </w:tr>
      <w:tr w:rsidR="00373217" w:rsidRPr="00CF5DEA" w14:paraId="49293C45" w14:textId="77777777" w:rsidTr="00373217">
        <w:trPr>
          <w:trHeight w:val="290"/>
        </w:trPr>
        <w:tc>
          <w:tcPr>
            <w:tcW w:w="4099" w:type="dxa"/>
            <w:shd w:val="clear" w:color="auto" w:fill="auto"/>
            <w:noWrap/>
            <w:vAlign w:val="bottom"/>
            <w:hideMark/>
          </w:tcPr>
          <w:p w14:paraId="4DEBBD66" w14:textId="77777777" w:rsidR="00373217" w:rsidRPr="00CF5DEA" w:rsidRDefault="00373217" w:rsidP="009C6172">
            <w:pPr>
              <w:spacing w:after="0" w:line="240" w:lineRule="auto"/>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Non-current tangible assets</w:t>
            </w:r>
          </w:p>
        </w:tc>
        <w:tc>
          <w:tcPr>
            <w:tcW w:w="2304" w:type="dxa"/>
            <w:shd w:val="clear" w:color="auto" w:fill="auto"/>
            <w:noWrap/>
            <w:vAlign w:val="bottom"/>
            <w:hideMark/>
          </w:tcPr>
          <w:p w14:paraId="67CDD6AE"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296,500</w:t>
            </w:r>
          </w:p>
        </w:tc>
        <w:tc>
          <w:tcPr>
            <w:tcW w:w="2304" w:type="dxa"/>
            <w:shd w:val="clear" w:color="auto" w:fill="auto"/>
            <w:noWrap/>
            <w:vAlign w:val="bottom"/>
            <w:hideMark/>
          </w:tcPr>
          <w:p w14:paraId="5EB1CF3D"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94,250</w:t>
            </w:r>
          </w:p>
        </w:tc>
        <w:tc>
          <w:tcPr>
            <w:tcW w:w="2304" w:type="dxa"/>
            <w:shd w:val="clear" w:color="auto" w:fill="auto"/>
            <w:noWrap/>
            <w:vAlign w:val="bottom"/>
          </w:tcPr>
          <w:p w14:paraId="666844EE" w14:textId="6A45A222" w:rsidR="00373217" w:rsidRPr="00CF5DEA" w:rsidRDefault="00D73007" w:rsidP="00D73007">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w:t>
            </w:r>
          </w:p>
        </w:tc>
      </w:tr>
      <w:tr w:rsidR="00373217" w:rsidRPr="00CF5DEA" w14:paraId="2C5F7A55" w14:textId="77777777" w:rsidTr="00373217">
        <w:trPr>
          <w:trHeight w:val="290"/>
        </w:trPr>
        <w:tc>
          <w:tcPr>
            <w:tcW w:w="4099" w:type="dxa"/>
            <w:shd w:val="clear" w:color="auto" w:fill="auto"/>
            <w:noWrap/>
            <w:vAlign w:val="bottom"/>
            <w:hideMark/>
          </w:tcPr>
          <w:p w14:paraId="4DFA0CCA" w14:textId="77777777" w:rsidR="00373217" w:rsidRPr="00CF5DEA" w:rsidRDefault="00373217" w:rsidP="009C6172">
            <w:pPr>
              <w:spacing w:after="0" w:line="240" w:lineRule="auto"/>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Consideration transferred (acquisition cost) by Parent (P)</w:t>
            </w:r>
          </w:p>
        </w:tc>
        <w:tc>
          <w:tcPr>
            <w:tcW w:w="2304" w:type="dxa"/>
            <w:shd w:val="clear" w:color="auto" w:fill="auto"/>
            <w:noWrap/>
            <w:vAlign w:val="bottom"/>
            <w:hideMark/>
          </w:tcPr>
          <w:p w14:paraId="0CC9868A"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184,000</w:t>
            </w:r>
          </w:p>
        </w:tc>
        <w:tc>
          <w:tcPr>
            <w:tcW w:w="2304" w:type="dxa"/>
            <w:shd w:val="clear" w:color="auto" w:fill="auto"/>
            <w:noWrap/>
            <w:vAlign w:val="bottom"/>
            <w:hideMark/>
          </w:tcPr>
          <w:p w14:paraId="2A3B17DA"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p>
        </w:tc>
        <w:tc>
          <w:tcPr>
            <w:tcW w:w="2304" w:type="dxa"/>
            <w:shd w:val="clear" w:color="auto" w:fill="auto"/>
            <w:noWrap/>
            <w:vAlign w:val="bottom"/>
          </w:tcPr>
          <w:p w14:paraId="380ED71E" w14:textId="10CFBAB1" w:rsidR="00373217" w:rsidRPr="00CF5DEA" w:rsidRDefault="00D73007" w:rsidP="00D73007">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w:t>
            </w:r>
          </w:p>
        </w:tc>
      </w:tr>
      <w:tr w:rsidR="00373217" w:rsidRPr="00CF5DEA" w14:paraId="1555E6BF" w14:textId="77777777" w:rsidTr="00373217">
        <w:trPr>
          <w:trHeight w:val="290"/>
        </w:trPr>
        <w:tc>
          <w:tcPr>
            <w:tcW w:w="4099" w:type="dxa"/>
            <w:shd w:val="clear" w:color="auto" w:fill="auto"/>
            <w:noWrap/>
            <w:vAlign w:val="bottom"/>
            <w:hideMark/>
          </w:tcPr>
          <w:p w14:paraId="65E4DFF3" w14:textId="77777777" w:rsidR="00373217" w:rsidRPr="00CF5DEA" w:rsidRDefault="00373217" w:rsidP="009C6172">
            <w:pPr>
              <w:spacing w:after="0" w:line="240" w:lineRule="auto"/>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Goodwill</w:t>
            </w:r>
          </w:p>
        </w:tc>
        <w:tc>
          <w:tcPr>
            <w:tcW w:w="2304" w:type="dxa"/>
            <w:shd w:val="clear" w:color="auto" w:fill="auto"/>
            <w:noWrap/>
            <w:vAlign w:val="bottom"/>
            <w:hideMark/>
          </w:tcPr>
          <w:p w14:paraId="18705BA6"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p>
        </w:tc>
        <w:tc>
          <w:tcPr>
            <w:tcW w:w="2304" w:type="dxa"/>
            <w:shd w:val="clear" w:color="auto" w:fill="auto"/>
            <w:noWrap/>
            <w:vAlign w:val="bottom"/>
            <w:hideMark/>
          </w:tcPr>
          <w:p w14:paraId="2978B823"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p>
        </w:tc>
        <w:tc>
          <w:tcPr>
            <w:tcW w:w="2304" w:type="dxa"/>
            <w:shd w:val="clear" w:color="auto" w:fill="auto"/>
            <w:noWrap/>
            <w:vAlign w:val="bottom"/>
          </w:tcPr>
          <w:p w14:paraId="173CDF79" w14:textId="2F3C6868" w:rsidR="00373217" w:rsidRPr="00CF5DEA" w:rsidRDefault="00D73007" w:rsidP="00D73007">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w:t>
            </w:r>
          </w:p>
        </w:tc>
      </w:tr>
      <w:tr w:rsidR="00373217" w:rsidRPr="00CF5DEA" w14:paraId="7784C2E5" w14:textId="77777777" w:rsidTr="00373217">
        <w:trPr>
          <w:trHeight w:val="290"/>
        </w:trPr>
        <w:tc>
          <w:tcPr>
            <w:tcW w:w="4099" w:type="dxa"/>
            <w:shd w:val="clear" w:color="auto" w:fill="auto"/>
            <w:noWrap/>
            <w:vAlign w:val="bottom"/>
            <w:hideMark/>
          </w:tcPr>
          <w:p w14:paraId="1B81F34C" w14:textId="77777777" w:rsidR="00373217" w:rsidRPr="00CF5DEA" w:rsidRDefault="00373217" w:rsidP="009C6172">
            <w:pPr>
              <w:spacing w:after="0" w:line="240" w:lineRule="auto"/>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Current assets</w:t>
            </w:r>
          </w:p>
        </w:tc>
        <w:tc>
          <w:tcPr>
            <w:tcW w:w="2304" w:type="dxa"/>
            <w:shd w:val="clear" w:color="auto" w:fill="auto"/>
            <w:noWrap/>
            <w:vAlign w:val="bottom"/>
            <w:hideMark/>
          </w:tcPr>
          <w:p w14:paraId="635F7024"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115,000</w:t>
            </w:r>
          </w:p>
        </w:tc>
        <w:tc>
          <w:tcPr>
            <w:tcW w:w="2304" w:type="dxa"/>
            <w:shd w:val="clear" w:color="auto" w:fill="auto"/>
            <w:noWrap/>
            <w:vAlign w:val="bottom"/>
            <w:hideMark/>
          </w:tcPr>
          <w:p w14:paraId="5F5E047F"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76,500</w:t>
            </w:r>
          </w:p>
        </w:tc>
        <w:tc>
          <w:tcPr>
            <w:tcW w:w="2304" w:type="dxa"/>
            <w:shd w:val="clear" w:color="auto" w:fill="auto"/>
            <w:noWrap/>
            <w:vAlign w:val="bottom"/>
          </w:tcPr>
          <w:p w14:paraId="34DF59CC" w14:textId="745B4699" w:rsidR="00373217" w:rsidRPr="00CF5DEA" w:rsidRDefault="00D73007" w:rsidP="00D73007">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w:t>
            </w:r>
          </w:p>
        </w:tc>
      </w:tr>
      <w:tr w:rsidR="00373217" w:rsidRPr="00CF5DEA" w14:paraId="3381D58A" w14:textId="77777777" w:rsidTr="00373217">
        <w:trPr>
          <w:trHeight w:val="290"/>
        </w:trPr>
        <w:tc>
          <w:tcPr>
            <w:tcW w:w="4099" w:type="dxa"/>
            <w:shd w:val="clear" w:color="auto" w:fill="auto"/>
            <w:noWrap/>
            <w:vAlign w:val="bottom"/>
            <w:hideMark/>
          </w:tcPr>
          <w:p w14:paraId="3B35B896" w14:textId="77777777" w:rsidR="00373217" w:rsidRPr="00CF5DEA" w:rsidRDefault="00373217" w:rsidP="009C6172">
            <w:pPr>
              <w:spacing w:after="0" w:line="240" w:lineRule="auto"/>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Total assets</w:t>
            </w:r>
          </w:p>
        </w:tc>
        <w:tc>
          <w:tcPr>
            <w:tcW w:w="2304" w:type="dxa"/>
            <w:shd w:val="clear" w:color="auto" w:fill="auto"/>
            <w:noWrap/>
            <w:vAlign w:val="bottom"/>
            <w:hideMark/>
          </w:tcPr>
          <w:p w14:paraId="16F733D4" w14:textId="77777777" w:rsidR="00373217" w:rsidRPr="00CF5DEA" w:rsidRDefault="00373217" w:rsidP="009C6172">
            <w:pPr>
              <w:spacing w:after="0" w:line="240" w:lineRule="auto"/>
              <w:jc w:val="center"/>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595,500</w:t>
            </w:r>
          </w:p>
        </w:tc>
        <w:tc>
          <w:tcPr>
            <w:tcW w:w="2304" w:type="dxa"/>
            <w:shd w:val="clear" w:color="auto" w:fill="auto"/>
            <w:noWrap/>
            <w:vAlign w:val="bottom"/>
            <w:hideMark/>
          </w:tcPr>
          <w:p w14:paraId="248BFD9F" w14:textId="77777777" w:rsidR="00373217" w:rsidRPr="00CF5DEA" w:rsidRDefault="00373217" w:rsidP="009C6172">
            <w:pPr>
              <w:spacing w:after="0" w:line="240" w:lineRule="auto"/>
              <w:jc w:val="center"/>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170,750</w:t>
            </w:r>
          </w:p>
        </w:tc>
        <w:tc>
          <w:tcPr>
            <w:tcW w:w="2304" w:type="dxa"/>
            <w:shd w:val="clear" w:color="auto" w:fill="auto"/>
            <w:noWrap/>
            <w:vAlign w:val="bottom"/>
          </w:tcPr>
          <w:p w14:paraId="298D79AE" w14:textId="696AFA8B" w:rsidR="00373217" w:rsidRPr="00CF5DEA" w:rsidRDefault="00D73007" w:rsidP="00D73007">
            <w:pPr>
              <w:spacing w:after="0" w:line="240" w:lineRule="auto"/>
              <w:jc w:val="center"/>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w:t>
            </w:r>
          </w:p>
        </w:tc>
      </w:tr>
      <w:tr w:rsidR="00373217" w:rsidRPr="00CF5DEA" w14:paraId="25BC21AB" w14:textId="77777777" w:rsidTr="00373217">
        <w:trPr>
          <w:trHeight w:val="290"/>
        </w:trPr>
        <w:tc>
          <w:tcPr>
            <w:tcW w:w="4099" w:type="dxa"/>
            <w:shd w:val="clear" w:color="auto" w:fill="auto"/>
            <w:noWrap/>
            <w:vAlign w:val="bottom"/>
            <w:hideMark/>
          </w:tcPr>
          <w:p w14:paraId="16E9D3FF" w14:textId="77777777" w:rsidR="00373217" w:rsidRPr="00CF5DEA" w:rsidRDefault="00373217" w:rsidP="009C6172">
            <w:pPr>
              <w:spacing w:after="0" w:line="240" w:lineRule="auto"/>
              <w:rPr>
                <w:rFonts w:asciiTheme="majorHAnsi" w:eastAsia="Times New Roman" w:hAnsiTheme="majorHAnsi" w:cs="Calibri"/>
                <w:color w:val="000000"/>
                <w:lang w:val="en-US"/>
              </w:rPr>
            </w:pPr>
          </w:p>
        </w:tc>
        <w:tc>
          <w:tcPr>
            <w:tcW w:w="2304" w:type="dxa"/>
            <w:shd w:val="clear" w:color="auto" w:fill="auto"/>
            <w:noWrap/>
            <w:vAlign w:val="bottom"/>
            <w:hideMark/>
          </w:tcPr>
          <w:p w14:paraId="23768E58"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p>
        </w:tc>
        <w:tc>
          <w:tcPr>
            <w:tcW w:w="2304" w:type="dxa"/>
            <w:shd w:val="clear" w:color="auto" w:fill="auto"/>
            <w:noWrap/>
            <w:vAlign w:val="bottom"/>
            <w:hideMark/>
          </w:tcPr>
          <w:p w14:paraId="163F7BFF"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p>
        </w:tc>
        <w:tc>
          <w:tcPr>
            <w:tcW w:w="2304" w:type="dxa"/>
            <w:shd w:val="clear" w:color="auto" w:fill="auto"/>
            <w:noWrap/>
            <w:vAlign w:val="bottom"/>
          </w:tcPr>
          <w:p w14:paraId="1C8497B1" w14:textId="77777777" w:rsidR="00373217" w:rsidRPr="00CF5DEA" w:rsidRDefault="00373217" w:rsidP="00D73007">
            <w:pPr>
              <w:spacing w:after="0" w:line="240" w:lineRule="auto"/>
              <w:jc w:val="center"/>
              <w:rPr>
                <w:rFonts w:asciiTheme="majorHAnsi" w:eastAsia="Times New Roman" w:hAnsiTheme="majorHAnsi" w:cs="Calibri"/>
                <w:color w:val="000000"/>
                <w:lang w:val="en-US"/>
              </w:rPr>
            </w:pPr>
          </w:p>
        </w:tc>
      </w:tr>
      <w:tr w:rsidR="00373217" w:rsidRPr="00CF5DEA" w14:paraId="36B44925" w14:textId="77777777" w:rsidTr="00373217">
        <w:trPr>
          <w:trHeight w:val="290"/>
        </w:trPr>
        <w:tc>
          <w:tcPr>
            <w:tcW w:w="4099" w:type="dxa"/>
            <w:shd w:val="clear" w:color="auto" w:fill="auto"/>
            <w:noWrap/>
            <w:vAlign w:val="bottom"/>
            <w:hideMark/>
          </w:tcPr>
          <w:p w14:paraId="3D6451B9" w14:textId="77777777" w:rsidR="00373217" w:rsidRPr="00CF5DEA" w:rsidRDefault="00373217" w:rsidP="009C6172">
            <w:pPr>
              <w:spacing w:after="0" w:line="240" w:lineRule="auto"/>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Legal capital</w:t>
            </w:r>
          </w:p>
        </w:tc>
        <w:tc>
          <w:tcPr>
            <w:tcW w:w="2304" w:type="dxa"/>
            <w:shd w:val="clear" w:color="auto" w:fill="auto"/>
            <w:noWrap/>
            <w:vAlign w:val="bottom"/>
            <w:hideMark/>
          </w:tcPr>
          <w:p w14:paraId="4C9FED50" w14:textId="77777777" w:rsidR="00373217" w:rsidRPr="00CF5DEA" w:rsidRDefault="00373217"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385,000</w:t>
            </w:r>
          </w:p>
        </w:tc>
        <w:tc>
          <w:tcPr>
            <w:tcW w:w="2304" w:type="dxa"/>
            <w:shd w:val="clear" w:color="auto" w:fill="auto"/>
            <w:noWrap/>
            <w:vAlign w:val="bottom"/>
            <w:hideMark/>
          </w:tcPr>
          <w:p w14:paraId="2E5FFE5D" w14:textId="48994118" w:rsidR="00373217" w:rsidRPr="00CF5DEA" w:rsidRDefault="00CB5B46"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111</w:t>
            </w:r>
            <w:r w:rsidR="00373217" w:rsidRPr="00CF5DEA">
              <w:rPr>
                <w:rFonts w:asciiTheme="majorHAnsi" w:eastAsia="Times New Roman" w:hAnsiTheme="majorHAnsi" w:cs="Calibri"/>
                <w:color w:val="000000"/>
                <w:lang w:val="en-US"/>
              </w:rPr>
              <w:t>,00</w:t>
            </w:r>
            <w:r w:rsidRPr="00CF5DEA">
              <w:rPr>
                <w:rFonts w:asciiTheme="majorHAnsi" w:eastAsia="Times New Roman" w:hAnsiTheme="majorHAnsi" w:cs="Calibri"/>
                <w:color w:val="000000"/>
                <w:lang w:val="en-US"/>
              </w:rPr>
              <w:t>0</w:t>
            </w:r>
          </w:p>
        </w:tc>
        <w:tc>
          <w:tcPr>
            <w:tcW w:w="2304" w:type="dxa"/>
            <w:shd w:val="clear" w:color="auto" w:fill="auto"/>
            <w:noWrap/>
            <w:vAlign w:val="bottom"/>
          </w:tcPr>
          <w:p w14:paraId="33AE09A2" w14:textId="1CA1295F" w:rsidR="00373217" w:rsidRPr="00CF5DEA" w:rsidRDefault="00D73007" w:rsidP="00D73007">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w:t>
            </w:r>
          </w:p>
        </w:tc>
      </w:tr>
      <w:tr w:rsidR="00373217" w:rsidRPr="00CF5DEA" w14:paraId="4C288283" w14:textId="77777777" w:rsidTr="00373217">
        <w:trPr>
          <w:trHeight w:val="290"/>
        </w:trPr>
        <w:tc>
          <w:tcPr>
            <w:tcW w:w="4099" w:type="dxa"/>
            <w:shd w:val="clear" w:color="auto" w:fill="auto"/>
            <w:noWrap/>
            <w:vAlign w:val="bottom"/>
            <w:hideMark/>
          </w:tcPr>
          <w:p w14:paraId="3D66DA3F" w14:textId="77777777" w:rsidR="00373217" w:rsidRPr="00CF5DEA" w:rsidRDefault="00373217" w:rsidP="009C6172">
            <w:pPr>
              <w:spacing w:after="0" w:line="240" w:lineRule="auto"/>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 xml:space="preserve">Retained earnings </w:t>
            </w:r>
          </w:p>
        </w:tc>
        <w:tc>
          <w:tcPr>
            <w:tcW w:w="2304" w:type="dxa"/>
            <w:shd w:val="clear" w:color="auto" w:fill="auto"/>
            <w:noWrap/>
            <w:vAlign w:val="bottom"/>
            <w:hideMark/>
          </w:tcPr>
          <w:p w14:paraId="2DCF7981" w14:textId="5974F130" w:rsidR="00373217" w:rsidRPr="00CF5DEA" w:rsidRDefault="00CB5B46"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100</w:t>
            </w:r>
            <w:r w:rsidR="00373217" w:rsidRPr="00CF5DEA">
              <w:rPr>
                <w:rFonts w:asciiTheme="majorHAnsi" w:eastAsia="Times New Roman" w:hAnsiTheme="majorHAnsi" w:cs="Calibri"/>
                <w:color w:val="000000"/>
                <w:lang w:val="en-US"/>
              </w:rPr>
              <w:t>,500</w:t>
            </w:r>
          </w:p>
        </w:tc>
        <w:tc>
          <w:tcPr>
            <w:tcW w:w="2304" w:type="dxa"/>
            <w:shd w:val="clear" w:color="auto" w:fill="auto"/>
            <w:noWrap/>
            <w:vAlign w:val="bottom"/>
            <w:hideMark/>
          </w:tcPr>
          <w:p w14:paraId="0B7522CF" w14:textId="70298F99" w:rsidR="00373217" w:rsidRPr="00CF5DEA" w:rsidRDefault="00373217"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2</w:t>
            </w:r>
            <w:r w:rsidR="00CB5B46" w:rsidRPr="00CF5DEA">
              <w:rPr>
                <w:rFonts w:asciiTheme="majorHAnsi" w:eastAsia="Times New Roman" w:hAnsiTheme="majorHAnsi" w:cs="Calibri"/>
                <w:color w:val="000000"/>
                <w:lang w:val="en-US"/>
              </w:rPr>
              <w:t>7</w:t>
            </w:r>
            <w:r w:rsidRPr="00CF5DEA">
              <w:rPr>
                <w:rFonts w:asciiTheme="majorHAnsi" w:eastAsia="Times New Roman" w:hAnsiTheme="majorHAnsi" w:cs="Calibri"/>
                <w:color w:val="000000"/>
                <w:lang w:val="en-US"/>
              </w:rPr>
              <w:t>,</w:t>
            </w:r>
            <w:r w:rsidR="00CB5B46" w:rsidRPr="00CF5DEA">
              <w:rPr>
                <w:rFonts w:asciiTheme="majorHAnsi" w:eastAsia="Times New Roman" w:hAnsiTheme="majorHAnsi" w:cs="Calibri"/>
                <w:color w:val="000000"/>
                <w:lang w:val="en-US"/>
              </w:rPr>
              <w:t>650</w:t>
            </w:r>
          </w:p>
        </w:tc>
        <w:tc>
          <w:tcPr>
            <w:tcW w:w="2304" w:type="dxa"/>
            <w:shd w:val="clear" w:color="auto" w:fill="auto"/>
            <w:noWrap/>
            <w:vAlign w:val="bottom"/>
          </w:tcPr>
          <w:p w14:paraId="27C5039E" w14:textId="7ABBF9F0" w:rsidR="00373217" w:rsidRPr="00CF5DEA" w:rsidRDefault="00D73007" w:rsidP="00D73007">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w:t>
            </w:r>
          </w:p>
        </w:tc>
      </w:tr>
      <w:tr w:rsidR="00CB5B46" w:rsidRPr="00CF5DEA" w14:paraId="5CCDA158" w14:textId="77777777" w:rsidTr="00373217">
        <w:trPr>
          <w:trHeight w:val="290"/>
        </w:trPr>
        <w:tc>
          <w:tcPr>
            <w:tcW w:w="4099" w:type="dxa"/>
            <w:shd w:val="clear" w:color="auto" w:fill="auto"/>
            <w:noWrap/>
            <w:vAlign w:val="bottom"/>
          </w:tcPr>
          <w:p w14:paraId="5D422604" w14:textId="03CB69F2" w:rsidR="00CB5B46" w:rsidRPr="00CF5DEA" w:rsidRDefault="00CB5B46" w:rsidP="009C6172">
            <w:pPr>
              <w:spacing w:after="0" w:line="240" w:lineRule="auto"/>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Long-term loan</w:t>
            </w:r>
          </w:p>
        </w:tc>
        <w:tc>
          <w:tcPr>
            <w:tcW w:w="2304" w:type="dxa"/>
            <w:shd w:val="clear" w:color="auto" w:fill="auto"/>
            <w:noWrap/>
            <w:vAlign w:val="bottom"/>
          </w:tcPr>
          <w:p w14:paraId="4DB93E12" w14:textId="2251611B" w:rsidR="00CB5B46" w:rsidRPr="00CF5DEA" w:rsidRDefault="00CB5B46"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110,000</w:t>
            </w:r>
          </w:p>
        </w:tc>
        <w:tc>
          <w:tcPr>
            <w:tcW w:w="2304" w:type="dxa"/>
            <w:shd w:val="clear" w:color="auto" w:fill="auto"/>
            <w:noWrap/>
            <w:vAlign w:val="bottom"/>
          </w:tcPr>
          <w:p w14:paraId="568F117A" w14:textId="666BE8A5" w:rsidR="00CB5B46" w:rsidRPr="00CF5DEA" w:rsidRDefault="00CB5B46" w:rsidP="009C6172">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32,100</w:t>
            </w:r>
          </w:p>
        </w:tc>
        <w:tc>
          <w:tcPr>
            <w:tcW w:w="2304" w:type="dxa"/>
            <w:shd w:val="clear" w:color="auto" w:fill="auto"/>
            <w:noWrap/>
            <w:vAlign w:val="bottom"/>
          </w:tcPr>
          <w:p w14:paraId="499E6676" w14:textId="2255F587" w:rsidR="00CB5B46" w:rsidRPr="00CF5DEA" w:rsidRDefault="00D73007" w:rsidP="00D73007">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w:t>
            </w:r>
          </w:p>
        </w:tc>
      </w:tr>
      <w:tr w:rsidR="00373217" w:rsidRPr="00CF5DEA" w14:paraId="19DA4BD7" w14:textId="77777777" w:rsidTr="00373217">
        <w:trPr>
          <w:trHeight w:val="290"/>
        </w:trPr>
        <w:tc>
          <w:tcPr>
            <w:tcW w:w="4099" w:type="dxa"/>
            <w:shd w:val="clear" w:color="auto" w:fill="auto"/>
            <w:noWrap/>
            <w:vAlign w:val="bottom"/>
            <w:hideMark/>
          </w:tcPr>
          <w:p w14:paraId="4923CBAF" w14:textId="77777777" w:rsidR="00373217" w:rsidRPr="00CF5DEA" w:rsidRDefault="00373217" w:rsidP="009C6172">
            <w:pPr>
              <w:spacing w:after="0" w:line="240" w:lineRule="auto"/>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Total equity and liabilities</w:t>
            </w:r>
          </w:p>
        </w:tc>
        <w:tc>
          <w:tcPr>
            <w:tcW w:w="2304" w:type="dxa"/>
            <w:shd w:val="clear" w:color="auto" w:fill="auto"/>
            <w:noWrap/>
            <w:vAlign w:val="bottom"/>
            <w:hideMark/>
          </w:tcPr>
          <w:p w14:paraId="7D49C838" w14:textId="77777777" w:rsidR="00373217" w:rsidRPr="00CF5DEA" w:rsidRDefault="00373217" w:rsidP="009C6172">
            <w:pPr>
              <w:spacing w:after="0" w:line="240" w:lineRule="auto"/>
              <w:jc w:val="center"/>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595,500</w:t>
            </w:r>
          </w:p>
        </w:tc>
        <w:tc>
          <w:tcPr>
            <w:tcW w:w="2304" w:type="dxa"/>
            <w:shd w:val="clear" w:color="auto" w:fill="auto"/>
            <w:noWrap/>
            <w:vAlign w:val="bottom"/>
            <w:hideMark/>
          </w:tcPr>
          <w:p w14:paraId="12930FC5" w14:textId="77777777" w:rsidR="00373217" w:rsidRPr="00CF5DEA" w:rsidRDefault="00373217" w:rsidP="009C6172">
            <w:pPr>
              <w:spacing w:after="0" w:line="240" w:lineRule="auto"/>
              <w:jc w:val="center"/>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170,750</w:t>
            </w:r>
          </w:p>
        </w:tc>
        <w:tc>
          <w:tcPr>
            <w:tcW w:w="2304" w:type="dxa"/>
            <w:shd w:val="clear" w:color="auto" w:fill="auto"/>
            <w:noWrap/>
            <w:vAlign w:val="bottom"/>
          </w:tcPr>
          <w:p w14:paraId="2ED0C31F" w14:textId="00CE5D49" w:rsidR="00373217" w:rsidRPr="00CF5DEA" w:rsidRDefault="00D73007" w:rsidP="00D73007">
            <w:pPr>
              <w:spacing w:after="0" w:line="240" w:lineRule="auto"/>
              <w:jc w:val="center"/>
              <w:rPr>
                <w:rFonts w:asciiTheme="majorHAnsi" w:eastAsia="Times New Roman" w:hAnsiTheme="majorHAnsi" w:cs="Calibri"/>
                <w:b/>
                <w:bCs/>
                <w:color w:val="000000"/>
                <w:lang w:val="en-US"/>
              </w:rPr>
            </w:pPr>
            <w:r w:rsidRPr="00CF5DEA">
              <w:rPr>
                <w:rFonts w:asciiTheme="majorHAnsi" w:eastAsia="Times New Roman" w:hAnsiTheme="majorHAnsi" w:cs="Calibri"/>
                <w:b/>
                <w:bCs/>
                <w:color w:val="000000"/>
                <w:lang w:val="en-US"/>
              </w:rPr>
              <w:t>…</w:t>
            </w:r>
          </w:p>
        </w:tc>
      </w:tr>
    </w:tbl>
    <w:p w14:paraId="0C4D32A2" w14:textId="77777777" w:rsidR="00373217" w:rsidRPr="00CF5DEA" w:rsidRDefault="00373217" w:rsidP="006868BB">
      <w:pPr>
        <w:pStyle w:val="NoSpacing"/>
        <w:rPr>
          <w:lang w:val="en-US"/>
        </w:rPr>
      </w:pPr>
    </w:p>
    <w:p w14:paraId="37E77910" w14:textId="77777777" w:rsidR="006868BB" w:rsidRPr="00CF5DEA" w:rsidRDefault="006868BB" w:rsidP="006868BB">
      <w:pPr>
        <w:pStyle w:val="NoSpacing"/>
        <w:rPr>
          <w:lang w:val="en-US"/>
        </w:rPr>
      </w:pPr>
    </w:p>
    <w:p w14:paraId="7B9AC657" w14:textId="77777777" w:rsidR="00CB5B46" w:rsidRPr="00CF5DEA" w:rsidRDefault="00CB5B46" w:rsidP="00CB5B46">
      <w:pPr>
        <w:rPr>
          <w:rFonts w:asciiTheme="majorHAnsi" w:hAnsiTheme="majorHAnsi"/>
          <w:lang w:val="en-US"/>
        </w:rPr>
      </w:pPr>
      <w:r w:rsidRPr="00CF5DEA">
        <w:rPr>
          <w:rFonts w:asciiTheme="majorHAnsi" w:hAnsiTheme="majorHAnsi"/>
          <w:lang w:val="en-US"/>
        </w:rPr>
        <w:t>Additional information:</w:t>
      </w:r>
    </w:p>
    <w:tbl>
      <w:tblPr>
        <w:tblW w:w="6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268"/>
      </w:tblGrid>
      <w:tr w:rsidR="00CB5B46" w:rsidRPr="00CF5DEA" w14:paraId="1521D86D" w14:textId="77777777" w:rsidTr="00D73007">
        <w:trPr>
          <w:trHeight w:val="1739"/>
        </w:trPr>
        <w:tc>
          <w:tcPr>
            <w:tcW w:w="3998" w:type="dxa"/>
            <w:shd w:val="clear" w:color="auto" w:fill="auto"/>
            <w:noWrap/>
            <w:vAlign w:val="bottom"/>
            <w:hideMark/>
          </w:tcPr>
          <w:p w14:paraId="7BB7ED77" w14:textId="77777777" w:rsidR="00CB5B46" w:rsidRPr="00CF5DEA" w:rsidRDefault="00CB5B46" w:rsidP="00C315A8">
            <w:pPr>
              <w:spacing w:after="0" w:line="240" w:lineRule="auto"/>
              <w:rPr>
                <w:rFonts w:asciiTheme="majorHAnsi" w:eastAsia="Times New Roman" w:hAnsiTheme="majorHAnsi"/>
                <w:sz w:val="24"/>
                <w:szCs w:val="24"/>
                <w:lang w:val="en-US"/>
              </w:rPr>
            </w:pPr>
          </w:p>
        </w:tc>
        <w:tc>
          <w:tcPr>
            <w:tcW w:w="2268" w:type="dxa"/>
            <w:shd w:val="clear" w:color="auto" w:fill="auto"/>
            <w:vAlign w:val="center"/>
            <w:hideMark/>
          </w:tcPr>
          <w:p w14:paraId="58EA4401" w14:textId="77777777" w:rsidR="00CB5B46" w:rsidRPr="00CF5DEA" w:rsidRDefault="00CB5B46"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Subsidiary’s statement of fin position (in CU)</w:t>
            </w:r>
          </w:p>
          <w:p w14:paraId="47B8BC6F" w14:textId="1213861F" w:rsidR="00CB5B46" w:rsidRPr="00CF5DEA" w:rsidRDefault="00CB5B46" w:rsidP="00CB5B46">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at fair value as per Dec 31, 201</w:t>
            </w:r>
            <w:r w:rsidRPr="00CF5DEA">
              <w:rPr>
                <w:rFonts w:asciiTheme="majorHAnsi" w:eastAsia="Times New Roman" w:hAnsiTheme="majorHAnsi" w:cs="Calibri"/>
                <w:color w:val="000000"/>
                <w:lang w:val="en-US"/>
              </w:rPr>
              <w:t>8</w:t>
            </w:r>
          </w:p>
        </w:tc>
      </w:tr>
      <w:tr w:rsidR="00CB5B46" w:rsidRPr="00CF5DEA" w14:paraId="6284F06B" w14:textId="77777777" w:rsidTr="00CB5B46">
        <w:trPr>
          <w:trHeight w:val="290"/>
        </w:trPr>
        <w:tc>
          <w:tcPr>
            <w:tcW w:w="3998" w:type="dxa"/>
            <w:shd w:val="clear" w:color="auto" w:fill="auto"/>
            <w:noWrap/>
            <w:vAlign w:val="bottom"/>
            <w:hideMark/>
          </w:tcPr>
          <w:p w14:paraId="4E7888DE" w14:textId="77777777" w:rsidR="00CB5B46" w:rsidRPr="00CF5DEA" w:rsidRDefault="00CB5B46" w:rsidP="00C315A8">
            <w:pPr>
              <w:spacing w:after="0" w:line="240" w:lineRule="auto"/>
              <w:ind w:left="180"/>
              <w:rPr>
                <w:rFonts w:asciiTheme="majorHAnsi" w:hAnsiTheme="majorHAnsi"/>
                <w:lang w:val="en-US"/>
              </w:rPr>
            </w:pPr>
            <w:r w:rsidRPr="00CF5DEA">
              <w:rPr>
                <w:rFonts w:asciiTheme="majorHAnsi" w:hAnsiTheme="majorHAnsi"/>
                <w:lang w:val="en-US"/>
              </w:rPr>
              <w:t>Non-current tangible assets</w:t>
            </w:r>
          </w:p>
        </w:tc>
        <w:tc>
          <w:tcPr>
            <w:tcW w:w="2268" w:type="dxa"/>
            <w:shd w:val="clear" w:color="auto" w:fill="auto"/>
            <w:noWrap/>
            <w:vAlign w:val="bottom"/>
            <w:hideMark/>
          </w:tcPr>
          <w:p w14:paraId="01277A21" w14:textId="31432019" w:rsidR="00CB5B46" w:rsidRPr="00CF5DEA" w:rsidRDefault="00CB5B46" w:rsidP="00C315A8">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89,538</w:t>
            </w:r>
          </w:p>
        </w:tc>
      </w:tr>
      <w:tr w:rsidR="00CB5B46" w:rsidRPr="00CF5DEA" w14:paraId="7AE26213" w14:textId="77777777" w:rsidTr="00CB5B46">
        <w:trPr>
          <w:trHeight w:val="290"/>
        </w:trPr>
        <w:tc>
          <w:tcPr>
            <w:tcW w:w="3998" w:type="dxa"/>
            <w:shd w:val="clear" w:color="auto" w:fill="auto"/>
            <w:noWrap/>
            <w:vAlign w:val="bottom"/>
            <w:hideMark/>
          </w:tcPr>
          <w:p w14:paraId="21082E10" w14:textId="77777777" w:rsidR="00CB5B46" w:rsidRPr="00CF5DEA" w:rsidRDefault="00CB5B46" w:rsidP="00C315A8">
            <w:pPr>
              <w:spacing w:after="0" w:line="240" w:lineRule="auto"/>
              <w:ind w:left="180"/>
              <w:rPr>
                <w:rFonts w:asciiTheme="majorHAnsi" w:hAnsiTheme="majorHAnsi"/>
                <w:lang w:val="en-US"/>
              </w:rPr>
            </w:pPr>
            <w:r w:rsidRPr="00CF5DEA">
              <w:rPr>
                <w:rFonts w:asciiTheme="majorHAnsi" w:hAnsiTheme="majorHAnsi"/>
                <w:lang w:val="en-US"/>
              </w:rPr>
              <w:t>Current assets</w:t>
            </w:r>
          </w:p>
        </w:tc>
        <w:tc>
          <w:tcPr>
            <w:tcW w:w="2268" w:type="dxa"/>
            <w:shd w:val="clear" w:color="auto" w:fill="auto"/>
            <w:noWrap/>
            <w:vAlign w:val="bottom"/>
            <w:hideMark/>
          </w:tcPr>
          <w:p w14:paraId="51DBDE0C" w14:textId="065E1204" w:rsidR="00CB5B46" w:rsidRPr="00CF5DEA" w:rsidRDefault="00CB5B46" w:rsidP="00C315A8">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72,675</w:t>
            </w:r>
          </w:p>
        </w:tc>
      </w:tr>
      <w:tr w:rsidR="00CB5B46" w:rsidRPr="00CF5DEA" w14:paraId="7D3ACB8B" w14:textId="77777777" w:rsidTr="00CB5B46">
        <w:trPr>
          <w:trHeight w:val="290"/>
        </w:trPr>
        <w:tc>
          <w:tcPr>
            <w:tcW w:w="3998" w:type="dxa"/>
            <w:shd w:val="clear" w:color="auto" w:fill="auto"/>
            <w:noWrap/>
            <w:vAlign w:val="bottom"/>
            <w:hideMark/>
          </w:tcPr>
          <w:p w14:paraId="59D96C6F" w14:textId="77777777" w:rsidR="00CB5B46" w:rsidRPr="00CF5DEA" w:rsidRDefault="00CB5B46" w:rsidP="00C315A8">
            <w:pPr>
              <w:spacing w:after="0" w:line="240" w:lineRule="auto"/>
              <w:rPr>
                <w:rFonts w:asciiTheme="majorHAnsi" w:hAnsiTheme="majorHAnsi"/>
                <w:b/>
                <w:lang w:val="en-US"/>
              </w:rPr>
            </w:pPr>
            <w:r w:rsidRPr="00CF5DEA">
              <w:rPr>
                <w:rFonts w:asciiTheme="majorHAnsi" w:hAnsiTheme="majorHAnsi"/>
                <w:b/>
                <w:lang w:val="en-US"/>
              </w:rPr>
              <w:t>Total assets</w:t>
            </w:r>
          </w:p>
        </w:tc>
        <w:tc>
          <w:tcPr>
            <w:tcW w:w="2268" w:type="dxa"/>
            <w:shd w:val="clear" w:color="auto" w:fill="auto"/>
            <w:noWrap/>
            <w:vAlign w:val="bottom"/>
            <w:hideMark/>
          </w:tcPr>
          <w:p w14:paraId="0521D025" w14:textId="3607B009" w:rsidR="00CB5B46" w:rsidRPr="00CF5DEA" w:rsidRDefault="00CB5B46" w:rsidP="00C315A8">
            <w:pPr>
              <w:spacing w:after="0" w:line="240" w:lineRule="auto"/>
              <w:jc w:val="center"/>
              <w:rPr>
                <w:rFonts w:asciiTheme="majorHAnsi" w:eastAsia="Times New Roman" w:hAnsiTheme="majorHAnsi" w:cs="Calibri"/>
                <w:b/>
                <w:color w:val="000000"/>
                <w:lang w:val="en-US"/>
              </w:rPr>
            </w:pPr>
            <w:r w:rsidRPr="00CF5DEA">
              <w:rPr>
                <w:rFonts w:asciiTheme="majorHAnsi" w:eastAsia="Times New Roman" w:hAnsiTheme="majorHAnsi" w:cs="Calibri"/>
                <w:b/>
                <w:color w:val="000000"/>
                <w:lang w:val="en-US"/>
              </w:rPr>
              <w:t>162,213</w:t>
            </w:r>
          </w:p>
        </w:tc>
      </w:tr>
      <w:tr w:rsidR="00CB5B46" w:rsidRPr="00CF5DEA" w14:paraId="3544A4F0" w14:textId="77777777" w:rsidTr="00CB5B46">
        <w:trPr>
          <w:trHeight w:val="290"/>
        </w:trPr>
        <w:tc>
          <w:tcPr>
            <w:tcW w:w="3998" w:type="dxa"/>
            <w:shd w:val="clear" w:color="auto" w:fill="auto"/>
            <w:noWrap/>
            <w:vAlign w:val="bottom"/>
            <w:hideMark/>
          </w:tcPr>
          <w:p w14:paraId="539F84DD" w14:textId="77777777" w:rsidR="00CB5B46" w:rsidRPr="00CF5DEA" w:rsidRDefault="00CB5B46" w:rsidP="00C315A8">
            <w:pPr>
              <w:spacing w:after="0" w:line="240" w:lineRule="auto"/>
              <w:ind w:left="180"/>
              <w:rPr>
                <w:rFonts w:asciiTheme="majorHAnsi" w:hAnsiTheme="majorHAnsi"/>
                <w:lang w:val="en-US"/>
              </w:rPr>
            </w:pPr>
          </w:p>
        </w:tc>
        <w:tc>
          <w:tcPr>
            <w:tcW w:w="2268" w:type="dxa"/>
            <w:shd w:val="clear" w:color="auto" w:fill="auto"/>
            <w:noWrap/>
            <w:vAlign w:val="bottom"/>
            <w:hideMark/>
          </w:tcPr>
          <w:p w14:paraId="29B8E562" w14:textId="77777777" w:rsidR="00CB5B46" w:rsidRPr="00CF5DEA" w:rsidRDefault="00CB5B46" w:rsidP="00C315A8">
            <w:pPr>
              <w:spacing w:after="0" w:line="240" w:lineRule="auto"/>
              <w:jc w:val="center"/>
              <w:rPr>
                <w:rFonts w:asciiTheme="majorHAnsi" w:eastAsia="Times New Roman" w:hAnsiTheme="majorHAnsi"/>
                <w:sz w:val="20"/>
                <w:szCs w:val="20"/>
                <w:lang w:val="en-US"/>
              </w:rPr>
            </w:pPr>
          </w:p>
        </w:tc>
      </w:tr>
      <w:tr w:rsidR="00CB5B46" w:rsidRPr="00CF5DEA" w14:paraId="56C23D9D" w14:textId="77777777" w:rsidTr="00CB5B46">
        <w:trPr>
          <w:trHeight w:val="290"/>
        </w:trPr>
        <w:tc>
          <w:tcPr>
            <w:tcW w:w="3998" w:type="dxa"/>
            <w:shd w:val="clear" w:color="auto" w:fill="auto"/>
            <w:noWrap/>
            <w:vAlign w:val="bottom"/>
            <w:hideMark/>
          </w:tcPr>
          <w:p w14:paraId="257857D7" w14:textId="77777777" w:rsidR="00CB5B46" w:rsidRPr="00CF5DEA" w:rsidRDefault="00CB5B46" w:rsidP="00C315A8">
            <w:pPr>
              <w:spacing w:after="0" w:line="240" w:lineRule="auto"/>
              <w:ind w:left="180"/>
              <w:rPr>
                <w:rFonts w:asciiTheme="majorHAnsi" w:hAnsiTheme="majorHAnsi"/>
                <w:lang w:val="en-US"/>
              </w:rPr>
            </w:pPr>
            <w:r w:rsidRPr="00CF5DEA">
              <w:rPr>
                <w:rFonts w:asciiTheme="majorHAnsi" w:hAnsiTheme="majorHAnsi"/>
                <w:lang w:val="en-US"/>
              </w:rPr>
              <w:t>Legal capital</w:t>
            </w:r>
          </w:p>
        </w:tc>
        <w:tc>
          <w:tcPr>
            <w:tcW w:w="2268" w:type="dxa"/>
            <w:shd w:val="clear" w:color="auto" w:fill="auto"/>
            <w:noWrap/>
            <w:vAlign w:val="bottom"/>
            <w:hideMark/>
          </w:tcPr>
          <w:p w14:paraId="14CEA5FB" w14:textId="05F83FCE" w:rsidR="00CB5B46" w:rsidRPr="00CF5DEA" w:rsidRDefault="00CB5B46" w:rsidP="00C315A8">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111,000</w:t>
            </w:r>
          </w:p>
        </w:tc>
      </w:tr>
      <w:tr w:rsidR="00CB5B46" w:rsidRPr="00CF5DEA" w14:paraId="2376A107" w14:textId="77777777" w:rsidTr="00CB5B46">
        <w:trPr>
          <w:trHeight w:val="290"/>
        </w:trPr>
        <w:tc>
          <w:tcPr>
            <w:tcW w:w="3998" w:type="dxa"/>
            <w:shd w:val="clear" w:color="auto" w:fill="auto"/>
            <w:noWrap/>
            <w:vAlign w:val="bottom"/>
            <w:hideMark/>
          </w:tcPr>
          <w:p w14:paraId="74C2890C" w14:textId="77777777" w:rsidR="00CB5B46" w:rsidRPr="00CF5DEA" w:rsidRDefault="00CB5B46" w:rsidP="00C315A8">
            <w:pPr>
              <w:spacing w:after="0" w:line="240" w:lineRule="auto"/>
              <w:ind w:left="180"/>
              <w:rPr>
                <w:rFonts w:asciiTheme="majorHAnsi" w:hAnsiTheme="majorHAnsi"/>
                <w:lang w:val="en-US"/>
              </w:rPr>
            </w:pPr>
            <w:r w:rsidRPr="00CF5DEA">
              <w:rPr>
                <w:rFonts w:asciiTheme="majorHAnsi" w:hAnsiTheme="majorHAnsi"/>
                <w:lang w:val="en-US"/>
              </w:rPr>
              <w:t xml:space="preserve">Retained earnings </w:t>
            </w:r>
          </w:p>
        </w:tc>
        <w:tc>
          <w:tcPr>
            <w:tcW w:w="2268" w:type="dxa"/>
            <w:shd w:val="clear" w:color="auto" w:fill="auto"/>
            <w:noWrap/>
            <w:vAlign w:val="bottom"/>
            <w:hideMark/>
          </w:tcPr>
          <w:p w14:paraId="66108978" w14:textId="23C7F334" w:rsidR="00CB5B46" w:rsidRPr="00CF5DEA" w:rsidRDefault="00CB5B46" w:rsidP="00C315A8">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19,113</w:t>
            </w:r>
          </w:p>
        </w:tc>
      </w:tr>
      <w:tr w:rsidR="00CB5B46" w:rsidRPr="00CF5DEA" w14:paraId="4FDD899C" w14:textId="77777777" w:rsidTr="00CB5B46">
        <w:trPr>
          <w:trHeight w:val="290"/>
        </w:trPr>
        <w:tc>
          <w:tcPr>
            <w:tcW w:w="3998" w:type="dxa"/>
            <w:shd w:val="clear" w:color="auto" w:fill="auto"/>
            <w:noWrap/>
            <w:vAlign w:val="bottom"/>
            <w:hideMark/>
          </w:tcPr>
          <w:p w14:paraId="190C5A9E" w14:textId="77777777" w:rsidR="00CB5B46" w:rsidRPr="00CF5DEA" w:rsidRDefault="00CB5B46" w:rsidP="00C315A8">
            <w:pPr>
              <w:spacing w:after="0" w:line="240" w:lineRule="auto"/>
              <w:ind w:left="180"/>
              <w:rPr>
                <w:rFonts w:asciiTheme="majorHAnsi" w:hAnsiTheme="majorHAnsi"/>
                <w:lang w:val="en-US"/>
              </w:rPr>
            </w:pPr>
            <w:r w:rsidRPr="00CF5DEA">
              <w:rPr>
                <w:rFonts w:asciiTheme="majorHAnsi" w:hAnsiTheme="majorHAnsi"/>
                <w:lang w:val="en-US"/>
              </w:rPr>
              <w:t>Long-term loan</w:t>
            </w:r>
          </w:p>
        </w:tc>
        <w:tc>
          <w:tcPr>
            <w:tcW w:w="2268" w:type="dxa"/>
            <w:shd w:val="clear" w:color="auto" w:fill="auto"/>
            <w:noWrap/>
            <w:vAlign w:val="bottom"/>
            <w:hideMark/>
          </w:tcPr>
          <w:p w14:paraId="09FD2768" w14:textId="6EC1EB8D" w:rsidR="00CB5B46" w:rsidRPr="00CF5DEA" w:rsidRDefault="00CB5B46" w:rsidP="00C315A8">
            <w:pPr>
              <w:spacing w:after="0" w:line="240" w:lineRule="auto"/>
              <w:jc w:val="center"/>
              <w:rPr>
                <w:rFonts w:asciiTheme="majorHAnsi" w:eastAsia="Times New Roman" w:hAnsiTheme="majorHAnsi" w:cs="Calibri"/>
                <w:color w:val="000000"/>
                <w:lang w:val="en-US"/>
              </w:rPr>
            </w:pPr>
            <w:r w:rsidRPr="00CF5DEA">
              <w:rPr>
                <w:rFonts w:asciiTheme="majorHAnsi" w:eastAsia="Times New Roman" w:hAnsiTheme="majorHAnsi" w:cs="Calibri"/>
                <w:color w:val="000000"/>
                <w:lang w:val="en-US"/>
              </w:rPr>
              <w:t>32,100</w:t>
            </w:r>
          </w:p>
        </w:tc>
      </w:tr>
      <w:tr w:rsidR="00CB5B46" w:rsidRPr="00CF5DEA" w14:paraId="7EAF5AAD" w14:textId="77777777" w:rsidTr="00CB5B46">
        <w:trPr>
          <w:trHeight w:val="290"/>
        </w:trPr>
        <w:tc>
          <w:tcPr>
            <w:tcW w:w="3998" w:type="dxa"/>
            <w:shd w:val="clear" w:color="auto" w:fill="auto"/>
            <w:noWrap/>
            <w:vAlign w:val="bottom"/>
            <w:hideMark/>
          </w:tcPr>
          <w:p w14:paraId="00F514CB" w14:textId="77777777" w:rsidR="00CB5B46" w:rsidRPr="00CF5DEA" w:rsidRDefault="00CB5B46" w:rsidP="00C315A8">
            <w:pPr>
              <w:spacing w:after="0" w:line="240" w:lineRule="auto"/>
              <w:rPr>
                <w:rFonts w:asciiTheme="majorHAnsi" w:hAnsiTheme="majorHAnsi"/>
                <w:b/>
                <w:lang w:val="en-US"/>
              </w:rPr>
            </w:pPr>
            <w:r w:rsidRPr="00CF5DEA">
              <w:rPr>
                <w:rFonts w:asciiTheme="majorHAnsi" w:hAnsiTheme="majorHAnsi"/>
                <w:b/>
                <w:lang w:val="en-US"/>
              </w:rPr>
              <w:t>Total equity and liabilities</w:t>
            </w:r>
          </w:p>
        </w:tc>
        <w:tc>
          <w:tcPr>
            <w:tcW w:w="2268" w:type="dxa"/>
            <w:shd w:val="clear" w:color="auto" w:fill="auto"/>
            <w:noWrap/>
            <w:vAlign w:val="bottom"/>
            <w:hideMark/>
          </w:tcPr>
          <w:p w14:paraId="552B7188" w14:textId="22D9367B" w:rsidR="00CB5B46" w:rsidRPr="00CF5DEA" w:rsidRDefault="00CB5B46" w:rsidP="00C315A8">
            <w:pPr>
              <w:spacing w:after="0" w:line="240" w:lineRule="auto"/>
              <w:jc w:val="center"/>
              <w:rPr>
                <w:rFonts w:asciiTheme="majorHAnsi" w:eastAsia="Times New Roman" w:hAnsiTheme="majorHAnsi" w:cs="Calibri"/>
                <w:b/>
                <w:color w:val="000000"/>
                <w:lang w:val="en-US"/>
              </w:rPr>
            </w:pPr>
            <w:r w:rsidRPr="00CF5DEA">
              <w:rPr>
                <w:rFonts w:asciiTheme="majorHAnsi" w:eastAsia="Times New Roman" w:hAnsiTheme="majorHAnsi" w:cs="Calibri"/>
                <w:b/>
                <w:color w:val="000000"/>
                <w:lang w:val="en-US"/>
              </w:rPr>
              <w:t>162,213</w:t>
            </w:r>
          </w:p>
        </w:tc>
      </w:tr>
    </w:tbl>
    <w:p w14:paraId="461C3B8B" w14:textId="77777777" w:rsidR="006868BB" w:rsidRPr="00CF5DEA" w:rsidRDefault="006868BB" w:rsidP="006868BB">
      <w:pPr>
        <w:pStyle w:val="NoSpacing"/>
        <w:rPr>
          <w:lang w:val="en-US"/>
        </w:rPr>
      </w:pPr>
    </w:p>
    <w:p w14:paraId="44253071" w14:textId="01776AA6" w:rsidR="006868BB" w:rsidRPr="00CF5DEA" w:rsidRDefault="006868BB" w:rsidP="006868BB">
      <w:pPr>
        <w:pStyle w:val="NoSpacing"/>
        <w:rPr>
          <w:lang w:val="en-US"/>
        </w:rPr>
      </w:pPr>
    </w:p>
    <w:p w14:paraId="5D432045" w14:textId="7339D939" w:rsidR="00D73007" w:rsidRPr="00CF5DEA" w:rsidRDefault="00D73007" w:rsidP="006868BB">
      <w:pPr>
        <w:pStyle w:val="NoSpacing"/>
        <w:rPr>
          <w:lang w:val="en-US"/>
        </w:rPr>
      </w:pPr>
    </w:p>
    <w:p w14:paraId="0D4F4311" w14:textId="34CC9142" w:rsidR="00D73007" w:rsidRPr="00CF5DEA" w:rsidRDefault="00D73007" w:rsidP="006868BB">
      <w:pPr>
        <w:pStyle w:val="NoSpacing"/>
        <w:rPr>
          <w:lang w:val="en-US"/>
        </w:rPr>
      </w:pPr>
    </w:p>
    <w:p w14:paraId="26ED5FA7" w14:textId="77777777" w:rsidR="00D73007" w:rsidRPr="00CF5DEA" w:rsidRDefault="00D73007" w:rsidP="006868BB">
      <w:pPr>
        <w:pStyle w:val="NoSpacing"/>
        <w:rPr>
          <w:lang w:val="en-US"/>
        </w:rPr>
      </w:pPr>
    </w:p>
    <w:p w14:paraId="61C03CEF" w14:textId="77777777" w:rsidR="006868BB" w:rsidRPr="00CF5DEA" w:rsidRDefault="006868BB" w:rsidP="006868BB">
      <w:pPr>
        <w:pStyle w:val="NoSpacing"/>
        <w:rPr>
          <w:lang w:val="en-US"/>
        </w:rPr>
      </w:pPr>
    </w:p>
    <w:p w14:paraId="26EE8D85" w14:textId="77777777" w:rsidR="006868BB" w:rsidRPr="00CF5DEA" w:rsidRDefault="006868BB" w:rsidP="006868BB">
      <w:pPr>
        <w:pStyle w:val="NoSpacing"/>
        <w:rPr>
          <w:lang w:val="en-US"/>
        </w:rPr>
      </w:pPr>
    </w:p>
    <w:p w14:paraId="28B7E1FD" w14:textId="77777777" w:rsidR="006868BB" w:rsidRPr="00CF5DEA" w:rsidRDefault="006868BB" w:rsidP="006868BB">
      <w:pPr>
        <w:pStyle w:val="NoSpacing"/>
        <w:rPr>
          <w:lang w:val="en-US"/>
        </w:rPr>
      </w:pPr>
    </w:p>
    <w:p w14:paraId="31656301" w14:textId="77777777" w:rsidR="006868BB" w:rsidRPr="00CF5DEA" w:rsidRDefault="006868BB" w:rsidP="006868BB">
      <w:pPr>
        <w:pStyle w:val="NoSpacing"/>
        <w:rPr>
          <w:lang w:val="en-US"/>
        </w:rPr>
      </w:pPr>
    </w:p>
    <w:p w14:paraId="1993EAC4" w14:textId="77777777" w:rsidR="006868BB" w:rsidRPr="00CF5DEA" w:rsidRDefault="006868BB" w:rsidP="006868BB">
      <w:pPr>
        <w:pStyle w:val="NoSpacing"/>
        <w:rPr>
          <w:lang w:val="en-US"/>
        </w:rPr>
      </w:pPr>
    </w:p>
    <w:p w14:paraId="5BD785FC" w14:textId="52977C3C" w:rsidR="003E4CD9" w:rsidRPr="00CF5DEA" w:rsidRDefault="003E4CD9" w:rsidP="003E4CD9">
      <w:pPr>
        <w:jc w:val="both"/>
        <w:rPr>
          <w:rFonts w:asciiTheme="majorHAnsi" w:hAnsiTheme="majorHAnsi"/>
          <w:b/>
          <w:u w:val="single"/>
          <w:lang w:val="en-US"/>
        </w:rPr>
      </w:pPr>
      <w:r w:rsidRPr="00CF5DEA">
        <w:rPr>
          <w:rFonts w:asciiTheme="majorHAnsi" w:hAnsiTheme="majorHAnsi"/>
          <w:b/>
          <w:u w:val="single"/>
          <w:lang w:val="en-US"/>
        </w:rPr>
        <w:lastRenderedPageBreak/>
        <w:t>Exercise 5: Correction of prior period errors (</w:t>
      </w:r>
      <w:r w:rsidR="00D73007" w:rsidRPr="00CF5DEA">
        <w:rPr>
          <w:rFonts w:asciiTheme="majorHAnsi" w:hAnsiTheme="majorHAnsi"/>
          <w:b/>
          <w:u w:val="single"/>
          <w:lang w:val="en-US"/>
        </w:rPr>
        <w:t>3</w:t>
      </w:r>
      <w:r w:rsidRPr="00CF5DEA">
        <w:rPr>
          <w:rFonts w:asciiTheme="majorHAnsi" w:hAnsiTheme="majorHAnsi"/>
          <w:b/>
          <w:u w:val="single"/>
          <w:lang w:val="en-US"/>
        </w:rPr>
        <w:t xml:space="preserve"> point</w:t>
      </w:r>
      <w:r w:rsidR="00D73007" w:rsidRPr="00CF5DEA">
        <w:rPr>
          <w:rFonts w:asciiTheme="majorHAnsi" w:hAnsiTheme="majorHAnsi"/>
          <w:b/>
          <w:u w:val="single"/>
          <w:lang w:val="en-US"/>
        </w:rPr>
        <w:t>s</w:t>
      </w:r>
      <w:r w:rsidRPr="00CF5DEA">
        <w:rPr>
          <w:rFonts w:asciiTheme="majorHAnsi" w:hAnsiTheme="majorHAnsi"/>
          <w:b/>
          <w:u w:val="single"/>
          <w:lang w:val="en-US"/>
        </w:rPr>
        <w:t>)</w:t>
      </w:r>
    </w:p>
    <w:p w14:paraId="763C0C6E" w14:textId="7E42871D" w:rsidR="003E4CD9" w:rsidRPr="00CF5DEA" w:rsidRDefault="003E4CD9" w:rsidP="003E4CD9">
      <w:pPr>
        <w:jc w:val="both"/>
        <w:rPr>
          <w:rFonts w:asciiTheme="majorHAnsi" w:hAnsiTheme="majorHAnsi"/>
          <w:lang w:val="en-US"/>
        </w:rPr>
      </w:pPr>
      <w:r w:rsidRPr="00CF5DEA">
        <w:rPr>
          <w:rFonts w:asciiTheme="majorHAnsi" w:hAnsiTheme="majorHAnsi"/>
          <w:lang w:val="en-US"/>
        </w:rPr>
        <w:t>At the beginning of the year 20X1 the entity discovered that in the year 20X0 due to loss of issued invoice in amount of CU 75,000 thus resulting in understatement of revenue for 20X0. Balance of retained earnings at the beginning of the year 20X0 was CU 210,000 and at the beginning of the year 20X1 – CU 300,000.</w:t>
      </w:r>
    </w:p>
    <w:p w14:paraId="78B5C9C6" w14:textId="77777777" w:rsidR="003E4CD9" w:rsidRPr="00CF5DEA" w:rsidRDefault="003E4CD9" w:rsidP="003E4CD9">
      <w:pPr>
        <w:jc w:val="both"/>
        <w:rPr>
          <w:rFonts w:asciiTheme="majorHAnsi" w:hAnsiTheme="majorHAnsi"/>
          <w:b/>
          <w:lang w:val="en-US"/>
        </w:rPr>
      </w:pPr>
      <w:r w:rsidRPr="00CF5DEA">
        <w:rPr>
          <w:rFonts w:asciiTheme="majorHAnsi" w:hAnsiTheme="majorHAnsi"/>
          <w:b/>
          <w:lang w:val="en-US"/>
        </w:rPr>
        <w:t>Correct the error.</w:t>
      </w:r>
    </w:p>
    <w:p w14:paraId="710AADD5" w14:textId="77777777" w:rsidR="003E4CD9" w:rsidRPr="00CF5DEA" w:rsidRDefault="003E4CD9" w:rsidP="003E4CD9">
      <w:pPr>
        <w:jc w:val="both"/>
        <w:rPr>
          <w:rFonts w:asciiTheme="majorHAnsi" w:hAnsiTheme="majorHAnsi"/>
          <w:lang w:val="en-US"/>
        </w:rPr>
      </w:pPr>
      <w:r w:rsidRPr="00CF5DEA">
        <w:rPr>
          <w:rFonts w:asciiTheme="majorHAnsi" w:hAnsiTheme="majorHAnsi"/>
          <w:lang w:val="en-US"/>
        </w:rPr>
        <w:t>Initial income statements:</w:t>
      </w:r>
    </w:p>
    <w:tbl>
      <w:tblPr>
        <w:tblStyle w:val="TableGrid"/>
        <w:tblW w:w="0" w:type="auto"/>
        <w:jc w:val="center"/>
        <w:tblLook w:val="04A0" w:firstRow="1" w:lastRow="0" w:firstColumn="1" w:lastColumn="0" w:noHBand="0" w:noVBand="1"/>
      </w:tblPr>
      <w:tblGrid>
        <w:gridCol w:w="3192"/>
        <w:gridCol w:w="3192"/>
        <w:gridCol w:w="3084"/>
      </w:tblGrid>
      <w:tr w:rsidR="003E4CD9" w:rsidRPr="00CF5DEA" w14:paraId="6A814F50"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tcPr>
          <w:p w14:paraId="41BBBCCA" w14:textId="77777777" w:rsidR="003E4CD9" w:rsidRPr="00CF5DEA" w:rsidRDefault="003E4CD9">
            <w:pPr>
              <w:rPr>
                <w:rFonts w:asciiTheme="majorHAnsi" w:hAnsiTheme="majorHAnsi"/>
                <w:b/>
                <w:lang w:val="en-US"/>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5A466753"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20X0</w:t>
            </w:r>
          </w:p>
        </w:tc>
        <w:tc>
          <w:tcPr>
            <w:tcW w:w="3084" w:type="dxa"/>
            <w:tcBorders>
              <w:top w:val="single" w:sz="4" w:space="0" w:color="auto"/>
              <w:left w:val="single" w:sz="4" w:space="0" w:color="auto"/>
              <w:bottom w:val="single" w:sz="4" w:space="0" w:color="auto"/>
              <w:right w:val="single" w:sz="4" w:space="0" w:color="auto"/>
            </w:tcBorders>
            <w:vAlign w:val="center"/>
            <w:hideMark/>
          </w:tcPr>
          <w:p w14:paraId="59F6C21A"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20X1</w:t>
            </w:r>
          </w:p>
        </w:tc>
      </w:tr>
      <w:tr w:rsidR="003E4CD9" w:rsidRPr="00CF5DEA" w14:paraId="543AA8A6"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7DCC912B" w14:textId="77777777" w:rsidR="003E4CD9" w:rsidRPr="00CF5DEA" w:rsidRDefault="003E4CD9">
            <w:pPr>
              <w:rPr>
                <w:rFonts w:asciiTheme="majorHAnsi" w:hAnsiTheme="majorHAnsi"/>
                <w:lang w:val="en-US"/>
              </w:rPr>
            </w:pPr>
            <w:r w:rsidRPr="00CF5DEA">
              <w:rPr>
                <w:rFonts w:asciiTheme="majorHAnsi" w:hAnsiTheme="majorHAnsi"/>
                <w:lang w:val="en-US"/>
              </w:rPr>
              <w:t>Revenues (CU)</w:t>
            </w:r>
          </w:p>
        </w:tc>
        <w:tc>
          <w:tcPr>
            <w:tcW w:w="3192" w:type="dxa"/>
            <w:tcBorders>
              <w:top w:val="single" w:sz="4" w:space="0" w:color="auto"/>
              <w:left w:val="single" w:sz="4" w:space="0" w:color="auto"/>
              <w:bottom w:val="single" w:sz="4" w:space="0" w:color="auto"/>
              <w:right w:val="single" w:sz="4" w:space="0" w:color="auto"/>
            </w:tcBorders>
            <w:vAlign w:val="bottom"/>
            <w:hideMark/>
          </w:tcPr>
          <w:p w14:paraId="2BEA080C" w14:textId="77777777" w:rsidR="003E4CD9" w:rsidRPr="00CF5DEA" w:rsidRDefault="003E4CD9">
            <w:pPr>
              <w:jc w:val="center"/>
              <w:rPr>
                <w:rFonts w:asciiTheme="majorHAnsi" w:hAnsiTheme="majorHAnsi"/>
                <w:color w:val="000000"/>
              </w:rPr>
            </w:pPr>
            <w:r w:rsidRPr="00CF5DEA">
              <w:rPr>
                <w:rFonts w:asciiTheme="majorHAnsi" w:hAnsiTheme="majorHAnsi"/>
                <w:color w:val="000000"/>
              </w:rPr>
              <w:t>530,000</w:t>
            </w:r>
          </w:p>
        </w:tc>
        <w:tc>
          <w:tcPr>
            <w:tcW w:w="3084" w:type="dxa"/>
            <w:tcBorders>
              <w:top w:val="single" w:sz="4" w:space="0" w:color="auto"/>
              <w:left w:val="single" w:sz="4" w:space="0" w:color="auto"/>
              <w:bottom w:val="single" w:sz="4" w:space="0" w:color="auto"/>
              <w:right w:val="single" w:sz="4" w:space="0" w:color="auto"/>
            </w:tcBorders>
            <w:vAlign w:val="bottom"/>
            <w:hideMark/>
          </w:tcPr>
          <w:p w14:paraId="4C437DB7" w14:textId="77777777" w:rsidR="003E4CD9" w:rsidRPr="00CF5DEA" w:rsidRDefault="003E4CD9">
            <w:pPr>
              <w:jc w:val="center"/>
              <w:rPr>
                <w:rFonts w:asciiTheme="majorHAnsi" w:hAnsiTheme="majorHAnsi"/>
                <w:color w:val="000000"/>
              </w:rPr>
            </w:pPr>
            <w:r w:rsidRPr="00CF5DEA">
              <w:rPr>
                <w:rFonts w:asciiTheme="majorHAnsi" w:hAnsiTheme="majorHAnsi"/>
                <w:color w:val="000000"/>
              </w:rPr>
              <w:t>650,000</w:t>
            </w:r>
          </w:p>
        </w:tc>
      </w:tr>
      <w:tr w:rsidR="003E4CD9" w:rsidRPr="00CF5DEA" w14:paraId="761C8ECD"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6964D9F8" w14:textId="77777777" w:rsidR="003E4CD9" w:rsidRPr="00CF5DEA" w:rsidRDefault="003E4CD9">
            <w:pPr>
              <w:rPr>
                <w:rFonts w:asciiTheme="majorHAnsi" w:hAnsiTheme="majorHAnsi"/>
                <w:lang w:val="en-US"/>
              </w:rPr>
            </w:pPr>
            <w:r w:rsidRPr="00CF5DEA">
              <w:rPr>
                <w:rFonts w:asciiTheme="majorHAnsi" w:hAnsiTheme="majorHAnsi"/>
                <w:lang w:val="en-US"/>
              </w:rPr>
              <w:t>Expenses (CU)</w:t>
            </w:r>
          </w:p>
        </w:tc>
        <w:tc>
          <w:tcPr>
            <w:tcW w:w="3192" w:type="dxa"/>
            <w:tcBorders>
              <w:top w:val="single" w:sz="4" w:space="0" w:color="auto"/>
              <w:left w:val="single" w:sz="4" w:space="0" w:color="auto"/>
              <w:bottom w:val="single" w:sz="4" w:space="0" w:color="auto"/>
              <w:right w:val="single" w:sz="4" w:space="0" w:color="auto"/>
            </w:tcBorders>
            <w:vAlign w:val="bottom"/>
            <w:hideMark/>
          </w:tcPr>
          <w:p w14:paraId="5D0AEDFC" w14:textId="77777777" w:rsidR="003E4CD9" w:rsidRPr="00CF5DEA" w:rsidRDefault="003E4CD9">
            <w:pPr>
              <w:jc w:val="center"/>
              <w:rPr>
                <w:rFonts w:asciiTheme="majorHAnsi" w:hAnsiTheme="majorHAnsi"/>
                <w:color w:val="000000"/>
              </w:rPr>
            </w:pPr>
            <w:r w:rsidRPr="00CF5DEA">
              <w:rPr>
                <w:rFonts w:asciiTheme="majorHAnsi" w:hAnsiTheme="majorHAnsi"/>
                <w:color w:val="000000"/>
              </w:rPr>
              <w:t>410,000</w:t>
            </w:r>
          </w:p>
        </w:tc>
        <w:tc>
          <w:tcPr>
            <w:tcW w:w="3084" w:type="dxa"/>
            <w:tcBorders>
              <w:top w:val="single" w:sz="4" w:space="0" w:color="auto"/>
              <w:left w:val="single" w:sz="4" w:space="0" w:color="auto"/>
              <w:bottom w:val="single" w:sz="4" w:space="0" w:color="auto"/>
              <w:right w:val="single" w:sz="4" w:space="0" w:color="auto"/>
            </w:tcBorders>
            <w:vAlign w:val="bottom"/>
            <w:hideMark/>
          </w:tcPr>
          <w:p w14:paraId="0758D629" w14:textId="77777777" w:rsidR="003E4CD9" w:rsidRPr="00CF5DEA" w:rsidRDefault="003E4CD9">
            <w:pPr>
              <w:jc w:val="center"/>
              <w:rPr>
                <w:rFonts w:asciiTheme="majorHAnsi" w:hAnsiTheme="majorHAnsi"/>
                <w:color w:val="000000"/>
              </w:rPr>
            </w:pPr>
            <w:r w:rsidRPr="00CF5DEA">
              <w:rPr>
                <w:rFonts w:asciiTheme="majorHAnsi" w:hAnsiTheme="majorHAnsi"/>
                <w:color w:val="000000"/>
              </w:rPr>
              <w:t>580,000</w:t>
            </w:r>
          </w:p>
        </w:tc>
      </w:tr>
      <w:tr w:rsidR="003E4CD9" w:rsidRPr="00CF5DEA" w14:paraId="425CBCE1"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409F393F" w14:textId="77777777" w:rsidR="003E4CD9" w:rsidRPr="00CF5DEA" w:rsidRDefault="003E4CD9">
            <w:pPr>
              <w:rPr>
                <w:rFonts w:asciiTheme="majorHAnsi" w:hAnsiTheme="majorHAnsi"/>
                <w:lang w:val="en-US"/>
              </w:rPr>
            </w:pPr>
            <w:r w:rsidRPr="00CF5DEA">
              <w:rPr>
                <w:rFonts w:asciiTheme="majorHAnsi" w:hAnsiTheme="majorHAnsi"/>
                <w:lang w:val="en-US"/>
              </w:rPr>
              <w:t>EBT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3763F995"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116A9EDA"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r>
      <w:tr w:rsidR="003E4CD9" w:rsidRPr="00CF5DEA" w14:paraId="7B5D749D"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7AC6D99A" w14:textId="77777777" w:rsidR="003E4CD9" w:rsidRPr="00CF5DEA" w:rsidRDefault="003E4CD9">
            <w:pPr>
              <w:rPr>
                <w:rFonts w:asciiTheme="majorHAnsi" w:hAnsiTheme="majorHAnsi"/>
                <w:lang w:val="en-US"/>
              </w:rPr>
            </w:pPr>
            <w:r w:rsidRPr="00CF5DEA">
              <w:rPr>
                <w:rFonts w:asciiTheme="majorHAnsi" w:hAnsiTheme="majorHAnsi"/>
                <w:lang w:val="en-US"/>
              </w:rPr>
              <w:t>Income tax 25%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3996EF4B"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6E66DDF2"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r>
      <w:tr w:rsidR="003E4CD9" w:rsidRPr="00CF5DEA" w14:paraId="750EE66B"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4B4F93DC" w14:textId="77777777" w:rsidR="003E4CD9" w:rsidRPr="00CF5DEA" w:rsidRDefault="003E4CD9">
            <w:pPr>
              <w:rPr>
                <w:rFonts w:asciiTheme="majorHAnsi" w:hAnsiTheme="majorHAnsi"/>
                <w:b/>
                <w:lang w:val="en-US"/>
              </w:rPr>
            </w:pPr>
            <w:r w:rsidRPr="00CF5DEA">
              <w:rPr>
                <w:rFonts w:asciiTheme="majorHAnsi" w:hAnsiTheme="majorHAnsi"/>
                <w:b/>
                <w:lang w:val="en-US"/>
              </w:rPr>
              <w:t>EAT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46E83D42"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5682DAC0"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w:t>
            </w:r>
          </w:p>
        </w:tc>
      </w:tr>
    </w:tbl>
    <w:p w14:paraId="57AA7B93" w14:textId="77777777" w:rsidR="003E4CD9" w:rsidRPr="00CF5DEA" w:rsidRDefault="003E4CD9" w:rsidP="003E4CD9">
      <w:pPr>
        <w:pStyle w:val="NoSpacing"/>
        <w:rPr>
          <w:rFonts w:asciiTheme="majorHAnsi" w:hAnsiTheme="majorHAnsi"/>
          <w:lang w:val="en-US"/>
        </w:rPr>
      </w:pPr>
    </w:p>
    <w:p w14:paraId="42539509" w14:textId="77777777" w:rsidR="003E4CD9" w:rsidRPr="00CF5DEA" w:rsidRDefault="003E4CD9" w:rsidP="003E4CD9">
      <w:pPr>
        <w:rPr>
          <w:rFonts w:asciiTheme="majorHAnsi" w:hAnsiTheme="majorHAnsi"/>
          <w:lang w:val="en-US"/>
        </w:rPr>
      </w:pPr>
    </w:p>
    <w:p w14:paraId="1B8963EC" w14:textId="77777777" w:rsidR="003E4CD9" w:rsidRPr="00CF5DEA" w:rsidRDefault="003E4CD9" w:rsidP="003E4CD9">
      <w:pPr>
        <w:rPr>
          <w:rFonts w:asciiTheme="majorHAnsi" w:hAnsiTheme="majorHAnsi"/>
          <w:lang w:val="en-US"/>
        </w:rPr>
      </w:pPr>
      <w:r w:rsidRPr="00CF5DEA">
        <w:rPr>
          <w:rFonts w:asciiTheme="majorHAnsi" w:hAnsiTheme="majorHAnsi"/>
          <w:lang w:val="en-US"/>
        </w:rPr>
        <w:t>Corrected income statements:</w:t>
      </w:r>
    </w:p>
    <w:tbl>
      <w:tblPr>
        <w:tblStyle w:val="TableGrid"/>
        <w:tblW w:w="0" w:type="auto"/>
        <w:jc w:val="center"/>
        <w:tblLook w:val="04A0" w:firstRow="1" w:lastRow="0" w:firstColumn="1" w:lastColumn="0" w:noHBand="0" w:noVBand="1"/>
      </w:tblPr>
      <w:tblGrid>
        <w:gridCol w:w="3192"/>
        <w:gridCol w:w="3192"/>
        <w:gridCol w:w="3084"/>
      </w:tblGrid>
      <w:tr w:rsidR="003E4CD9" w:rsidRPr="00CF5DEA" w14:paraId="045ACBEC"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tcPr>
          <w:p w14:paraId="00CB0C8F" w14:textId="77777777" w:rsidR="003E4CD9" w:rsidRPr="00CF5DEA" w:rsidRDefault="003E4CD9">
            <w:pPr>
              <w:rPr>
                <w:rFonts w:asciiTheme="majorHAnsi" w:hAnsiTheme="majorHAnsi"/>
                <w:b/>
                <w:lang w:val="en-US"/>
              </w:rPr>
            </w:pPr>
          </w:p>
        </w:tc>
        <w:tc>
          <w:tcPr>
            <w:tcW w:w="3192" w:type="dxa"/>
            <w:tcBorders>
              <w:top w:val="single" w:sz="4" w:space="0" w:color="auto"/>
              <w:left w:val="single" w:sz="4" w:space="0" w:color="auto"/>
              <w:bottom w:val="single" w:sz="4" w:space="0" w:color="auto"/>
              <w:right w:val="single" w:sz="4" w:space="0" w:color="auto"/>
            </w:tcBorders>
            <w:vAlign w:val="center"/>
            <w:hideMark/>
          </w:tcPr>
          <w:p w14:paraId="08AD89CB"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20X0</w:t>
            </w:r>
          </w:p>
        </w:tc>
        <w:tc>
          <w:tcPr>
            <w:tcW w:w="3084" w:type="dxa"/>
            <w:tcBorders>
              <w:top w:val="single" w:sz="4" w:space="0" w:color="auto"/>
              <w:left w:val="single" w:sz="4" w:space="0" w:color="auto"/>
              <w:bottom w:val="single" w:sz="4" w:space="0" w:color="auto"/>
              <w:right w:val="single" w:sz="4" w:space="0" w:color="auto"/>
            </w:tcBorders>
            <w:vAlign w:val="center"/>
            <w:hideMark/>
          </w:tcPr>
          <w:p w14:paraId="048BDAF0"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20X1</w:t>
            </w:r>
          </w:p>
        </w:tc>
      </w:tr>
      <w:tr w:rsidR="003E4CD9" w:rsidRPr="00CF5DEA" w14:paraId="4E1ED484"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2A4DC456" w14:textId="77777777" w:rsidR="003E4CD9" w:rsidRPr="00CF5DEA" w:rsidRDefault="003E4CD9">
            <w:pPr>
              <w:rPr>
                <w:rFonts w:asciiTheme="majorHAnsi" w:hAnsiTheme="majorHAnsi"/>
                <w:lang w:val="en-US"/>
              </w:rPr>
            </w:pPr>
            <w:r w:rsidRPr="00CF5DEA">
              <w:rPr>
                <w:rFonts w:asciiTheme="majorHAnsi" w:hAnsiTheme="majorHAnsi"/>
                <w:lang w:val="en-US"/>
              </w:rPr>
              <w:t>Revenues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0471DDCB"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1F56559B"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r>
      <w:tr w:rsidR="003E4CD9" w:rsidRPr="00CF5DEA" w14:paraId="14819079"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0FCBACCD" w14:textId="77777777" w:rsidR="003E4CD9" w:rsidRPr="00CF5DEA" w:rsidRDefault="003E4CD9">
            <w:pPr>
              <w:rPr>
                <w:rFonts w:asciiTheme="majorHAnsi" w:hAnsiTheme="majorHAnsi"/>
                <w:lang w:val="en-US"/>
              </w:rPr>
            </w:pPr>
            <w:r w:rsidRPr="00CF5DEA">
              <w:rPr>
                <w:rFonts w:asciiTheme="majorHAnsi" w:hAnsiTheme="majorHAnsi"/>
                <w:lang w:val="en-US"/>
              </w:rPr>
              <w:t>Expenses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13B0F25E"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064EB4FA"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r>
      <w:tr w:rsidR="003E4CD9" w:rsidRPr="00CF5DEA" w14:paraId="4E127472"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49902788" w14:textId="77777777" w:rsidR="003E4CD9" w:rsidRPr="00CF5DEA" w:rsidRDefault="003E4CD9">
            <w:pPr>
              <w:rPr>
                <w:rFonts w:asciiTheme="majorHAnsi" w:hAnsiTheme="majorHAnsi"/>
                <w:lang w:val="en-US"/>
              </w:rPr>
            </w:pPr>
            <w:r w:rsidRPr="00CF5DEA">
              <w:rPr>
                <w:rFonts w:asciiTheme="majorHAnsi" w:hAnsiTheme="majorHAnsi"/>
                <w:lang w:val="en-US"/>
              </w:rPr>
              <w:t>EBT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3A496160"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2C2978F7"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r>
      <w:tr w:rsidR="003E4CD9" w:rsidRPr="00CF5DEA" w14:paraId="12876A5C"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350A15A7" w14:textId="77777777" w:rsidR="003E4CD9" w:rsidRPr="00CF5DEA" w:rsidRDefault="003E4CD9">
            <w:pPr>
              <w:rPr>
                <w:rFonts w:asciiTheme="majorHAnsi" w:hAnsiTheme="majorHAnsi"/>
                <w:lang w:val="en-US"/>
              </w:rPr>
            </w:pPr>
            <w:r w:rsidRPr="00CF5DEA">
              <w:rPr>
                <w:rFonts w:asciiTheme="majorHAnsi" w:hAnsiTheme="majorHAnsi"/>
                <w:lang w:val="en-US"/>
              </w:rPr>
              <w:t>Income tax 25%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5EED7225"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5640E469"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r>
      <w:tr w:rsidR="003E4CD9" w:rsidRPr="00CF5DEA" w14:paraId="3B302E05"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70081992" w14:textId="77777777" w:rsidR="003E4CD9" w:rsidRPr="00CF5DEA" w:rsidRDefault="003E4CD9">
            <w:pPr>
              <w:rPr>
                <w:rFonts w:asciiTheme="majorHAnsi" w:hAnsiTheme="majorHAnsi"/>
                <w:b/>
                <w:lang w:val="en-US"/>
              </w:rPr>
            </w:pPr>
            <w:r w:rsidRPr="00CF5DEA">
              <w:rPr>
                <w:rFonts w:asciiTheme="majorHAnsi" w:hAnsiTheme="majorHAnsi"/>
                <w:b/>
                <w:lang w:val="en-US"/>
              </w:rPr>
              <w:t>EAT (CU)</w:t>
            </w:r>
          </w:p>
        </w:tc>
        <w:tc>
          <w:tcPr>
            <w:tcW w:w="3192" w:type="dxa"/>
            <w:tcBorders>
              <w:top w:val="single" w:sz="4" w:space="0" w:color="auto"/>
              <w:left w:val="single" w:sz="4" w:space="0" w:color="auto"/>
              <w:bottom w:val="single" w:sz="4" w:space="0" w:color="auto"/>
              <w:right w:val="single" w:sz="4" w:space="0" w:color="auto"/>
            </w:tcBorders>
            <w:vAlign w:val="center"/>
            <w:hideMark/>
          </w:tcPr>
          <w:p w14:paraId="01C9E131"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38D0BEB0"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w:t>
            </w:r>
          </w:p>
        </w:tc>
      </w:tr>
    </w:tbl>
    <w:p w14:paraId="42625C9E" w14:textId="77777777" w:rsidR="003E4CD9" w:rsidRPr="00CF5DEA" w:rsidRDefault="003E4CD9" w:rsidP="003E4CD9">
      <w:pPr>
        <w:rPr>
          <w:rFonts w:asciiTheme="majorHAnsi" w:hAnsiTheme="majorHAnsi"/>
          <w:lang w:val="en-US"/>
        </w:rPr>
      </w:pPr>
    </w:p>
    <w:p w14:paraId="5287FB54" w14:textId="77777777" w:rsidR="003E4CD9" w:rsidRPr="00CF5DEA" w:rsidRDefault="003E4CD9" w:rsidP="003E4CD9">
      <w:pPr>
        <w:rPr>
          <w:rFonts w:asciiTheme="majorHAnsi" w:hAnsiTheme="majorHAnsi"/>
          <w:lang w:val="en-US"/>
        </w:rPr>
      </w:pPr>
      <w:r w:rsidRPr="00CF5DEA">
        <w:rPr>
          <w:rFonts w:asciiTheme="majorHAnsi" w:hAnsiTheme="majorHAnsi"/>
          <w:lang w:val="en-US"/>
        </w:rPr>
        <w:t>Correction of retained earnings:</w:t>
      </w:r>
    </w:p>
    <w:tbl>
      <w:tblPr>
        <w:tblStyle w:val="TableGrid"/>
        <w:tblW w:w="0" w:type="auto"/>
        <w:jc w:val="center"/>
        <w:tblLook w:val="04A0" w:firstRow="1" w:lastRow="0" w:firstColumn="1" w:lastColumn="0" w:noHBand="0" w:noVBand="1"/>
      </w:tblPr>
      <w:tblGrid>
        <w:gridCol w:w="3192"/>
        <w:gridCol w:w="3192"/>
        <w:gridCol w:w="3084"/>
      </w:tblGrid>
      <w:tr w:rsidR="003E4CD9" w:rsidRPr="00CF5DEA" w14:paraId="3E2A4A5A"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45C1AEDD"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Item</w:t>
            </w:r>
          </w:p>
        </w:tc>
        <w:tc>
          <w:tcPr>
            <w:tcW w:w="3192" w:type="dxa"/>
            <w:tcBorders>
              <w:top w:val="single" w:sz="4" w:space="0" w:color="auto"/>
              <w:left w:val="single" w:sz="4" w:space="0" w:color="auto"/>
              <w:bottom w:val="single" w:sz="4" w:space="0" w:color="auto"/>
              <w:right w:val="single" w:sz="4" w:space="0" w:color="auto"/>
            </w:tcBorders>
            <w:vAlign w:val="center"/>
            <w:hideMark/>
          </w:tcPr>
          <w:p w14:paraId="325E3CF6"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20X0</w:t>
            </w:r>
          </w:p>
        </w:tc>
        <w:tc>
          <w:tcPr>
            <w:tcW w:w="3084" w:type="dxa"/>
            <w:tcBorders>
              <w:top w:val="single" w:sz="4" w:space="0" w:color="auto"/>
              <w:left w:val="single" w:sz="4" w:space="0" w:color="auto"/>
              <w:bottom w:val="single" w:sz="4" w:space="0" w:color="auto"/>
              <w:right w:val="single" w:sz="4" w:space="0" w:color="auto"/>
            </w:tcBorders>
            <w:vAlign w:val="center"/>
            <w:hideMark/>
          </w:tcPr>
          <w:p w14:paraId="645579B0"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20X1</w:t>
            </w:r>
          </w:p>
        </w:tc>
      </w:tr>
      <w:tr w:rsidR="003E4CD9" w:rsidRPr="00CF5DEA" w14:paraId="452F07D3"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77732A5F" w14:textId="77777777" w:rsidR="003E4CD9" w:rsidRPr="00CF5DEA" w:rsidRDefault="003E4CD9">
            <w:pPr>
              <w:rPr>
                <w:rFonts w:asciiTheme="majorHAnsi" w:hAnsiTheme="majorHAnsi"/>
                <w:b/>
                <w:lang w:val="en-US"/>
              </w:rPr>
            </w:pPr>
            <w:r w:rsidRPr="00CF5DEA">
              <w:rPr>
                <w:rFonts w:asciiTheme="majorHAnsi" w:hAnsiTheme="majorHAnsi"/>
                <w:b/>
                <w:lang w:val="en-US"/>
              </w:rPr>
              <w:t>Retained earnings at the beginning of the period (CU)</w:t>
            </w:r>
          </w:p>
        </w:tc>
        <w:tc>
          <w:tcPr>
            <w:tcW w:w="3192" w:type="dxa"/>
            <w:tcBorders>
              <w:top w:val="single" w:sz="4" w:space="0" w:color="auto"/>
              <w:left w:val="single" w:sz="4" w:space="0" w:color="auto"/>
              <w:bottom w:val="single" w:sz="4" w:space="0" w:color="auto"/>
              <w:right w:val="single" w:sz="4" w:space="0" w:color="auto"/>
            </w:tcBorders>
            <w:vAlign w:val="bottom"/>
            <w:hideMark/>
          </w:tcPr>
          <w:p w14:paraId="182D69E3"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w:t>
            </w:r>
          </w:p>
        </w:tc>
        <w:tc>
          <w:tcPr>
            <w:tcW w:w="3084" w:type="dxa"/>
            <w:tcBorders>
              <w:top w:val="single" w:sz="4" w:space="0" w:color="auto"/>
              <w:left w:val="single" w:sz="4" w:space="0" w:color="auto"/>
              <w:bottom w:val="single" w:sz="4" w:space="0" w:color="auto"/>
              <w:right w:val="single" w:sz="4" w:space="0" w:color="auto"/>
            </w:tcBorders>
            <w:vAlign w:val="bottom"/>
            <w:hideMark/>
          </w:tcPr>
          <w:p w14:paraId="2143E82F"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w:t>
            </w:r>
          </w:p>
        </w:tc>
      </w:tr>
      <w:tr w:rsidR="003E4CD9" w:rsidRPr="00CF5DEA" w14:paraId="4829B015"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384BFEB2" w14:textId="77777777" w:rsidR="003E4CD9" w:rsidRPr="00CF5DEA" w:rsidRDefault="003E4CD9">
            <w:pPr>
              <w:rPr>
                <w:rFonts w:asciiTheme="majorHAnsi" w:hAnsiTheme="majorHAnsi"/>
                <w:lang w:val="en-US"/>
              </w:rPr>
            </w:pPr>
            <w:r w:rsidRPr="00CF5DEA">
              <w:rPr>
                <w:rFonts w:asciiTheme="majorHAnsi" w:hAnsiTheme="majorHAnsi"/>
                <w:lang w:val="en-US"/>
              </w:rPr>
              <w:t>Correction of errors (CU)</w:t>
            </w:r>
          </w:p>
        </w:tc>
        <w:tc>
          <w:tcPr>
            <w:tcW w:w="3192" w:type="dxa"/>
            <w:tcBorders>
              <w:top w:val="single" w:sz="4" w:space="0" w:color="auto"/>
              <w:left w:val="single" w:sz="4" w:space="0" w:color="auto"/>
              <w:bottom w:val="single" w:sz="4" w:space="0" w:color="auto"/>
              <w:right w:val="single" w:sz="4" w:space="0" w:color="auto"/>
            </w:tcBorders>
            <w:vAlign w:val="bottom"/>
            <w:hideMark/>
          </w:tcPr>
          <w:p w14:paraId="5676D2B9"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c>
          <w:tcPr>
            <w:tcW w:w="3084" w:type="dxa"/>
            <w:tcBorders>
              <w:top w:val="single" w:sz="4" w:space="0" w:color="auto"/>
              <w:left w:val="single" w:sz="4" w:space="0" w:color="auto"/>
              <w:bottom w:val="single" w:sz="4" w:space="0" w:color="auto"/>
              <w:right w:val="single" w:sz="4" w:space="0" w:color="auto"/>
            </w:tcBorders>
            <w:vAlign w:val="bottom"/>
            <w:hideMark/>
          </w:tcPr>
          <w:p w14:paraId="277ED7CE" w14:textId="77777777" w:rsidR="003E4CD9" w:rsidRPr="00CF5DEA" w:rsidRDefault="003E4CD9">
            <w:pPr>
              <w:jc w:val="center"/>
              <w:rPr>
                <w:rFonts w:asciiTheme="majorHAnsi" w:hAnsiTheme="majorHAnsi"/>
                <w:lang w:val="en-US"/>
              </w:rPr>
            </w:pPr>
            <w:r w:rsidRPr="00CF5DEA">
              <w:rPr>
                <w:rFonts w:asciiTheme="majorHAnsi" w:hAnsiTheme="majorHAnsi"/>
                <w:lang w:val="en-US"/>
              </w:rPr>
              <w:t>…</w:t>
            </w:r>
          </w:p>
        </w:tc>
      </w:tr>
      <w:tr w:rsidR="003E4CD9" w:rsidRPr="00D73007" w14:paraId="165534AB" w14:textId="77777777" w:rsidTr="003E4CD9">
        <w:trPr>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14:paraId="025502F4" w14:textId="77777777" w:rsidR="003E4CD9" w:rsidRPr="00CF5DEA" w:rsidRDefault="003E4CD9">
            <w:pPr>
              <w:rPr>
                <w:rFonts w:asciiTheme="majorHAnsi" w:hAnsiTheme="majorHAnsi"/>
                <w:b/>
                <w:lang w:val="en-US"/>
              </w:rPr>
            </w:pPr>
            <w:r w:rsidRPr="00CF5DEA">
              <w:rPr>
                <w:rFonts w:asciiTheme="majorHAnsi" w:hAnsiTheme="majorHAnsi"/>
                <w:b/>
                <w:lang w:val="en-US"/>
              </w:rPr>
              <w:t>Corrected retained earnings at the beginning of the period (CU)</w:t>
            </w:r>
          </w:p>
        </w:tc>
        <w:tc>
          <w:tcPr>
            <w:tcW w:w="3192" w:type="dxa"/>
            <w:tcBorders>
              <w:top w:val="single" w:sz="4" w:space="0" w:color="auto"/>
              <w:left w:val="single" w:sz="4" w:space="0" w:color="auto"/>
              <w:bottom w:val="single" w:sz="4" w:space="0" w:color="auto"/>
              <w:right w:val="single" w:sz="4" w:space="0" w:color="auto"/>
            </w:tcBorders>
            <w:vAlign w:val="bottom"/>
            <w:hideMark/>
          </w:tcPr>
          <w:p w14:paraId="125EFEA5" w14:textId="77777777" w:rsidR="003E4CD9" w:rsidRPr="00CF5DEA" w:rsidRDefault="003E4CD9">
            <w:pPr>
              <w:jc w:val="center"/>
              <w:rPr>
                <w:rFonts w:asciiTheme="majorHAnsi" w:hAnsiTheme="majorHAnsi"/>
                <w:b/>
                <w:lang w:val="en-US"/>
              </w:rPr>
            </w:pPr>
            <w:r w:rsidRPr="00CF5DEA">
              <w:rPr>
                <w:rFonts w:asciiTheme="majorHAnsi" w:hAnsiTheme="majorHAnsi"/>
                <w:b/>
                <w:lang w:val="en-US"/>
              </w:rPr>
              <w:t>…</w:t>
            </w:r>
          </w:p>
        </w:tc>
        <w:tc>
          <w:tcPr>
            <w:tcW w:w="3084" w:type="dxa"/>
            <w:tcBorders>
              <w:top w:val="single" w:sz="4" w:space="0" w:color="auto"/>
              <w:left w:val="single" w:sz="4" w:space="0" w:color="auto"/>
              <w:bottom w:val="single" w:sz="4" w:space="0" w:color="auto"/>
              <w:right w:val="single" w:sz="4" w:space="0" w:color="auto"/>
            </w:tcBorders>
            <w:vAlign w:val="bottom"/>
            <w:hideMark/>
          </w:tcPr>
          <w:p w14:paraId="615BB5AA" w14:textId="77777777" w:rsidR="003E4CD9" w:rsidRPr="00D73007" w:rsidRDefault="003E4CD9">
            <w:pPr>
              <w:jc w:val="center"/>
              <w:rPr>
                <w:rFonts w:asciiTheme="majorHAnsi" w:hAnsiTheme="majorHAnsi"/>
                <w:b/>
                <w:lang w:val="en-US"/>
              </w:rPr>
            </w:pPr>
            <w:r w:rsidRPr="00CF5DEA">
              <w:rPr>
                <w:rFonts w:asciiTheme="majorHAnsi" w:hAnsiTheme="majorHAnsi"/>
                <w:b/>
                <w:lang w:val="en-US"/>
              </w:rPr>
              <w:t>…</w:t>
            </w:r>
            <w:bookmarkStart w:id="0" w:name="_GoBack"/>
            <w:bookmarkEnd w:id="0"/>
          </w:p>
        </w:tc>
      </w:tr>
    </w:tbl>
    <w:p w14:paraId="1B7EAEE4" w14:textId="77777777" w:rsidR="006868BB" w:rsidRPr="00D73007" w:rsidRDefault="006868BB" w:rsidP="006868BB">
      <w:pPr>
        <w:pStyle w:val="NoSpacing"/>
        <w:rPr>
          <w:lang w:val="en-US"/>
        </w:rPr>
      </w:pPr>
    </w:p>
    <w:p w14:paraId="66082263" w14:textId="77777777" w:rsidR="006868BB" w:rsidRPr="006868BB" w:rsidRDefault="006868BB" w:rsidP="006868BB">
      <w:pPr>
        <w:pStyle w:val="NoSpacing"/>
        <w:rPr>
          <w:lang w:val="en-US"/>
        </w:rPr>
      </w:pPr>
    </w:p>
    <w:p w14:paraId="611C2DB1" w14:textId="77777777" w:rsidR="006868BB" w:rsidRPr="006868BB" w:rsidRDefault="006868BB" w:rsidP="006868BB">
      <w:pPr>
        <w:pStyle w:val="NoSpacing"/>
        <w:rPr>
          <w:lang w:val="en-US"/>
        </w:rPr>
      </w:pPr>
    </w:p>
    <w:p w14:paraId="1111D790" w14:textId="77777777" w:rsidR="006868BB" w:rsidRPr="006868BB" w:rsidRDefault="006868BB" w:rsidP="006868BB">
      <w:pPr>
        <w:pStyle w:val="NoSpacing"/>
        <w:rPr>
          <w:lang w:val="en-US"/>
        </w:rPr>
      </w:pPr>
    </w:p>
    <w:p w14:paraId="7487773E" w14:textId="77777777" w:rsidR="006868BB" w:rsidRPr="006868BB" w:rsidRDefault="006868BB" w:rsidP="006868BB">
      <w:pPr>
        <w:pStyle w:val="NoSpacing"/>
        <w:rPr>
          <w:lang w:val="en-US"/>
        </w:rPr>
      </w:pPr>
    </w:p>
    <w:p w14:paraId="0BF66DC1" w14:textId="77777777" w:rsidR="006868BB" w:rsidRPr="006868BB" w:rsidRDefault="006868BB" w:rsidP="006868BB">
      <w:pPr>
        <w:pStyle w:val="NoSpacing"/>
        <w:rPr>
          <w:lang w:val="en-US"/>
        </w:rPr>
      </w:pPr>
    </w:p>
    <w:p w14:paraId="07DD2BB5" w14:textId="77777777" w:rsidR="006868BB" w:rsidRPr="006868BB" w:rsidRDefault="006868BB" w:rsidP="006868BB">
      <w:pPr>
        <w:pStyle w:val="NoSpacing"/>
        <w:rPr>
          <w:lang w:val="en-US"/>
        </w:rPr>
      </w:pPr>
    </w:p>
    <w:p w14:paraId="4AE260C5" w14:textId="77777777" w:rsidR="006868BB" w:rsidRPr="006868BB" w:rsidRDefault="006868BB" w:rsidP="006868BB">
      <w:pPr>
        <w:pStyle w:val="NoSpacing"/>
        <w:rPr>
          <w:lang w:val="en-US"/>
        </w:rPr>
      </w:pPr>
    </w:p>
    <w:p w14:paraId="69A7513C" w14:textId="77777777" w:rsidR="006868BB" w:rsidRPr="006868BB" w:rsidRDefault="006868BB" w:rsidP="006868BB">
      <w:pPr>
        <w:pStyle w:val="NoSpacing"/>
        <w:rPr>
          <w:lang w:val="en-US"/>
        </w:rPr>
      </w:pPr>
    </w:p>
    <w:p w14:paraId="52E46BAC" w14:textId="77777777" w:rsidR="006868BB" w:rsidRPr="006868BB" w:rsidRDefault="006868BB" w:rsidP="006868BB">
      <w:pPr>
        <w:pStyle w:val="NoSpacing"/>
        <w:rPr>
          <w:lang w:val="en-US"/>
        </w:rPr>
      </w:pPr>
    </w:p>
    <w:p w14:paraId="20038F83" w14:textId="77777777" w:rsidR="006868BB" w:rsidRPr="006868BB" w:rsidRDefault="006868BB" w:rsidP="006868BB">
      <w:pPr>
        <w:pStyle w:val="NoSpacing"/>
        <w:rPr>
          <w:lang w:val="en-US"/>
        </w:rPr>
      </w:pPr>
    </w:p>
    <w:p w14:paraId="43A548E4" w14:textId="77777777" w:rsidR="006868BB" w:rsidRPr="006868BB" w:rsidRDefault="006868BB" w:rsidP="006868BB">
      <w:pPr>
        <w:pStyle w:val="NoSpacing"/>
        <w:rPr>
          <w:lang w:val="en-US"/>
        </w:rPr>
      </w:pPr>
    </w:p>
    <w:p w14:paraId="36EA246D" w14:textId="77777777" w:rsidR="006868BB" w:rsidRPr="006868BB" w:rsidRDefault="006868BB" w:rsidP="006868BB">
      <w:pPr>
        <w:pStyle w:val="NoSpacing"/>
        <w:rPr>
          <w:lang w:val="en-US"/>
        </w:rPr>
      </w:pPr>
    </w:p>
    <w:p w14:paraId="1760E3C3" w14:textId="77777777" w:rsidR="006868BB" w:rsidRPr="0085231B" w:rsidRDefault="006868BB" w:rsidP="006868BB">
      <w:pPr>
        <w:rPr>
          <w:rFonts w:asciiTheme="majorHAnsi" w:hAnsiTheme="majorHAnsi"/>
          <w:sz w:val="20"/>
          <w:szCs w:val="20"/>
          <w:lang w:val="en-US"/>
        </w:rPr>
      </w:pPr>
    </w:p>
    <w:p w14:paraId="7B0E7C7D" w14:textId="77777777" w:rsidR="006868BB" w:rsidRPr="0085231B" w:rsidRDefault="006868BB" w:rsidP="0085231B">
      <w:pPr>
        <w:jc w:val="both"/>
        <w:rPr>
          <w:rFonts w:asciiTheme="majorHAnsi" w:hAnsiTheme="majorHAnsi" w:cs="Times New Roman"/>
          <w:b/>
          <w:color w:val="000000"/>
          <w:sz w:val="20"/>
          <w:szCs w:val="20"/>
          <w:u w:val="single"/>
          <w:shd w:val="clear" w:color="auto" w:fill="FFFFFF"/>
          <w:lang w:val="en-US"/>
        </w:rPr>
      </w:pPr>
    </w:p>
    <w:sectPr w:rsidR="006868BB" w:rsidRPr="0085231B" w:rsidSect="0085231B">
      <w:pgSz w:w="12240" w:h="15840"/>
      <w:pgMar w:top="81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4A5"/>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12BF"/>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53829"/>
    <w:multiLevelType w:val="hybridMultilevel"/>
    <w:tmpl w:val="5FE4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3646"/>
    <w:multiLevelType w:val="hybridMultilevel"/>
    <w:tmpl w:val="F264A4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72A74"/>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62F28"/>
    <w:multiLevelType w:val="hybridMultilevel"/>
    <w:tmpl w:val="B56ED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B51E28"/>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13424"/>
    <w:multiLevelType w:val="hybridMultilevel"/>
    <w:tmpl w:val="F55EC01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A552F"/>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E2B8D"/>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514A1"/>
    <w:multiLevelType w:val="hybridMultilevel"/>
    <w:tmpl w:val="F264A4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5437F"/>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C31E7"/>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A160D"/>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457EC"/>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92881"/>
    <w:multiLevelType w:val="hybridMultilevel"/>
    <w:tmpl w:val="F264A4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E68F0"/>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C6BA1"/>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09C3"/>
    <w:multiLevelType w:val="hybridMultilevel"/>
    <w:tmpl w:val="FF9E1B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95015"/>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C3C55"/>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C101D"/>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E78FF"/>
    <w:multiLevelType w:val="hybridMultilevel"/>
    <w:tmpl w:val="7B32A5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
  </w:num>
  <w:num w:numId="5">
    <w:abstractNumId w:val="17"/>
  </w:num>
  <w:num w:numId="6">
    <w:abstractNumId w:val="14"/>
  </w:num>
  <w:num w:numId="7">
    <w:abstractNumId w:val="8"/>
  </w:num>
  <w:num w:numId="8">
    <w:abstractNumId w:val="15"/>
  </w:num>
  <w:num w:numId="9">
    <w:abstractNumId w:val="3"/>
  </w:num>
  <w:num w:numId="10">
    <w:abstractNumId w:val="16"/>
  </w:num>
  <w:num w:numId="11">
    <w:abstractNumId w:val="20"/>
  </w:num>
  <w:num w:numId="12">
    <w:abstractNumId w:val="18"/>
  </w:num>
  <w:num w:numId="13">
    <w:abstractNumId w:val="11"/>
  </w:num>
  <w:num w:numId="14">
    <w:abstractNumId w:val="22"/>
  </w:num>
  <w:num w:numId="15">
    <w:abstractNumId w:val="7"/>
  </w:num>
  <w:num w:numId="16">
    <w:abstractNumId w:val="10"/>
  </w:num>
  <w:num w:numId="17">
    <w:abstractNumId w:val="6"/>
  </w:num>
  <w:num w:numId="18">
    <w:abstractNumId w:val="4"/>
  </w:num>
  <w:num w:numId="19">
    <w:abstractNumId w:val="19"/>
  </w:num>
  <w:num w:numId="20">
    <w:abstractNumId w:val="21"/>
  </w:num>
  <w:num w:numId="21">
    <w:abstractNumId w:val="2"/>
  </w:num>
  <w:num w:numId="22">
    <w:abstractNumId w:val="5"/>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D5"/>
    <w:rsid w:val="00011EB8"/>
    <w:rsid w:val="00021061"/>
    <w:rsid w:val="00045B54"/>
    <w:rsid w:val="000747B1"/>
    <w:rsid w:val="00094EA7"/>
    <w:rsid w:val="000E277F"/>
    <w:rsid w:val="000F150A"/>
    <w:rsid w:val="000F6304"/>
    <w:rsid w:val="00135632"/>
    <w:rsid w:val="001676EA"/>
    <w:rsid w:val="00187D9D"/>
    <w:rsid w:val="001B69B0"/>
    <w:rsid w:val="001D434B"/>
    <w:rsid w:val="002123B8"/>
    <w:rsid w:val="00220109"/>
    <w:rsid w:val="002224B4"/>
    <w:rsid w:val="00251988"/>
    <w:rsid w:val="002A09F7"/>
    <w:rsid w:val="002D3D60"/>
    <w:rsid w:val="003456BC"/>
    <w:rsid w:val="0035051A"/>
    <w:rsid w:val="003715AD"/>
    <w:rsid w:val="00373217"/>
    <w:rsid w:val="003C7040"/>
    <w:rsid w:val="003D5F3E"/>
    <w:rsid w:val="003E14D5"/>
    <w:rsid w:val="003E4CD9"/>
    <w:rsid w:val="004049A3"/>
    <w:rsid w:val="00407FC9"/>
    <w:rsid w:val="00427D8D"/>
    <w:rsid w:val="004332FC"/>
    <w:rsid w:val="00447268"/>
    <w:rsid w:val="00451B61"/>
    <w:rsid w:val="00474564"/>
    <w:rsid w:val="00485446"/>
    <w:rsid w:val="0048563B"/>
    <w:rsid w:val="004D1681"/>
    <w:rsid w:val="004F54FE"/>
    <w:rsid w:val="0053297E"/>
    <w:rsid w:val="00560F8F"/>
    <w:rsid w:val="00575DCB"/>
    <w:rsid w:val="00583784"/>
    <w:rsid w:val="005B3089"/>
    <w:rsid w:val="005D34A8"/>
    <w:rsid w:val="005E799E"/>
    <w:rsid w:val="005F0151"/>
    <w:rsid w:val="00621EFD"/>
    <w:rsid w:val="006868BB"/>
    <w:rsid w:val="006C1D6E"/>
    <w:rsid w:val="006C33E3"/>
    <w:rsid w:val="006F028B"/>
    <w:rsid w:val="006F7920"/>
    <w:rsid w:val="00723449"/>
    <w:rsid w:val="00723C29"/>
    <w:rsid w:val="00764D3C"/>
    <w:rsid w:val="007C704C"/>
    <w:rsid w:val="007D4BCA"/>
    <w:rsid w:val="008179E7"/>
    <w:rsid w:val="00830E37"/>
    <w:rsid w:val="008518AA"/>
    <w:rsid w:val="0085231B"/>
    <w:rsid w:val="008B4D37"/>
    <w:rsid w:val="008C4BC1"/>
    <w:rsid w:val="008C78F1"/>
    <w:rsid w:val="008D3F08"/>
    <w:rsid w:val="009077C5"/>
    <w:rsid w:val="009132D9"/>
    <w:rsid w:val="00944DED"/>
    <w:rsid w:val="00992846"/>
    <w:rsid w:val="009E0579"/>
    <w:rsid w:val="00A07A7D"/>
    <w:rsid w:val="00A157DA"/>
    <w:rsid w:val="00A20472"/>
    <w:rsid w:val="00A31EDA"/>
    <w:rsid w:val="00A4393C"/>
    <w:rsid w:val="00A608F0"/>
    <w:rsid w:val="00A64C5A"/>
    <w:rsid w:val="00A71A80"/>
    <w:rsid w:val="00A76153"/>
    <w:rsid w:val="00A97467"/>
    <w:rsid w:val="00AD6E0E"/>
    <w:rsid w:val="00B07032"/>
    <w:rsid w:val="00B47B4D"/>
    <w:rsid w:val="00B866B3"/>
    <w:rsid w:val="00B91A06"/>
    <w:rsid w:val="00BA25B3"/>
    <w:rsid w:val="00BD7954"/>
    <w:rsid w:val="00BE44F0"/>
    <w:rsid w:val="00C47692"/>
    <w:rsid w:val="00C963BD"/>
    <w:rsid w:val="00CA0D07"/>
    <w:rsid w:val="00CB121C"/>
    <w:rsid w:val="00CB20A8"/>
    <w:rsid w:val="00CB5B46"/>
    <w:rsid w:val="00CE7926"/>
    <w:rsid w:val="00CF5DEA"/>
    <w:rsid w:val="00D13FCE"/>
    <w:rsid w:val="00D65045"/>
    <w:rsid w:val="00D73007"/>
    <w:rsid w:val="00DF37A4"/>
    <w:rsid w:val="00E32770"/>
    <w:rsid w:val="00E62D74"/>
    <w:rsid w:val="00E654D8"/>
    <w:rsid w:val="00E944A0"/>
    <w:rsid w:val="00F24230"/>
    <w:rsid w:val="00F66210"/>
    <w:rsid w:val="00F76BF9"/>
    <w:rsid w:val="00F96FFC"/>
    <w:rsid w:val="00FF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4FE1"/>
  <w15:docId w15:val="{6B7BAE65-6F44-4ADA-ADFD-27FB6CD4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4D5"/>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ListParagraph">
    <w:name w:val="List Paragraph"/>
    <w:basedOn w:val="Normal"/>
    <w:uiPriority w:val="34"/>
    <w:qFormat/>
    <w:rsid w:val="003E14D5"/>
    <w:pPr>
      <w:ind w:left="720"/>
      <w:contextualSpacing/>
    </w:pPr>
  </w:style>
  <w:style w:type="table" w:styleId="TableGrid">
    <w:name w:val="Table Grid"/>
    <w:basedOn w:val="TableNormal"/>
    <w:uiPriority w:val="59"/>
    <w:rsid w:val="00F76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6BF9"/>
    <w:pPr>
      <w:spacing w:after="0" w:line="240" w:lineRule="auto"/>
    </w:pPr>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E10D-2658-43C6-A117-286B6FAB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1418</Words>
  <Characters>8083</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 Lemeshko</cp:lastModifiedBy>
  <cp:revision>22</cp:revision>
  <dcterms:created xsi:type="dcterms:W3CDTF">2017-11-26T08:28:00Z</dcterms:created>
  <dcterms:modified xsi:type="dcterms:W3CDTF">2020-11-05T09:59:00Z</dcterms:modified>
</cp:coreProperties>
</file>