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E8F44D" w14:textId="77777777" w:rsidR="003C1F08" w:rsidRPr="00CB7EA8" w:rsidRDefault="003C1F08" w:rsidP="003C1F08">
      <w:pPr>
        <w:jc w:val="center"/>
        <w:rPr>
          <w:rFonts w:asciiTheme="majorHAnsi" w:hAnsiTheme="majorHAnsi"/>
          <w:b/>
          <w:sz w:val="24"/>
          <w:szCs w:val="24"/>
          <w:lang w:val="en-US"/>
        </w:rPr>
      </w:pPr>
      <w:r w:rsidRPr="00CB7EA8">
        <w:rPr>
          <w:rFonts w:asciiTheme="majorHAnsi" w:hAnsiTheme="majorHAnsi"/>
          <w:b/>
          <w:sz w:val="24"/>
          <w:szCs w:val="24"/>
          <w:lang w:val="en-US"/>
        </w:rPr>
        <w:t>Provisions and Contingencies</w:t>
      </w:r>
    </w:p>
    <w:p w14:paraId="3EF129E8" w14:textId="77777777" w:rsidR="003C1F08" w:rsidRPr="00CB7EA8" w:rsidRDefault="003C1F08" w:rsidP="00736661">
      <w:pPr>
        <w:pStyle w:val="ListParagraph"/>
        <w:numPr>
          <w:ilvl w:val="0"/>
          <w:numId w:val="42"/>
        </w:numPr>
        <w:ind w:left="360"/>
        <w:jc w:val="both"/>
        <w:rPr>
          <w:rFonts w:asciiTheme="majorHAnsi" w:hAnsiTheme="majorHAnsi"/>
          <w:lang w:val="en-US"/>
        </w:rPr>
      </w:pPr>
      <w:r w:rsidRPr="00CB7EA8">
        <w:rPr>
          <w:rFonts w:asciiTheme="majorHAnsi" w:hAnsiTheme="majorHAnsi"/>
          <w:lang w:val="en-US"/>
        </w:rPr>
        <w:t>What are the criteria for provisions and contingencies being recognized?</w:t>
      </w:r>
    </w:p>
    <w:p w14:paraId="44E16D8A" w14:textId="77777777" w:rsidR="003C1F08" w:rsidRPr="00CB7EA8" w:rsidRDefault="004536CC" w:rsidP="00736661">
      <w:pPr>
        <w:pStyle w:val="ListParagraph"/>
        <w:numPr>
          <w:ilvl w:val="0"/>
          <w:numId w:val="43"/>
        </w:numPr>
        <w:rPr>
          <w:rFonts w:asciiTheme="majorHAnsi" w:hAnsiTheme="majorHAnsi"/>
          <w:lang w:val="en-US"/>
        </w:rPr>
      </w:pPr>
      <w:r>
        <w:rPr>
          <w:rFonts w:asciiTheme="majorHAnsi" w:hAnsiTheme="majorHAnsi"/>
          <w:lang w:val="en-US"/>
        </w:rPr>
        <w:t>The</w:t>
      </w:r>
      <w:r w:rsidR="003C1F08" w:rsidRPr="00CB7EA8">
        <w:rPr>
          <w:rFonts w:asciiTheme="majorHAnsi" w:hAnsiTheme="majorHAnsi"/>
          <w:lang w:val="en-US"/>
        </w:rPr>
        <w:t xml:space="preserve"> entity has an obligation at the reporting date a</w:t>
      </w:r>
      <w:r>
        <w:rPr>
          <w:rFonts w:asciiTheme="majorHAnsi" w:hAnsiTheme="majorHAnsi"/>
          <w:lang w:val="en-US"/>
        </w:rPr>
        <w:t>s a result of a past event.</w:t>
      </w:r>
    </w:p>
    <w:p w14:paraId="1734332F" w14:textId="77777777" w:rsidR="003C1F08" w:rsidRPr="00CB7EA8" w:rsidRDefault="004536CC" w:rsidP="00736661">
      <w:pPr>
        <w:pStyle w:val="ListParagraph"/>
        <w:numPr>
          <w:ilvl w:val="0"/>
          <w:numId w:val="43"/>
        </w:numPr>
        <w:rPr>
          <w:rFonts w:asciiTheme="majorHAnsi" w:hAnsiTheme="majorHAnsi"/>
          <w:lang w:val="en-US"/>
        </w:rPr>
      </w:pPr>
      <w:r>
        <w:rPr>
          <w:rFonts w:asciiTheme="majorHAnsi" w:hAnsiTheme="majorHAnsi"/>
          <w:lang w:val="en-US"/>
        </w:rPr>
        <w:t>The</w:t>
      </w:r>
      <w:r w:rsidR="003C1F08" w:rsidRPr="00CB7EA8">
        <w:rPr>
          <w:rFonts w:asciiTheme="majorHAnsi" w:hAnsiTheme="majorHAnsi"/>
          <w:lang w:val="en-US"/>
        </w:rPr>
        <w:t xml:space="preserve"> entity has a receivable at the reporting da</w:t>
      </w:r>
      <w:r>
        <w:rPr>
          <w:rFonts w:asciiTheme="majorHAnsi" w:hAnsiTheme="majorHAnsi"/>
          <w:lang w:val="en-US"/>
        </w:rPr>
        <w:t>te as a result of a past event.</w:t>
      </w:r>
    </w:p>
    <w:p w14:paraId="489C42B4" w14:textId="77777777" w:rsidR="003C1F08" w:rsidRPr="00CB7EA8" w:rsidRDefault="004536CC" w:rsidP="00736661">
      <w:pPr>
        <w:pStyle w:val="ListParagraph"/>
        <w:numPr>
          <w:ilvl w:val="0"/>
          <w:numId w:val="43"/>
        </w:numPr>
        <w:rPr>
          <w:rFonts w:asciiTheme="majorHAnsi" w:hAnsiTheme="majorHAnsi"/>
          <w:lang w:val="en-US"/>
        </w:rPr>
      </w:pPr>
      <w:r>
        <w:rPr>
          <w:rFonts w:asciiTheme="majorHAnsi" w:hAnsiTheme="majorHAnsi"/>
          <w:lang w:val="en-US"/>
        </w:rPr>
        <w:t>I</w:t>
      </w:r>
      <w:r w:rsidR="003C1F08" w:rsidRPr="00CB7EA8">
        <w:rPr>
          <w:rFonts w:asciiTheme="majorHAnsi" w:hAnsiTheme="majorHAnsi"/>
          <w:lang w:val="en-US"/>
        </w:rPr>
        <w:t>t is probable (i.e. more likely than not) that the entity will be required to transfer econo</w:t>
      </w:r>
      <w:r>
        <w:rPr>
          <w:rFonts w:asciiTheme="majorHAnsi" w:hAnsiTheme="majorHAnsi"/>
          <w:lang w:val="en-US"/>
        </w:rPr>
        <w:t xml:space="preserve">mic benefits in settlement. </w:t>
      </w:r>
    </w:p>
    <w:p w14:paraId="2DB7C8CF" w14:textId="77777777" w:rsidR="003C1F08" w:rsidRPr="00CB7EA8" w:rsidRDefault="004536CC" w:rsidP="00736661">
      <w:pPr>
        <w:pStyle w:val="ListParagraph"/>
        <w:numPr>
          <w:ilvl w:val="0"/>
          <w:numId w:val="43"/>
        </w:numPr>
        <w:rPr>
          <w:rFonts w:asciiTheme="majorHAnsi" w:hAnsiTheme="majorHAnsi"/>
          <w:lang w:val="en-US"/>
        </w:rPr>
      </w:pPr>
      <w:r>
        <w:rPr>
          <w:rFonts w:asciiTheme="majorHAnsi" w:hAnsiTheme="majorHAnsi"/>
          <w:lang w:val="en-US"/>
        </w:rPr>
        <w:t>I</w:t>
      </w:r>
      <w:r w:rsidR="003C1F08" w:rsidRPr="00CB7EA8">
        <w:rPr>
          <w:rFonts w:asciiTheme="majorHAnsi" w:hAnsiTheme="majorHAnsi"/>
          <w:lang w:val="en-US"/>
        </w:rPr>
        <w:t xml:space="preserve">t is probable (i.e. more likely than not) that the entity will be receive a transfer of </w:t>
      </w:r>
      <w:r>
        <w:rPr>
          <w:rFonts w:asciiTheme="majorHAnsi" w:hAnsiTheme="majorHAnsi"/>
          <w:lang w:val="en-US"/>
        </w:rPr>
        <w:t>economic benefits in settlement.</w:t>
      </w:r>
      <w:r w:rsidR="003C1F08" w:rsidRPr="00CB7EA8">
        <w:rPr>
          <w:rFonts w:asciiTheme="majorHAnsi" w:hAnsiTheme="majorHAnsi"/>
          <w:lang w:val="en-US"/>
        </w:rPr>
        <w:t xml:space="preserve"> </w:t>
      </w:r>
    </w:p>
    <w:p w14:paraId="7E9F89BB" w14:textId="77777777" w:rsidR="003C1F08" w:rsidRPr="00CB7EA8" w:rsidRDefault="004536CC" w:rsidP="00736661">
      <w:pPr>
        <w:pStyle w:val="ListParagraph"/>
        <w:numPr>
          <w:ilvl w:val="0"/>
          <w:numId w:val="43"/>
        </w:numPr>
        <w:rPr>
          <w:rFonts w:asciiTheme="majorHAnsi" w:hAnsiTheme="majorHAnsi"/>
          <w:lang w:val="en-US"/>
        </w:rPr>
      </w:pPr>
      <w:r>
        <w:rPr>
          <w:rFonts w:asciiTheme="majorHAnsi" w:hAnsiTheme="majorHAnsi"/>
          <w:lang w:val="en-US"/>
        </w:rPr>
        <w:t>T</w:t>
      </w:r>
      <w:r w:rsidR="003C1F08" w:rsidRPr="00CB7EA8">
        <w:rPr>
          <w:rFonts w:asciiTheme="majorHAnsi" w:hAnsiTheme="majorHAnsi"/>
          <w:lang w:val="en-US"/>
        </w:rPr>
        <w:t>he amount of the obligation can be estimated approximately.</w:t>
      </w:r>
    </w:p>
    <w:p w14:paraId="4973D7A6" w14:textId="77777777" w:rsidR="003C1F08" w:rsidRDefault="004536CC" w:rsidP="00736661">
      <w:pPr>
        <w:pStyle w:val="ListParagraph"/>
        <w:numPr>
          <w:ilvl w:val="0"/>
          <w:numId w:val="43"/>
        </w:numPr>
        <w:rPr>
          <w:rFonts w:asciiTheme="majorHAnsi" w:hAnsiTheme="majorHAnsi"/>
          <w:lang w:val="en-US"/>
        </w:rPr>
      </w:pPr>
      <w:r>
        <w:rPr>
          <w:rFonts w:asciiTheme="majorHAnsi" w:hAnsiTheme="majorHAnsi"/>
          <w:lang w:val="en-US"/>
        </w:rPr>
        <w:t>T</w:t>
      </w:r>
      <w:r w:rsidR="003C1F08" w:rsidRPr="00CB7EA8">
        <w:rPr>
          <w:rFonts w:asciiTheme="majorHAnsi" w:hAnsiTheme="majorHAnsi"/>
          <w:lang w:val="en-US"/>
        </w:rPr>
        <w:t>he amount of the obligation</w:t>
      </w:r>
      <w:r>
        <w:rPr>
          <w:rFonts w:asciiTheme="majorHAnsi" w:hAnsiTheme="majorHAnsi"/>
          <w:lang w:val="en-US"/>
        </w:rPr>
        <w:t xml:space="preserve"> can be estimated reliably. </w:t>
      </w:r>
    </w:p>
    <w:p w14:paraId="7C24D9F0" w14:textId="77777777" w:rsidR="00736661" w:rsidRPr="00CB7EA8" w:rsidRDefault="00736661" w:rsidP="00736661">
      <w:pPr>
        <w:pStyle w:val="ListParagraph"/>
        <w:rPr>
          <w:rFonts w:asciiTheme="majorHAnsi" w:hAnsiTheme="majorHAnsi"/>
          <w:lang w:val="en-US"/>
        </w:rPr>
      </w:pPr>
    </w:p>
    <w:p w14:paraId="2CC9B5D7" w14:textId="77777777" w:rsidR="003C1F08" w:rsidRPr="00CB7EA8" w:rsidRDefault="003C1F08" w:rsidP="00736661">
      <w:pPr>
        <w:pStyle w:val="ListParagraph"/>
        <w:numPr>
          <w:ilvl w:val="0"/>
          <w:numId w:val="42"/>
        </w:numPr>
        <w:ind w:left="360"/>
        <w:jc w:val="both"/>
        <w:rPr>
          <w:rFonts w:asciiTheme="majorHAnsi" w:hAnsiTheme="majorHAnsi"/>
          <w:lang w:val="en-US"/>
        </w:rPr>
      </w:pPr>
      <w:r w:rsidRPr="00CB7EA8">
        <w:rPr>
          <w:rFonts w:asciiTheme="majorHAnsi" w:hAnsiTheme="majorHAnsi"/>
          <w:lang w:val="en-US"/>
        </w:rPr>
        <w:t>A provision should be measured at:</w:t>
      </w:r>
    </w:p>
    <w:p w14:paraId="5151B114" w14:textId="77777777" w:rsidR="003C1F08" w:rsidRPr="00CB7EA8" w:rsidRDefault="004536CC" w:rsidP="00736661">
      <w:pPr>
        <w:pStyle w:val="ListParagraph"/>
        <w:numPr>
          <w:ilvl w:val="0"/>
          <w:numId w:val="44"/>
        </w:numPr>
        <w:rPr>
          <w:rFonts w:asciiTheme="majorHAnsi" w:hAnsiTheme="majorHAnsi"/>
          <w:lang w:val="en-US"/>
        </w:rPr>
      </w:pPr>
      <w:r>
        <w:rPr>
          <w:rFonts w:asciiTheme="majorHAnsi" w:hAnsiTheme="majorHAnsi"/>
          <w:lang w:val="en-US"/>
        </w:rPr>
        <w:t>c</w:t>
      </w:r>
      <w:r w:rsidR="003C1F08" w:rsidRPr="00CB7EA8">
        <w:rPr>
          <w:rFonts w:asciiTheme="majorHAnsi" w:hAnsiTheme="majorHAnsi"/>
          <w:lang w:val="en-US"/>
        </w:rPr>
        <w:t>ost</w:t>
      </w:r>
      <w:r>
        <w:rPr>
          <w:rFonts w:asciiTheme="majorHAnsi" w:hAnsiTheme="majorHAnsi"/>
          <w:lang w:val="en-US"/>
        </w:rPr>
        <w:t>.</w:t>
      </w:r>
    </w:p>
    <w:p w14:paraId="46031A0B" w14:textId="77777777" w:rsidR="003C1F08" w:rsidRPr="00CB7EA8" w:rsidRDefault="004536CC" w:rsidP="00736661">
      <w:pPr>
        <w:pStyle w:val="ListParagraph"/>
        <w:numPr>
          <w:ilvl w:val="0"/>
          <w:numId w:val="44"/>
        </w:numPr>
        <w:rPr>
          <w:rFonts w:asciiTheme="majorHAnsi" w:hAnsiTheme="majorHAnsi"/>
          <w:lang w:val="en-US"/>
        </w:rPr>
      </w:pPr>
      <w:r>
        <w:rPr>
          <w:rFonts w:asciiTheme="majorHAnsi" w:hAnsiTheme="majorHAnsi"/>
          <w:lang w:val="en-US"/>
        </w:rPr>
        <w:t>f</w:t>
      </w:r>
      <w:r w:rsidR="003C1F08" w:rsidRPr="00CB7EA8">
        <w:rPr>
          <w:rFonts w:asciiTheme="majorHAnsi" w:hAnsiTheme="majorHAnsi"/>
          <w:lang w:val="en-US"/>
        </w:rPr>
        <w:t>air value</w:t>
      </w:r>
      <w:r>
        <w:rPr>
          <w:rFonts w:asciiTheme="majorHAnsi" w:hAnsiTheme="majorHAnsi"/>
          <w:lang w:val="en-US"/>
        </w:rPr>
        <w:t>.</w:t>
      </w:r>
    </w:p>
    <w:p w14:paraId="000AE04E" w14:textId="77777777" w:rsidR="003C1F08" w:rsidRDefault="004536CC" w:rsidP="00736661">
      <w:pPr>
        <w:pStyle w:val="ListParagraph"/>
        <w:numPr>
          <w:ilvl w:val="0"/>
          <w:numId w:val="44"/>
        </w:numPr>
        <w:rPr>
          <w:rFonts w:asciiTheme="majorHAnsi" w:hAnsiTheme="majorHAnsi"/>
          <w:lang w:val="en-US"/>
        </w:rPr>
      </w:pPr>
      <w:r>
        <w:rPr>
          <w:rFonts w:asciiTheme="majorHAnsi" w:hAnsiTheme="majorHAnsi"/>
          <w:lang w:val="en-US"/>
        </w:rPr>
        <w:t>b</w:t>
      </w:r>
      <w:r w:rsidR="003C1F08" w:rsidRPr="00CB7EA8">
        <w:rPr>
          <w:rFonts w:asciiTheme="majorHAnsi" w:hAnsiTheme="majorHAnsi"/>
          <w:lang w:val="en-US"/>
        </w:rPr>
        <w:t>est estimate of the amount required to settle the obligation at the reporting date.</w:t>
      </w:r>
    </w:p>
    <w:p w14:paraId="3C4BCEAD" w14:textId="77777777" w:rsidR="00736661" w:rsidRPr="00CB7EA8" w:rsidRDefault="00736661" w:rsidP="00736661">
      <w:pPr>
        <w:pStyle w:val="ListParagraph"/>
        <w:rPr>
          <w:rFonts w:asciiTheme="majorHAnsi" w:hAnsiTheme="majorHAnsi"/>
          <w:lang w:val="en-US"/>
        </w:rPr>
      </w:pPr>
    </w:p>
    <w:p w14:paraId="4344A17C" w14:textId="77777777" w:rsidR="003C1F08" w:rsidRPr="00CB7EA8" w:rsidRDefault="003C1F08" w:rsidP="00736661">
      <w:pPr>
        <w:pStyle w:val="ListParagraph"/>
        <w:numPr>
          <w:ilvl w:val="0"/>
          <w:numId w:val="42"/>
        </w:numPr>
        <w:ind w:left="360"/>
        <w:jc w:val="both"/>
        <w:rPr>
          <w:rFonts w:asciiTheme="majorHAnsi" w:hAnsiTheme="majorHAnsi"/>
          <w:lang w:val="en-US"/>
        </w:rPr>
      </w:pPr>
      <w:r w:rsidRPr="00CB7EA8">
        <w:rPr>
          <w:rFonts w:asciiTheme="majorHAnsi" w:hAnsiTheme="majorHAnsi"/>
          <w:lang w:val="en-US"/>
        </w:rPr>
        <w:t>Decide which statements are true:</w:t>
      </w:r>
    </w:p>
    <w:p w14:paraId="3AF3E2F8" w14:textId="77777777" w:rsidR="003C1F08" w:rsidRPr="00CB7EA8" w:rsidRDefault="003C1F08" w:rsidP="00736661">
      <w:pPr>
        <w:pStyle w:val="ListParagraph"/>
        <w:numPr>
          <w:ilvl w:val="0"/>
          <w:numId w:val="45"/>
        </w:numPr>
        <w:rPr>
          <w:rFonts w:asciiTheme="majorHAnsi" w:hAnsiTheme="majorHAnsi"/>
          <w:lang w:val="en-US"/>
        </w:rPr>
      </w:pPr>
      <w:r w:rsidRPr="00CB7EA8">
        <w:rPr>
          <w:rFonts w:asciiTheme="majorHAnsi" w:hAnsiTheme="majorHAnsi"/>
          <w:lang w:val="en-US"/>
        </w:rPr>
        <w:t>When the provision involves a large population of items, the estimate of the amount reflects the weighting of all possible outcomes by thei</w:t>
      </w:r>
      <w:r w:rsidR="004536CC">
        <w:rPr>
          <w:rFonts w:asciiTheme="majorHAnsi" w:hAnsiTheme="majorHAnsi"/>
          <w:lang w:val="en-US"/>
        </w:rPr>
        <w:t xml:space="preserve">r associated probabilities. </w:t>
      </w:r>
    </w:p>
    <w:p w14:paraId="39572487" w14:textId="77777777" w:rsidR="003C1F08" w:rsidRPr="00CB7EA8" w:rsidRDefault="003C1F08" w:rsidP="00736661">
      <w:pPr>
        <w:pStyle w:val="ListParagraph"/>
        <w:numPr>
          <w:ilvl w:val="0"/>
          <w:numId w:val="45"/>
        </w:numPr>
        <w:rPr>
          <w:rFonts w:asciiTheme="majorHAnsi" w:hAnsiTheme="majorHAnsi"/>
          <w:lang w:val="en-US"/>
        </w:rPr>
      </w:pPr>
      <w:r w:rsidRPr="00CB7EA8">
        <w:rPr>
          <w:rFonts w:asciiTheme="majorHAnsi" w:hAnsiTheme="majorHAnsi"/>
          <w:lang w:val="en-US"/>
        </w:rPr>
        <w:t>When the provision arises from a single obligation, the individual most likely outcome may be the best estimate of the amount require</w:t>
      </w:r>
      <w:r w:rsidR="004536CC">
        <w:rPr>
          <w:rFonts w:asciiTheme="majorHAnsi" w:hAnsiTheme="majorHAnsi"/>
          <w:lang w:val="en-US"/>
        </w:rPr>
        <w:t xml:space="preserve">d to settle the obligation. </w:t>
      </w:r>
    </w:p>
    <w:p w14:paraId="5F21201D" w14:textId="77777777" w:rsidR="00736661" w:rsidRDefault="003C1F08" w:rsidP="009E48C3">
      <w:pPr>
        <w:pStyle w:val="ListParagraph"/>
        <w:numPr>
          <w:ilvl w:val="0"/>
          <w:numId w:val="45"/>
        </w:numPr>
        <w:rPr>
          <w:rFonts w:asciiTheme="majorHAnsi" w:hAnsiTheme="majorHAnsi"/>
          <w:lang w:val="en-US"/>
        </w:rPr>
      </w:pPr>
      <w:r w:rsidRPr="004536CC">
        <w:rPr>
          <w:rFonts w:asciiTheme="majorHAnsi" w:hAnsiTheme="majorHAnsi"/>
          <w:lang w:val="en-US"/>
        </w:rPr>
        <w:t>At subsequent measurement an entity can charge agains</w:t>
      </w:r>
      <w:r w:rsidR="004536CC" w:rsidRPr="004536CC">
        <w:rPr>
          <w:rFonts w:asciiTheme="majorHAnsi" w:hAnsiTheme="majorHAnsi"/>
          <w:lang w:val="en-US"/>
        </w:rPr>
        <w:t>t a provision any expenditures it needs.</w:t>
      </w:r>
    </w:p>
    <w:p w14:paraId="14D9E6E8" w14:textId="77777777" w:rsidR="004536CC" w:rsidRPr="004536CC" w:rsidRDefault="004536CC" w:rsidP="004536CC">
      <w:pPr>
        <w:pStyle w:val="ListParagraph"/>
        <w:rPr>
          <w:rFonts w:asciiTheme="majorHAnsi" w:hAnsiTheme="majorHAnsi"/>
          <w:lang w:val="en-US"/>
        </w:rPr>
      </w:pPr>
    </w:p>
    <w:p w14:paraId="067C1B1E" w14:textId="77777777" w:rsidR="003C1F08" w:rsidRPr="00CB7EA8" w:rsidRDefault="003C1F08" w:rsidP="00736661">
      <w:pPr>
        <w:pStyle w:val="ListParagraph"/>
        <w:numPr>
          <w:ilvl w:val="0"/>
          <w:numId w:val="42"/>
        </w:numPr>
        <w:ind w:left="360"/>
        <w:jc w:val="both"/>
        <w:rPr>
          <w:rFonts w:asciiTheme="majorHAnsi" w:hAnsiTheme="majorHAnsi"/>
          <w:lang w:val="en-US"/>
        </w:rPr>
      </w:pPr>
      <w:r w:rsidRPr="00CB7EA8">
        <w:rPr>
          <w:rFonts w:asciiTheme="majorHAnsi" w:hAnsiTheme="majorHAnsi"/>
          <w:lang w:val="en-US"/>
        </w:rPr>
        <w:t>An entity:</w:t>
      </w:r>
    </w:p>
    <w:p w14:paraId="6228F04A" w14:textId="77777777" w:rsidR="003C1F08" w:rsidRPr="00CB7EA8" w:rsidRDefault="003C1F08" w:rsidP="00736661">
      <w:pPr>
        <w:pStyle w:val="ListParagraph"/>
        <w:numPr>
          <w:ilvl w:val="0"/>
          <w:numId w:val="46"/>
        </w:numPr>
        <w:rPr>
          <w:rFonts w:asciiTheme="majorHAnsi" w:hAnsiTheme="majorHAnsi"/>
          <w:lang w:val="en-US"/>
        </w:rPr>
      </w:pPr>
      <w:r w:rsidRPr="00CB7EA8">
        <w:rPr>
          <w:rFonts w:asciiTheme="majorHAnsi" w:hAnsiTheme="majorHAnsi"/>
          <w:lang w:val="en-US"/>
        </w:rPr>
        <w:t>shall recognize contingent assets and liabilities.</w:t>
      </w:r>
    </w:p>
    <w:p w14:paraId="57972F08" w14:textId="77777777" w:rsidR="003C1F08" w:rsidRPr="00CB7EA8" w:rsidRDefault="003C1F08" w:rsidP="00736661">
      <w:pPr>
        <w:pStyle w:val="ListParagraph"/>
        <w:numPr>
          <w:ilvl w:val="0"/>
          <w:numId w:val="46"/>
        </w:numPr>
        <w:rPr>
          <w:rFonts w:asciiTheme="majorHAnsi" w:hAnsiTheme="majorHAnsi"/>
          <w:lang w:val="en-US"/>
        </w:rPr>
      </w:pPr>
      <w:r w:rsidRPr="00CB7EA8">
        <w:rPr>
          <w:rFonts w:asciiTheme="majorHAnsi" w:hAnsiTheme="majorHAnsi"/>
          <w:lang w:val="en-US"/>
        </w:rPr>
        <w:t xml:space="preserve">shall not recognize contingent assets and liabilities. </w:t>
      </w:r>
    </w:p>
    <w:p w14:paraId="5DF4322D" w14:textId="77777777" w:rsidR="003C1F08" w:rsidRPr="00CB7EA8" w:rsidRDefault="003C1F08" w:rsidP="00736661">
      <w:pPr>
        <w:pStyle w:val="ListParagraph"/>
        <w:numPr>
          <w:ilvl w:val="0"/>
          <w:numId w:val="46"/>
        </w:numPr>
        <w:rPr>
          <w:rFonts w:asciiTheme="majorHAnsi" w:hAnsiTheme="majorHAnsi"/>
          <w:lang w:val="en-US"/>
        </w:rPr>
      </w:pPr>
      <w:r w:rsidRPr="00CB7EA8">
        <w:rPr>
          <w:rFonts w:asciiTheme="majorHAnsi" w:hAnsiTheme="majorHAnsi"/>
          <w:lang w:val="en-US"/>
        </w:rPr>
        <w:t>shall not recognize contingent assets, but shall recognize contingent liabilities.</w:t>
      </w:r>
    </w:p>
    <w:p w14:paraId="7C35D43E" w14:textId="77777777" w:rsidR="003C1F08" w:rsidRPr="00CB7EA8" w:rsidRDefault="003C1F08" w:rsidP="00736661">
      <w:pPr>
        <w:pStyle w:val="ListParagraph"/>
        <w:numPr>
          <w:ilvl w:val="0"/>
          <w:numId w:val="46"/>
        </w:numPr>
        <w:rPr>
          <w:rFonts w:asciiTheme="majorHAnsi" w:hAnsiTheme="majorHAnsi"/>
          <w:lang w:val="en-US"/>
        </w:rPr>
      </w:pPr>
      <w:r w:rsidRPr="00CB7EA8">
        <w:rPr>
          <w:rFonts w:asciiTheme="majorHAnsi" w:hAnsiTheme="majorHAnsi"/>
          <w:lang w:val="en-US"/>
        </w:rPr>
        <w:t>shall recognize contingent assets, but shall not recognize contingent liabilities.</w:t>
      </w:r>
    </w:p>
    <w:p w14:paraId="381C3DF1" w14:textId="77777777" w:rsidR="003C1F08" w:rsidRDefault="003C1F08" w:rsidP="003C1F08">
      <w:pPr>
        <w:pStyle w:val="NoSpacing"/>
        <w:rPr>
          <w:rFonts w:asciiTheme="majorHAnsi" w:hAnsiTheme="majorHAnsi"/>
          <w:lang w:val="en-US"/>
        </w:rPr>
      </w:pPr>
    </w:p>
    <w:p w14:paraId="2E81244A" w14:textId="77777777" w:rsidR="00C47A61" w:rsidRDefault="00673156" w:rsidP="00673156">
      <w:pPr>
        <w:pStyle w:val="ListParagraph"/>
        <w:numPr>
          <w:ilvl w:val="0"/>
          <w:numId w:val="42"/>
        </w:numPr>
        <w:ind w:left="360"/>
        <w:jc w:val="both"/>
        <w:rPr>
          <w:rFonts w:asciiTheme="majorHAnsi" w:hAnsiTheme="majorHAnsi"/>
          <w:lang w:val="en-US"/>
        </w:rPr>
      </w:pPr>
      <w:r>
        <w:rPr>
          <w:rFonts w:asciiTheme="majorHAnsi" w:hAnsiTheme="majorHAnsi"/>
          <w:lang w:val="en-US"/>
        </w:rPr>
        <w:t>Decide if in the following cases corresponding provisions can be recognized?</w:t>
      </w:r>
      <w:r w:rsidR="00F77671">
        <w:rPr>
          <w:rFonts w:asciiTheme="majorHAnsi" w:hAnsiTheme="majorHAnsi"/>
          <w:lang w:val="en-US"/>
        </w:rPr>
        <w:t xml:space="preserve"> </w:t>
      </w:r>
    </w:p>
    <w:p w14:paraId="2B59E747" w14:textId="77777777" w:rsidR="00C47A61" w:rsidRPr="00673156" w:rsidRDefault="00C47A61" w:rsidP="00673156">
      <w:pPr>
        <w:pStyle w:val="ListParagraph"/>
        <w:numPr>
          <w:ilvl w:val="0"/>
          <w:numId w:val="47"/>
        </w:numPr>
        <w:jc w:val="both"/>
        <w:rPr>
          <w:rFonts w:asciiTheme="majorHAnsi" w:hAnsiTheme="majorHAnsi"/>
          <w:lang w:val="en-US"/>
        </w:rPr>
      </w:pPr>
      <w:r w:rsidRPr="00673156">
        <w:rPr>
          <w:rFonts w:asciiTheme="majorHAnsi" w:hAnsiTheme="majorHAnsi"/>
          <w:lang w:val="en-US"/>
        </w:rPr>
        <w:t>Waste from an entity’s production process contaminated the groundwater at the</w:t>
      </w:r>
      <w:r w:rsidR="0095538F" w:rsidRPr="00673156">
        <w:rPr>
          <w:rFonts w:asciiTheme="majorHAnsi" w:hAnsiTheme="majorHAnsi"/>
          <w:lang w:val="en-US"/>
        </w:rPr>
        <w:t xml:space="preserve"> </w:t>
      </w:r>
      <w:r w:rsidRPr="00673156">
        <w:rPr>
          <w:rFonts w:asciiTheme="majorHAnsi" w:hAnsiTheme="majorHAnsi"/>
          <w:lang w:val="en-US"/>
        </w:rPr>
        <w:t>entity’s plant. In a lawsuit brought against the entity, members of the local</w:t>
      </w:r>
      <w:r w:rsidR="0095538F" w:rsidRPr="00673156">
        <w:rPr>
          <w:rFonts w:asciiTheme="majorHAnsi" w:hAnsiTheme="majorHAnsi"/>
          <w:lang w:val="en-US"/>
        </w:rPr>
        <w:t xml:space="preserve"> </w:t>
      </w:r>
      <w:r w:rsidRPr="00673156">
        <w:rPr>
          <w:rFonts w:asciiTheme="majorHAnsi" w:hAnsiTheme="majorHAnsi"/>
          <w:lang w:val="en-US"/>
        </w:rPr>
        <w:t>community seek compensation for damages to their health as a result of the</w:t>
      </w:r>
      <w:r w:rsidR="0095538F" w:rsidRPr="00673156">
        <w:rPr>
          <w:rFonts w:asciiTheme="majorHAnsi" w:hAnsiTheme="majorHAnsi"/>
          <w:lang w:val="en-US"/>
        </w:rPr>
        <w:t xml:space="preserve"> </w:t>
      </w:r>
      <w:r w:rsidRPr="00673156">
        <w:rPr>
          <w:rFonts w:asciiTheme="majorHAnsi" w:hAnsiTheme="majorHAnsi"/>
          <w:lang w:val="en-US"/>
        </w:rPr>
        <w:t>contamination. The entity acknowledges its wrongdoing and the court is deciding</w:t>
      </w:r>
      <w:r w:rsidR="0095538F" w:rsidRPr="00673156">
        <w:rPr>
          <w:rFonts w:asciiTheme="majorHAnsi" w:hAnsiTheme="majorHAnsi"/>
          <w:lang w:val="en-US"/>
        </w:rPr>
        <w:t xml:space="preserve"> </w:t>
      </w:r>
      <w:r w:rsidRPr="00673156">
        <w:rPr>
          <w:rFonts w:asciiTheme="majorHAnsi" w:hAnsiTheme="majorHAnsi"/>
          <w:lang w:val="en-US"/>
        </w:rPr>
        <w:t>on the extent of the compensation to be awarded to the members of the local</w:t>
      </w:r>
      <w:r w:rsidR="0095538F" w:rsidRPr="00673156">
        <w:rPr>
          <w:rFonts w:asciiTheme="majorHAnsi" w:hAnsiTheme="majorHAnsi"/>
          <w:lang w:val="en-US"/>
        </w:rPr>
        <w:t xml:space="preserve"> </w:t>
      </w:r>
      <w:r w:rsidRPr="00673156">
        <w:rPr>
          <w:rFonts w:asciiTheme="majorHAnsi" w:hAnsiTheme="majorHAnsi"/>
          <w:lang w:val="en-US"/>
        </w:rPr>
        <w:t>community. It is uncertain when the ruling will take place but the entity’s lawyers</w:t>
      </w:r>
      <w:r w:rsidR="0095538F" w:rsidRPr="00673156">
        <w:rPr>
          <w:rFonts w:asciiTheme="majorHAnsi" w:hAnsiTheme="majorHAnsi"/>
          <w:lang w:val="en-US"/>
        </w:rPr>
        <w:t xml:space="preserve"> </w:t>
      </w:r>
      <w:r w:rsidRPr="00673156">
        <w:rPr>
          <w:rFonts w:asciiTheme="majorHAnsi" w:hAnsiTheme="majorHAnsi"/>
          <w:lang w:val="en-US"/>
        </w:rPr>
        <w:t>expect it will take place in about two years and they estimate that the</w:t>
      </w:r>
      <w:r w:rsidR="0095538F" w:rsidRPr="00673156">
        <w:rPr>
          <w:rFonts w:asciiTheme="majorHAnsi" w:hAnsiTheme="majorHAnsi"/>
          <w:lang w:val="en-US"/>
        </w:rPr>
        <w:t xml:space="preserve"> </w:t>
      </w:r>
      <w:r w:rsidRPr="00673156">
        <w:rPr>
          <w:rFonts w:asciiTheme="majorHAnsi" w:hAnsiTheme="majorHAnsi"/>
          <w:lang w:val="en-US"/>
        </w:rPr>
        <w:t>compensation awarded by the court will be in the range CU1 million−CU30</w:t>
      </w:r>
      <w:r w:rsidR="0095538F" w:rsidRPr="00673156">
        <w:rPr>
          <w:rFonts w:asciiTheme="majorHAnsi" w:hAnsiTheme="majorHAnsi"/>
          <w:lang w:val="en-US"/>
        </w:rPr>
        <w:t xml:space="preserve"> </w:t>
      </w:r>
      <w:r w:rsidRPr="00673156">
        <w:rPr>
          <w:rFonts w:asciiTheme="majorHAnsi" w:hAnsiTheme="majorHAnsi"/>
          <w:lang w:val="en-US"/>
        </w:rPr>
        <w:t>million</w:t>
      </w:r>
      <w:r w:rsidR="0095538F" w:rsidRPr="00673156">
        <w:rPr>
          <w:rFonts w:asciiTheme="majorHAnsi" w:hAnsiTheme="majorHAnsi"/>
          <w:lang w:val="en-US"/>
        </w:rPr>
        <w:t>.</w:t>
      </w:r>
    </w:p>
    <w:p w14:paraId="330A51B4" w14:textId="77777777" w:rsidR="00C47A61" w:rsidRDefault="00C47A61" w:rsidP="00C47A61">
      <w:pPr>
        <w:pStyle w:val="NoSpacing"/>
        <w:rPr>
          <w:rFonts w:ascii="Arial" w:hAnsi="Arial" w:cs="Arial"/>
          <w:sz w:val="14"/>
          <w:szCs w:val="14"/>
          <w:lang w:val="en-US"/>
        </w:rPr>
      </w:pPr>
    </w:p>
    <w:p w14:paraId="2DED4819" w14:textId="77777777" w:rsidR="00C47A61" w:rsidRDefault="00C47A61" w:rsidP="00C47A61">
      <w:pPr>
        <w:pStyle w:val="NoSpacing"/>
        <w:rPr>
          <w:rFonts w:ascii="Arial" w:hAnsi="Arial" w:cs="Arial"/>
          <w:sz w:val="14"/>
          <w:szCs w:val="14"/>
          <w:lang w:val="en-US"/>
        </w:rPr>
      </w:pPr>
    </w:p>
    <w:p w14:paraId="02F3BB88" w14:textId="77777777" w:rsidR="0095538F" w:rsidRDefault="0095538F" w:rsidP="00C47A61">
      <w:pPr>
        <w:pStyle w:val="NoSpacing"/>
        <w:rPr>
          <w:rFonts w:ascii="Arial" w:hAnsi="Arial" w:cs="Arial"/>
          <w:sz w:val="14"/>
          <w:szCs w:val="14"/>
          <w:lang w:val="en-US"/>
        </w:rPr>
      </w:pPr>
    </w:p>
    <w:p w14:paraId="5B6DF8B7" w14:textId="77777777" w:rsidR="0095538F" w:rsidRDefault="0095538F" w:rsidP="00C47A61">
      <w:pPr>
        <w:pStyle w:val="NoSpacing"/>
        <w:rPr>
          <w:rFonts w:ascii="Arial" w:hAnsi="Arial" w:cs="Arial"/>
          <w:sz w:val="14"/>
          <w:szCs w:val="14"/>
          <w:lang w:val="en-US"/>
        </w:rPr>
      </w:pPr>
    </w:p>
    <w:p w14:paraId="24EB7A0C" w14:textId="77777777" w:rsidR="0095538F" w:rsidRDefault="0095538F" w:rsidP="00C47A61">
      <w:pPr>
        <w:pStyle w:val="NoSpacing"/>
        <w:rPr>
          <w:rFonts w:ascii="Arial" w:hAnsi="Arial" w:cs="Arial"/>
          <w:sz w:val="14"/>
          <w:szCs w:val="14"/>
          <w:lang w:val="en-US"/>
        </w:rPr>
      </w:pPr>
    </w:p>
    <w:p w14:paraId="78B5E89C" w14:textId="77777777" w:rsidR="00C47A61" w:rsidRDefault="00C47A61" w:rsidP="00C47A61">
      <w:pPr>
        <w:pStyle w:val="NoSpacing"/>
        <w:rPr>
          <w:rFonts w:ascii="Arial" w:hAnsi="Arial" w:cs="Arial"/>
          <w:sz w:val="14"/>
          <w:szCs w:val="14"/>
          <w:lang w:val="en-US"/>
        </w:rPr>
      </w:pPr>
    </w:p>
    <w:p w14:paraId="75A9A919" w14:textId="77777777" w:rsidR="00C47A61" w:rsidRPr="00673156" w:rsidRDefault="00C47A61" w:rsidP="00673156">
      <w:pPr>
        <w:pStyle w:val="ListParagraph"/>
        <w:numPr>
          <w:ilvl w:val="0"/>
          <w:numId w:val="47"/>
        </w:numPr>
        <w:jc w:val="both"/>
        <w:rPr>
          <w:rFonts w:asciiTheme="majorHAnsi" w:hAnsiTheme="majorHAnsi"/>
          <w:lang w:val="en-US"/>
        </w:rPr>
      </w:pPr>
      <w:r w:rsidRPr="00673156">
        <w:rPr>
          <w:rFonts w:asciiTheme="majorHAnsi" w:hAnsiTheme="majorHAnsi"/>
          <w:lang w:val="en-US"/>
        </w:rPr>
        <w:lastRenderedPageBreak/>
        <w:t>Waste from an entity’s production process contaminated the groundwater at the</w:t>
      </w:r>
      <w:r w:rsidR="0095538F" w:rsidRPr="00673156">
        <w:rPr>
          <w:rFonts w:asciiTheme="majorHAnsi" w:hAnsiTheme="majorHAnsi"/>
          <w:lang w:val="en-US"/>
        </w:rPr>
        <w:t xml:space="preserve"> </w:t>
      </w:r>
      <w:r w:rsidRPr="00673156">
        <w:rPr>
          <w:rFonts w:asciiTheme="majorHAnsi" w:hAnsiTheme="majorHAnsi"/>
          <w:lang w:val="en-US"/>
        </w:rPr>
        <w:t>entity’s plant. In this example there is no court case. However, the entity is</w:t>
      </w:r>
      <w:r w:rsidR="0095538F" w:rsidRPr="00673156">
        <w:rPr>
          <w:rFonts w:asciiTheme="majorHAnsi" w:hAnsiTheme="majorHAnsi"/>
          <w:lang w:val="en-US"/>
        </w:rPr>
        <w:t xml:space="preserve"> </w:t>
      </w:r>
      <w:r w:rsidRPr="00673156">
        <w:rPr>
          <w:rFonts w:asciiTheme="majorHAnsi" w:hAnsiTheme="majorHAnsi"/>
          <w:lang w:val="en-US"/>
        </w:rPr>
        <w:t>required by law to restore the contaminated environment.</w:t>
      </w:r>
      <w:r w:rsidR="0095538F" w:rsidRPr="00673156">
        <w:rPr>
          <w:rFonts w:asciiTheme="majorHAnsi" w:hAnsiTheme="majorHAnsi"/>
          <w:lang w:val="en-US"/>
        </w:rPr>
        <w:t xml:space="preserve"> </w:t>
      </w:r>
      <w:r w:rsidRPr="00673156">
        <w:rPr>
          <w:rFonts w:asciiTheme="majorHAnsi" w:hAnsiTheme="majorHAnsi"/>
          <w:lang w:val="en-US"/>
        </w:rPr>
        <w:t>The entity estimates that such restoration will cost between CU1 million and</w:t>
      </w:r>
      <w:r w:rsidR="0095538F" w:rsidRPr="00673156">
        <w:rPr>
          <w:rFonts w:asciiTheme="majorHAnsi" w:hAnsiTheme="majorHAnsi"/>
          <w:lang w:val="en-US"/>
        </w:rPr>
        <w:t xml:space="preserve"> </w:t>
      </w:r>
      <w:r w:rsidRPr="00673156">
        <w:rPr>
          <w:rFonts w:asciiTheme="majorHAnsi" w:hAnsiTheme="majorHAnsi"/>
          <w:lang w:val="en-US"/>
        </w:rPr>
        <w:t>CU15 million. The entity is unsure of the date by which it will be required to</w:t>
      </w:r>
      <w:r w:rsidR="0095538F" w:rsidRPr="00673156">
        <w:rPr>
          <w:rFonts w:asciiTheme="majorHAnsi" w:hAnsiTheme="majorHAnsi"/>
          <w:lang w:val="en-US"/>
        </w:rPr>
        <w:t xml:space="preserve"> </w:t>
      </w:r>
      <w:r w:rsidRPr="00673156">
        <w:rPr>
          <w:rFonts w:asciiTheme="majorHAnsi" w:hAnsiTheme="majorHAnsi"/>
          <w:lang w:val="en-US"/>
        </w:rPr>
        <w:t>complete the restoration.</w:t>
      </w:r>
    </w:p>
    <w:p w14:paraId="08C90AD0" w14:textId="77777777" w:rsidR="00C47A61" w:rsidRPr="00673156" w:rsidRDefault="00C47A61" w:rsidP="00673156">
      <w:pPr>
        <w:pStyle w:val="ListParagraph"/>
        <w:numPr>
          <w:ilvl w:val="0"/>
          <w:numId w:val="47"/>
        </w:numPr>
        <w:jc w:val="both"/>
        <w:rPr>
          <w:rFonts w:asciiTheme="majorHAnsi" w:hAnsiTheme="majorHAnsi"/>
          <w:lang w:val="en-US"/>
        </w:rPr>
      </w:pPr>
      <w:r w:rsidRPr="00673156">
        <w:rPr>
          <w:rFonts w:asciiTheme="majorHAnsi" w:hAnsiTheme="majorHAnsi"/>
          <w:lang w:val="en-US"/>
        </w:rPr>
        <w:t>A manufacturer gives warranties to the purchasers of its goods. Under the terms of</w:t>
      </w:r>
      <w:r w:rsidR="005D168C" w:rsidRPr="00673156">
        <w:rPr>
          <w:rFonts w:asciiTheme="majorHAnsi" w:hAnsiTheme="majorHAnsi"/>
          <w:lang w:val="en-US"/>
        </w:rPr>
        <w:t xml:space="preserve"> </w:t>
      </w:r>
      <w:r w:rsidRPr="00673156">
        <w:rPr>
          <w:rFonts w:asciiTheme="majorHAnsi" w:hAnsiTheme="majorHAnsi"/>
          <w:lang w:val="en-US"/>
        </w:rPr>
        <w:t>the warranty the manufacturer undertakes to make good, by repair or replacement,</w:t>
      </w:r>
      <w:r w:rsidR="005D168C" w:rsidRPr="00673156">
        <w:rPr>
          <w:rFonts w:asciiTheme="majorHAnsi" w:hAnsiTheme="majorHAnsi"/>
          <w:lang w:val="en-US"/>
        </w:rPr>
        <w:t xml:space="preserve"> </w:t>
      </w:r>
      <w:r w:rsidRPr="00673156">
        <w:rPr>
          <w:rFonts w:asciiTheme="majorHAnsi" w:hAnsiTheme="majorHAnsi"/>
          <w:lang w:val="en-US"/>
        </w:rPr>
        <w:t>manufacturing defects that become apparent within three years from the date of</w:t>
      </w:r>
      <w:r w:rsidR="005D168C" w:rsidRPr="00673156">
        <w:rPr>
          <w:rFonts w:asciiTheme="majorHAnsi" w:hAnsiTheme="majorHAnsi"/>
          <w:lang w:val="en-US"/>
        </w:rPr>
        <w:t xml:space="preserve"> </w:t>
      </w:r>
      <w:r w:rsidRPr="00673156">
        <w:rPr>
          <w:rFonts w:asciiTheme="majorHAnsi" w:hAnsiTheme="majorHAnsi"/>
          <w:lang w:val="en-US"/>
        </w:rPr>
        <w:t>sale to the purchasers.</w:t>
      </w:r>
      <w:r w:rsidR="005D168C" w:rsidRPr="00673156">
        <w:rPr>
          <w:rFonts w:asciiTheme="majorHAnsi" w:hAnsiTheme="majorHAnsi"/>
          <w:lang w:val="en-US"/>
        </w:rPr>
        <w:t xml:space="preserve"> </w:t>
      </w:r>
      <w:r w:rsidRPr="00673156">
        <w:rPr>
          <w:rFonts w:asciiTheme="majorHAnsi" w:hAnsiTheme="majorHAnsi"/>
          <w:lang w:val="en-US"/>
        </w:rPr>
        <w:t>On 31 January 20X1 a manufacturing defect was detected in the goods</w:t>
      </w:r>
      <w:r w:rsidR="005D168C" w:rsidRPr="00673156">
        <w:rPr>
          <w:rFonts w:asciiTheme="majorHAnsi" w:hAnsiTheme="majorHAnsi"/>
          <w:lang w:val="en-US"/>
        </w:rPr>
        <w:t xml:space="preserve"> </w:t>
      </w:r>
      <w:r w:rsidRPr="00673156">
        <w:rPr>
          <w:rFonts w:asciiTheme="majorHAnsi" w:hAnsiTheme="majorHAnsi"/>
          <w:lang w:val="en-US"/>
        </w:rPr>
        <w:t>manufactured by the entity between 1 December 20X0 and 31 January 20X1.</w:t>
      </w:r>
      <w:r w:rsidR="005D168C" w:rsidRPr="00673156">
        <w:rPr>
          <w:rFonts w:asciiTheme="majorHAnsi" w:hAnsiTheme="majorHAnsi"/>
          <w:lang w:val="en-US"/>
        </w:rPr>
        <w:t xml:space="preserve"> </w:t>
      </w:r>
      <w:r w:rsidRPr="00673156">
        <w:rPr>
          <w:rFonts w:asciiTheme="majorHAnsi" w:hAnsiTheme="majorHAnsi"/>
          <w:lang w:val="en-US"/>
        </w:rPr>
        <w:t>At 31 December 20X0 (the entity’s reporting date) the entity held about one week’s</w:t>
      </w:r>
      <w:r w:rsidR="005D168C" w:rsidRPr="00673156">
        <w:rPr>
          <w:rFonts w:asciiTheme="majorHAnsi" w:hAnsiTheme="majorHAnsi"/>
          <w:lang w:val="en-US"/>
        </w:rPr>
        <w:t xml:space="preserve"> </w:t>
      </w:r>
      <w:r w:rsidRPr="00673156">
        <w:rPr>
          <w:rFonts w:asciiTheme="majorHAnsi" w:hAnsiTheme="majorHAnsi"/>
          <w:lang w:val="en-US"/>
        </w:rPr>
        <w:t>sales in inventories.</w:t>
      </w:r>
      <w:r w:rsidR="005D168C" w:rsidRPr="00673156">
        <w:rPr>
          <w:rFonts w:asciiTheme="majorHAnsi" w:hAnsiTheme="majorHAnsi"/>
          <w:lang w:val="en-US"/>
        </w:rPr>
        <w:t xml:space="preserve"> </w:t>
      </w:r>
      <w:r w:rsidRPr="00673156">
        <w:rPr>
          <w:rFonts w:asciiTheme="majorHAnsi" w:hAnsiTheme="majorHAnsi"/>
          <w:lang w:val="en-US"/>
        </w:rPr>
        <w:t>The entity’s financial statements for the year ended 31 December 20X0 have not yet</w:t>
      </w:r>
      <w:r w:rsidR="005D168C" w:rsidRPr="00673156">
        <w:rPr>
          <w:rFonts w:asciiTheme="majorHAnsi" w:hAnsiTheme="majorHAnsi"/>
          <w:lang w:val="en-US"/>
        </w:rPr>
        <w:t xml:space="preserve"> </w:t>
      </w:r>
      <w:r w:rsidRPr="00673156">
        <w:rPr>
          <w:rFonts w:asciiTheme="majorHAnsi" w:hAnsiTheme="majorHAnsi"/>
          <w:lang w:val="en-US"/>
        </w:rPr>
        <w:t>been finalised.</w:t>
      </w:r>
    </w:p>
    <w:p w14:paraId="23B0823D" w14:textId="77777777" w:rsidR="00C47A61" w:rsidRPr="00673156" w:rsidRDefault="00C47A61" w:rsidP="00673156">
      <w:pPr>
        <w:pStyle w:val="ListParagraph"/>
        <w:numPr>
          <w:ilvl w:val="0"/>
          <w:numId w:val="47"/>
        </w:numPr>
        <w:jc w:val="both"/>
        <w:rPr>
          <w:rFonts w:asciiTheme="majorHAnsi" w:hAnsiTheme="majorHAnsi"/>
          <w:lang w:val="en-US"/>
        </w:rPr>
      </w:pPr>
      <w:r w:rsidRPr="00673156">
        <w:rPr>
          <w:rFonts w:asciiTheme="majorHAnsi" w:hAnsiTheme="majorHAnsi"/>
          <w:lang w:val="en-US"/>
        </w:rPr>
        <w:t>An entity that operates ten petrol stations and owns the land and buildings for</w:t>
      </w:r>
      <w:r w:rsidR="005D168C" w:rsidRPr="00673156">
        <w:rPr>
          <w:rFonts w:asciiTheme="majorHAnsi" w:hAnsiTheme="majorHAnsi"/>
          <w:lang w:val="en-US"/>
        </w:rPr>
        <w:t xml:space="preserve"> </w:t>
      </w:r>
      <w:r w:rsidRPr="00673156">
        <w:rPr>
          <w:rFonts w:asciiTheme="majorHAnsi" w:hAnsiTheme="majorHAnsi"/>
          <w:lang w:val="en-US"/>
        </w:rPr>
        <w:t>those stations chooses not to purchase fire insurance on those buildings but,</w:t>
      </w:r>
      <w:r w:rsidR="005D168C" w:rsidRPr="00673156">
        <w:rPr>
          <w:rFonts w:asciiTheme="majorHAnsi" w:hAnsiTheme="majorHAnsi"/>
          <w:lang w:val="en-US"/>
        </w:rPr>
        <w:t xml:space="preserve"> </w:t>
      </w:r>
      <w:r w:rsidRPr="00673156">
        <w:rPr>
          <w:rFonts w:asciiTheme="majorHAnsi" w:hAnsiTheme="majorHAnsi"/>
          <w:lang w:val="en-US"/>
        </w:rPr>
        <w:t>rather, to ‘self insure’ in case of fire loss. The entity can estimate reliably the</w:t>
      </w:r>
      <w:r w:rsidR="005D168C" w:rsidRPr="00673156">
        <w:rPr>
          <w:rFonts w:asciiTheme="majorHAnsi" w:hAnsiTheme="majorHAnsi"/>
          <w:lang w:val="en-US"/>
        </w:rPr>
        <w:t xml:space="preserve"> </w:t>
      </w:r>
      <w:r w:rsidRPr="00673156">
        <w:rPr>
          <w:rFonts w:asciiTheme="majorHAnsi" w:hAnsiTheme="majorHAnsi"/>
          <w:lang w:val="en-US"/>
        </w:rPr>
        <w:t>statistical probability of the occurrence and amount of expected fire loss (loss of</w:t>
      </w:r>
      <w:r w:rsidR="005D168C" w:rsidRPr="00673156">
        <w:rPr>
          <w:rFonts w:asciiTheme="majorHAnsi" w:hAnsiTheme="majorHAnsi"/>
          <w:lang w:val="en-US"/>
        </w:rPr>
        <w:t xml:space="preserve"> </w:t>
      </w:r>
      <w:r w:rsidRPr="00673156">
        <w:rPr>
          <w:rFonts w:asciiTheme="majorHAnsi" w:hAnsiTheme="majorHAnsi"/>
          <w:lang w:val="en-US"/>
        </w:rPr>
        <w:t>about CU100,000 once every ten years). The entity wants to recognise a provision of</w:t>
      </w:r>
      <w:r w:rsidR="005D168C" w:rsidRPr="00673156">
        <w:rPr>
          <w:rFonts w:asciiTheme="majorHAnsi" w:hAnsiTheme="majorHAnsi"/>
          <w:lang w:val="en-US"/>
        </w:rPr>
        <w:t xml:space="preserve"> </w:t>
      </w:r>
      <w:r w:rsidRPr="00673156">
        <w:rPr>
          <w:rFonts w:asciiTheme="majorHAnsi" w:hAnsiTheme="majorHAnsi"/>
          <w:lang w:val="en-US"/>
        </w:rPr>
        <w:t>CU10,000 and related expense each year for the next ten years to reflect its</w:t>
      </w:r>
      <w:r w:rsidR="005D168C" w:rsidRPr="00673156">
        <w:rPr>
          <w:rFonts w:asciiTheme="majorHAnsi" w:hAnsiTheme="majorHAnsi"/>
          <w:lang w:val="en-US"/>
        </w:rPr>
        <w:t xml:space="preserve"> </w:t>
      </w:r>
      <w:r w:rsidRPr="00673156">
        <w:rPr>
          <w:rFonts w:asciiTheme="majorHAnsi" w:hAnsiTheme="majorHAnsi"/>
          <w:lang w:val="en-US"/>
        </w:rPr>
        <w:t>expected loss. The entity argues that the loss is highly probable, the amount can be</w:t>
      </w:r>
      <w:r w:rsidR="005D168C" w:rsidRPr="00673156">
        <w:rPr>
          <w:rFonts w:asciiTheme="majorHAnsi" w:hAnsiTheme="majorHAnsi"/>
          <w:lang w:val="en-US"/>
        </w:rPr>
        <w:t xml:space="preserve"> </w:t>
      </w:r>
      <w:r w:rsidRPr="00673156">
        <w:rPr>
          <w:rFonts w:asciiTheme="majorHAnsi" w:hAnsiTheme="majorHAnsi"/>
          <w:lang w:val="en-US"/>
        </w:rPr>
        <w:t>measured reliably, and if it had purchased insurance it would recognise an expense</w:t>
      </w:r>
      <w:r w:rsidR="005D168C" w:rsidRPr="00673156">
        <w:rPr>
          <w:rFonts w:asciiTheme="majorHAnsi" w:hAnsiTheme="majorHAnsi"/>
          <w:lang w:val="en-US"/>
        </w:rPr>
        <w:t xml:space="preserve"> </w:t>
      </w:r>
      <w:r w:rsidRPr="00673156">
        <w:rPr>
          <w:rFonts w:asciiTheme="majorHAnsi" w:hAnsiTheme="majorHAnsi"/>
          <w:lang w:val="en-US"/>
        </w:rPr>
        <w:t>in each reporting period.</w:t>
      </w:r>
    </w:p>
    <w:p w14:paraId="45812C3C" w14:textId="77777777" w:rsidR="00C47A61" w:rsidRPr="00673156" w:rsidRDefault="00C47A61" w:rsidP="00673156">
      <w:pPr>
        <w:pStyle w:val="ListParagraph"/>
        <w:numPr>
          <w:ilvl w:val="0"/>
          <w:numId w:val="47"/>
        </w:numPr>
        <w:jc w:val="both"/>
        <w:rPr>
          <w:rFonts w:asciiTheme="majorHAnsi" w:hAnsiTheme="majorHAnsi"/>
          <w:lang w:val="en-US"/>
        </w:rPr>
      </w:pPr>
      <w:r w:rsidRPr="00673156">
        <w:rPr>
          <w:rFonts w:asciiTheme="majorHAnsi" w:hAnsiTheme="majorHAnsi"/>
          <w:lang w:val="en-US"/>
        </w:rPr>
        <w:t>A ski resort operator operates in a cyclical business, with ‘good years’ and ‘bad</w:t>
      </w:r>
      <w:r w:rsidR="00673156" w:rsidRPr="00673156">
        <w:rPr>
          <w:rFonts w:asciiTheme="majorHAnsi" w:hAnsiTheme="majorHAnsi"/>
          <w:lang w:val="en-US"/>
        </w:rPr>
        <w:t xml:space="preserve"> </w:t>
      </w:r>
      <w:r w:rsidRPr="00673156">
        <w:rPr>
          <w:rFonts w:asciiTheme="majorHAnsi" w:hAnsiTheme="majorHAnsi"/>
          <w:lang w:val="en-US"/>
        </w:rPr>
        <w:t>years’ depending primarily on the weather. The entity believes that, because of the</w:t>
      </w:r>
      <w:r w:rsidR="00673156" w:rsidRPr="00673156">
        <w:rPr>
          <w:rFonts w:asciiTheme="majorHAnsi" w:hAnsiTheme="majorHAnsi"/>
          <w:lang w:val="en-US"/>
        </w:rPr>
        <w:t xml:space="preserve"> </w:t>
      </w:r>
      <w:r w:rsidRPr="00673156">
        <w:rPr>
          <w:rFonts w:asciiTheme="majorHAnsi" w:hAnsiTheme="majorHAnsi"/>
          <w:lang w:val="en-US"/>
        </w:rPr>
        <w:t>earnings volatility, it is prudent to defer recognition of a portion of the profit in a</w:t>
      </w:r>
      <w:r w:rsidR="00673156" w:rsidRPr="00673156">
        <w:rPr>
          <w:rFonts w:asciiTheme="majorHAnsi" w:hAnsiTheme="majorHAnsi"/>
          <w:lang w:val="en-US"/>
        </w:rPr>
        <w:t xml:space="preserve"> </w:t>
      </w:r>
      <w:r w:rsidRPr="00673156">
        <w:rPr>
          <w:rFonts w:asciiTheme="majorHAnsi" w:hAnsiTheme="majorHAnsi"/>
          <w:lang w:val="en-US"/>
        </w:rPr>
        <w:t>‘good year’ to the inevitable ‘bad year’ by recognising a provision in ‘good years’</w:t>
      </w:r>
      <w:r w:rsidR="00673156" w:rsidRPr="00673156">
        <w:rPr>
          <w:rFonts w:asciiTheme="majorHAnsi" w:hAnsiTheme="majorHAnsi"/>
          <w:lang w:val="en-US"/>
        </w:rPr>
        <w:t xml:space="preserve"> </w:t>
      </w:r>
      <w:r w:rsidRPr="00673156">
        <w:rPr>
          <w:rFonts w:asciiTheme="majorHAnsi" w:hAnsiTheme="majorHAnsi"/>
          <w:lang w:val="en-US"/>
        </w:rPr>
        <w:t>and reversing the provision in ‘bad years’. The owners of the entity are in full</w:t>
      </w:r>
      <w:r w:rsidR="00673156" w:rsidRPr="00673156">
        <w:rPr>
          <w:rFonts w:asciiTheme="majorHAnsi" w:hAnsiTheme="majorHAnsi"/>
          <w:lang w:val="en-US"/>
        </w:rPr>
        <w:t xml:space="preserve"> </w:t>
      </w:r>
      <w:r w:rsidRPr="00673156">
        <w:rPr>
          <w:rFonts w:asciiTheme="majorHAnsi" w:hAnsiTheme="majorHAnsi"/>
          <w:lang w:val="en-US"/>
        </w:rPr>
        <w:t>agreement with recognising a provision in the good year. Also, the local income tax</w:t>
      </w:r>
      <w:r w:rsidR="00673156" w:rsidRPr="00673156">
        <w:rPr>
          <w:rFonts w:asciiTheme="majorHAnsi" w:hAnsiTheme="majorHAnsi"/>
          <w:lang w:val="en-US"/>
        </w:rPr>
        <w:t xml:space="preserve"> </w:t>
      </w:r>
      <w:r w:rsidRPr="00673156">
        <w:rPr>
          <w:rFonts w:asciiTheme="majorHAnsi" w:hAnsiTheme="majorHAnsi"/>
          <w:lang w:val="en-US"/>
        </w:rPr>
        <w:t>law allows deferral of a portion of the profit in a ‘good year’ to help ensure that ski</w:t>
      </w:r>
      <w:r w:rsidR="00673156" w:rsidRPr="00673156">
        <w:rPr>
          <w:rFonts w:asciiTheme="majorHAnsi" w:hAnsiTheme="majorHAnsi"/>
          <w:lang w:val="en-US"/>
        </w:rPr>
        <w:t xml:space="preserve"> </w:t>
      </w:r>
      <w:r w:rsidRPr="00673156">
        <w:rPr>
          <w:rFonts w:asciiTheme="majorHAnsi" w:hAnsiTheme="majorHAnsi"/>
          <w:lang w:val="en-US"/>
        </w:rPr>
        <w:t>resort operators have cash to continue operating in ‘bad years’. The amount of the</w:t>
      </w:r>
      <w:r w:rsidR="00673156" w:rsidRPr="00673156">
        <w:rPr>
          <w:rFonts w:asciiTheme="majorHAnsi" w:hAnsiTheme="majorHAnsi"/>
          <w:lang w:val="en-US"/>
        </w:rPr>
        <w:t xml:space="preserve"> </w:t>
      </w:r>
      <w:r w:rsidRPr="00673156">
        <w:rPr>
          <w:rFonts w:asciiTheme="majorHAnsi" w:hAnsiTheme="majorHAnsi"/>
          <w:lang w:val="en-US"/>
        </w:rPr>
        <w:t>entity’s accrual under the IFRS for SMEs is based on the tax law.</w:t>
      </w:r>
    </w:p>
    <w:p w14:paraId="078ADDFB" w14:textId="77777777" w:rsidR="00C47A61" w:rsidRPr="00673156" w:rsidRDefault="00C47A61" w:rsidP="00673156">
      <w:pPr>
        <w:pStyle w:val="ListParagraph"/>
        <w:numPr>
          <w:ilvl w:val="0"/>
          <w:numId w:val="47"/>
        </w:numPr>
        <w:jc w:val="both"/>
        <w:rPr>
          <w:rFonts w:asciiTheme="majorHAnsi" w:hAnsiTheme="majorHAnsi"/>
          <w:lang w:val="en-US"/>
        </w:rPr>
      </w:pPr>
      <w:r w:rsidRPr="00673156">
        <w:rPr>
          <w:rFonts w:asciiTheme="majorHAnsi" w:hAnsiTheme="majorHAnsi"/>
          <w:lang w:val="en-US"/>
        </w:rPr>
        <w:t>An entity operates an open-cast mine in a jurisdiction where environmental</w:t>
      </w:r>
      <w:r w:rsidR="00673156" w:rsidRPr="00673156">
        <w:rPr>
          <w:rFonts w:asciiTheme="majorHAnsi" w:hAnsiTheme="majorHAnsi"/>
          <w:lang w:val="en-US"/>
        </w:rPr>
        <w:t xml:space="preserve"> </w:t>
      </w:r>
      <w:r w:rsidRPr="00673156">
        <w:rPr>
          <w:rFonts w:asciiTheme="majorHAnsi" w:hAnsiTheme="majorHAnsi"/>
          <w:lang w:val="en-US"/>
        </w:rPr>
        <w:t>rehabilitation laws state that all mine shafts deeper than 10 metres must be</w:t>
      </w:r>
      <w:r w:rsidR="00673156" w:rsidRPr="00673156">
        <w:rPr>
          <w:rFonts w:asciiTheme="majorHAnsi" w:hAnsiTheme="majorHAnsi"/>
          <w:lang w:val="en-US"/>
        </w:rPr>
        <w:t xml:space="preserve"> </w:t>
      </w:r>
      <w:r w:rsidRPr="00673156">
        <w:rPr>
          <w:rFonts w:asciiTheme="majorHAnsi" w:hAnsiTheme="majorHAnsi"/>
          <w:lang w:val="en-US"/>
        </w:rPr>
        <w:t>entirely filled in by 31 December 2X20 or the mining company that dug the holes</w:t>
      </w:r>
      <w:r w:rsidR="00673156" w:rsidRPr="00673156">
        <w:rPr>
          <w:rFonts w:asciiTheme="majorHAnsi" w:hAnsiTheme="majorHAnsi"/>
          <w:lang w:val="en-US"/>
        </w:rPr>
        <w:t xml:space="preserve"> </w:t>
      </w:r>
      <w:r w:rsidRPr="00673156">
        <w:rPr>
          <w:rFonts w:asciiTheme="majorHAnsi" w:hAnsiTheme="majorHAnsi"/>
          <w:lang w:val="en-US"/>
        </w:rPr>
        <w:t>for the shafts will be required to pay a substantial fine.</w:t>
      </w:r>
      <w:r w:rsidR="00673156" w:rsidRPr="00673156">
        <w:rPr>
          <w:rFonts w:asciiTheme="majorHAnsi" w:hAnsiTheme="majorHAnsi"/>
          <w:lang w:val="en-US"/>
        </w:rPr>
        <w:t xml:space="preserve"> </w:t>
      </w:r>
      <w:r w:rsidRPr="00673156">
        <w:rPr>
          <w:rFonts w:asciiTheme="majorHAnsi" w:hAnsiTheme="majorHAnsi"/>
          <w:lang w:val="en-US"/>
        </w:rPr>
        <w:t>The geologists’ reports indicate that the entity will be able to extract significant</w:t>
      </w:r>
      <w:r w:rsidR="00673156" w:rsidRPr="00673156">
        <w:rPr>
          <w:rFonts w:asciiTheme="majorHAnsi" w:hAnsiTheme="majorHAnsi"/>
          <w:lang w:val="en-US"/>
        </w:rPr>
        <w:t xml:space="preserve"> </w:t>
      </w:r>
      <w:r w:rsidRPr="00673156">
        <w:rPr>
          <w:rFonts w:asciiTheme="majorHAnsi" w:hAnsiTheme="majorHAnsi"/>
          <w:lang w:val="en-US"/>
        </w:rPr>
        <w:t>quantities of ore for at least 20 years. The ore is located 15 metres below the</w:t>
      </w:r>
      <w:r w:rsidR="00673156" w:rsidRPr="00673156">
        <w:rPr>
          <w:rFonts w:asciiTheme="majorHAnsi" w:hAnsiTheme="majorHAnsi"/>
          <w:lang w:val="en-US"/>
        </w:rPr>
        <w:t xml:space="preserve"> </w:t>
      </w:r>
      <w:r w:rsidRPr="00673156">
        <w:rPr>
          <w:rFonts w:asciiTheme="majorHAnsi" w:hAnsiTheme="majorHAnsi"/>
          <w:lang w:val="en-US"/>
        </w:rPr>
        <w:t>surface.</w:t>
      </w:r>
    </w:p>
    <w:p w14:paraId="75729409" w14:textId="77777777" w:rsidR="00C47A61" w:rsidRPr="00673156" w:rsidRDefault="00C47A61" w:rsidP="00673156">
      <w:pPr>
        <w:pStyle w:val="ListParagraph"/>
        <w:numPr>
          <w:ilvl w:val="0"/>
          <w:numId w:val="48"/>
        </w:numPr>
        <w:ind w:left="1800"/>
        <w:jc w:val="both"/>
        <w:rPr>
          <w:rFonts w:asciiTheme="majorHAnsi" w:hAnsiTheme="majorHAnsi"/>
          <w:lang w:val="en-US"/>
        </w:rPr>
      </w:pPr>
      <w:r w:rsidRPr="00673156">
        <w:rPr>
          <w:rFonts w:asciiTheme="majorHAnsi" w:hAnsiTheme="majorHAnsi"/>
          <w:lang w:val="en-US"/>
        </w:rPr>
        <w:t>At 31 December 20X0 the entity has not started mining.</w:t>
      </w:r>
    </w:p>
    <w:p w14:paraId="47A623C4" w14:textId="77777777" w:rsidR="00C47A61" w:rsidRPr="00673156" w:rsidRDefault="00C47A61" w:rsidP="00673156">
      <w:pPr>
        <w:pStyle w:val="ListParagraph"/>
        <w:numPr>
          <w:ilvl w:val="0"/>
          <w:numId w:val="48"/>
        </w:numPr>
        <w:ind w:left="1800"/>
        <w:jc w:val="both"/>
        <w:rPr>
          <w:rFonts w:asciiTheme="majorHAnsi" w:hAnsiTheme="majorHAnsi"/>
          <w:lang w:val="en-US"/>
        </w:rPr>
      </w:pPr>
      <w:r w:rsidRPr="00673156">
        <w:rPr>
          <w:rFonts w:asciiTheme="majorHAnsi" w:hAnsiTheme="majorHAnsi"/>
          <w:lang w:val="en-US"/>
        </w:rPr>
        <w:t>At 31 December 20X1 the entity has sunk a shaft 5 metres deep. It is highly likely</w:t>
      </w:r>
      <w:r w:rsidR="00673156" w:rsidRPr="00673156">
        <w:rPr>
          <w:rFonts w:asciiTheme="majorHAnsi" w:hAnsiTheme="majorHAnsi"/>
          <w:lang w:val="en-US"/>
        </w:rPr>
        <w:t xml:space="preserve"> </w:t>
      </w:r>
      <w:r w:rsidRPr="00673156">
        <w:rPr>
          <w:rFonts w:asciiTheme="majorHAnsi" w:hAnsiTheme="majorHAnsi"/>
          <w:lang w:val="en-US"/>
        </w:rPr>
        <w:t>that the entity will mine beyond 10 metres in the future and therefore will be</w:t>
      </w:r>
      <w:r w:rsidR="00673156" w:rsidRPr="00673156">
        <w:rPr>
          <w:rFonts w:asciiTheme="majorHAnsi" w:hAnsiTheme="majorHAnsi"/>
          <w:lang w:val="en-US"/>
        </w:rPr>
        <w:t xml:space="preserve"> </w:t>
      </w:r>
      <w:r w:rsidRPr="00673156">
        <w:rPr>
          <w:rFonts w:asciiTheme="majorHAnsi" w:hAnsiTheme="majorHAnsi"/>
          <w:lang w:val="en-US"/>
        </w:rPr>
        <w:t>obliged to fill in each shaft.</w:t>
      </w:r>
    </w:p>
    <w:p w14:paraId="4BB6F1D7" w14:textId="77777777" w:rsidR="00C47A61" w:rsidRPr="00673156" w:rsidRDefault="00C47A61" w:rsidP="00673156">
      <w:pPr>
        <w:pStyle w:val="ListParagraph"/>
        <w:numPr>
          <w:ilvl w:val="0"/>
          <w:numId w:val="48"/>
        </w:numPr>
        <w:ind w:left="1800"/>
        <w:jc w:val="both"/>
        <w:rPr>
          <w:rFonts w:asciiTheme="majorHAnsi" w:hAnsiTheme="majorHAnsi"/>
          <w:lang w:val="en-US"/>
        </w:rPr>
      </w:pPr>
      <w:r w:rsidRPr="00673156">
        <w:rPr>
          <w:rFonts w:asciiTheme="majorHAnsi" w:hAnsiTheme="majorHAnsi"/>
          <w:lang w:val="en-US"/>
        </w:rPr>
        <w:t>At 31 December 20X2 the entity has sunk a shaft 12 metres deep.</w:t>
      </w:r>
    </w:p>
    <w:p w14:paraId="4468A490" w14:textId="77777777" w:rsidR="00C47A61" w:rsidRPr="00673156" w:rsidRDefault="00C47A61" w:rsidP="00673156">
      <w:pPr>
        <w:jc w:val="both"/>
        <w:rPr>
          <w:rFonts w:asciiTheme="majorHAnsi" w:hAnsiTheme="majorHAnsi"/>
          <w:lang w:val="en-US"/>
        </w:rPr>
      </w:pPr>
    </w:p>
    <w:p w14:paraId="7D7E11E2" w14:textId="77777777" w:rsidR="00C47A61" w:rsidRPr="00673156" w:rsidRDefault="00C47A61" w:rsidP="00673156">
      <w:pPr>
        <w:pStyle w:val="ListParagraph"/>
        <w:numPr>
          <w:ilvl w:val="0"/>
          <w:numId w:val="47"/>
        </w:numPr>
        <w:jc w:val="both"/>
        <w:rPr>
          <w:rFonts w:asciiTheme="majorHAnsi" w:hAnsiTheme="majorHAnsi"/>
          <w:lang w:val="en-US"/>
        </w:rPr>
      </w:pPr>
      <w:r w:rsidRPr="00673156">
        <w:rPr>
          <w:rFonts w:asciiTheme="majorHAnsi" w:hAnsiTheme="majorHAnsi"/>
          <w:lang w:val="en-US"/>
        </w:rPr>
        <w:lastRenderedPageBreak/>
        <w:t>An entity has made a written pledge to contribute a substantial sum of money</w:t>
      </w:r>
      <w:r w:rsidR="00673156">
        <w:rPr>
          <w:rFonts w:asciiTheme="majorHAnsi" w:hAnsiTheme="majorHAnsi"/>
          <w:lang w:val="en-US"/>
        </w:rPr>
        <w:t xml:space="preserve"> </w:t>
      </w:r>
      <w:r w:rsidRPr="00673156">
        <w:rPr>
          <w:rFonts w:asciiTheme="majorHAnsi" w:hAnsiTheme="majorHAnsi"/>
          <w:lang w:val="en-US"/>
        </w:rPr>
        <w:t>toward the construction of a new performing arts centre in its community.</w:t>
      </w:r>
      <w:r w:rsidR="00673156">
        <w:rPr>
          <w:rFonts w:asciiTheme="majorHAnsi" w:hAnsiTheme="majorHAnsi"/>
          <w:lang w:val="en-US"/>
        </w:rPr>
        <w:t xml:space="preserve"> </w:t>
      </w:r>
      <w:r w:rsidRPr="00673156">
        <w:rPr>
          <w:rFonts w:asciiTheme="majorHAnsi" w:hAnsiTheme="majorHAnsi"/>
          <w:lang w:val="en-US"/>
        </w:rPr>
        <w:t>Executives of the entity appeared in a press conference to announce the pledge.</w:t>
      </w:r>
      <w:r w:rsidR="00673156">
        <w:rPr>
          <w:rFonts w:asciiTheme="majorHAnsi" w:hAnsiTheme="majorHAnsi"/>
          <w:lang w:val="en-US"/>
        </w:rPr>
        <w:t xml:space="preserve"> </w:t>
      </w:r>
      <w:r w:rsidRPr="00673156">
        <w:rPr>
          <w:rFonts w:asciiTheme="majorHAnsi" w:hAnsiTheme="majorHAnsi"/>
          <w:lang w:val="en-US"/>
        </w:rPr>
        <w:t>With the entity’s consent, the charitable organisation that is building the arts</w:t>
      </w:r>
      <w:r w:rsidR="00673156">
        <w:rPr>
          <w:rFonts w:asciiTheme="majorHAnsi" w:hAnsiTheme="majorHAnsi"/>
          <w:lang w:val="en-US"/>
        </w:rPr>
        <w:t xml:space="preserve"> </w:t>
      </w:r>
      <w:r w:rsidRPr="00673156">
        <w:rPr>
          <w:rFonts w:asciiTheme="majorHAnsi" w:hAnsiTheme="majorHAnsi"/>
          <w:lang w:val="en-US"/>
        </w:rPr>
        <w:t>centre has cited the entity’s pledge in its materials soliciting additional pledges for</w:t>
      </w:r>
      <w:r w:rsidR="00673156">
        <w:rPr>
          <w:rFonts w:asciiTheme="majorHAnsi" w:hAnsiTheme="majorHAnsi"/>
          <w:lang w:val="en-US"/>
        </w:rPr>
        <w:t xml:space="preserve"> </w:t>
      </w:r>
      <w:r w:rsidRPr="00673156">
        <w:rPr>
          <w:rFonts w:asciiTheme="majorHAnsi" w:hAnsiTheme="majorHAnsi"/>
          <w:lang w:val="en-US"/>
        </w:rPr>
        <w:t>construction. Under local law, pledges to charitable organisations are not legally</w:t>
      </w:r>
      <w:r w:rsidR="00673156">
        <w:rPr>
          <w:rFonts w:asciiTheme="majorHAnsi" w:hAnsiTheme="majorHAnsi"/>
          <w:lang w:val="en-US"/>
        </w:rPr>
        <w:t xml:space="preserve"> </w:t>
      </w:r>
      <w:r w:rsidRPr="00673156">
        <w:rPr>
          <w:rFonts w:asciiTheme="majorHAnsi" w:hAnsiTheme="majorHAnsi"/>
          <w:lang w:val="en-US"/>
        </w:rPr>
        <w:t>enforceable.</w:t>
      </w:r>
    </w:p>
    <w:p w14:paraId="688108AE" w14:textId="77777777" w:rsidR="00C47A61" w:rsidRDefault="00C47A61" w:rsidP="00673156">
      <w:pPr>
        <w:pStyle w:val="ListParagraph"/>
        <w:numPr>
          <w:ilvl w:val="0"/>
          <w:numId w:val="47"/>
        </w:numPr>
        <w:jc w:val="both"/>
        <w:rPr>
          <w:rFonts w:asciiTheme="majorHAnsi" w:hAnsiTheme="majorHAnsi"/>
          <w:lang w:val="en-US"/>
        </w:rPr>
      </w:pPr>
      <w:r w:rsidRPr="00673156">
        <w:rPr>
          <w:rFonts w:asciiTheme="majorHAnsi" w:hAnsiTheme="majorHAnsi"/>
          <w:lang w:val="en-US"/>
        </w:rPr>
        <w:t>Waste from an entity’s production process contaminated the groundwater at the</w:t>
      </w:r>
      <w:r w:rsidR="00673156">
        <w:rPr>
          <w:rFonts w:asciiTheme="majorHAnsi" w:hAnsiTheme="majorHAnsi"/>
          <w:lang w:val="en-US"/>
        </w:rPr>
        <w:t xml:space="preserve"> </w:t>
      </w:r>
      <w:r w:rsidRPr="00673156">
        <w:rPr>
          <w:rFonts w:asciiTheme="majorHAnsi" w:hAnsiTheme="majorHAnsi"/>
          <w:lang w:val="en-US"/>
        </w:rPr>
        <w:t>entity’s plant. The entity is not required by law to restore the contaminated</w:t>
      </w:r>
      <w:r w:rsidR="00673156">
        <w:rPr>
          <w:rFonts w:asciiTheme="majorHAnsi" w:hAnsiTheme="majorHAnsi"/>
          <w:lang w:val="en-US"/>
        </w:rPr>
        <w:t xml:space="preserve"> </w:t>
      </w:r>
      <w:r w:rsidRPr="00673156">
        <w:rPr>
          <w:rFonts w:asciiTheme="majorHAnsi" w:hAnsiTheme="majorHAnsi"/>
          <w:lang w:val="en-US"/>
        </w:rPr>
        <w:t>environment and there is no court case. However, before the end of the current</w:t>
      </w:r>
      <w:r w:rsidR="00673156">
        <w:rPr>
          <w:rFonts w:asciiTheme="majorHAnsi" w:hAnsiTheme="majorHAnsi"/>
          <w:lang w:val="en-US"/>
        </w:rPr>
        <w:t xml:space="preserve"> </w:t>
      </w:r>
      <w:r w:rsidRPr="00673156">
        <w:rPr>
          <w:rFonts w:asciiTheme="majorHAnsi" w:hAnsiTheme="majorHAnsi"/>
          <w:lang w:val="en-US"/>
        </w:rPr>
        <w:t>reporting period the entity made a public announcement that it would restore the</w:t>
      </w:r>
      <w:r w:rsidR="00673156">
        <w:rPr>
          <w:rFonts w:asciiTheme="majorHAnsi" w:hAnsiTheme="majorHAnsi"/>
          <w:lang w:val="en-US"/>
        </w:rPr>
        <w:t xml:space="preserve"> </w:t>
      </w:r>
      <w:r w:rsidRPr="00673156">
        <w:rPr>
          <w:rFonts w:asciiTheme="majorHAnsi" w:hAnsiTheme="majorHAnsi"/>
          <w:lang w:val="en-US"/>
        </w:rPr>
        <w:t>contaminated environment within the next 12 months.</w:t>
      </w:r>
    </w:p>
    <w:p w14:paraId="3936E589" w14:textId="77777777" w:rsidR="00673156" w:rsidRDefault="00673156" w:rsidP="00673156">
      <w:pPr>
        <w:pStyle w:val="NoSpacing"/>
        <w:rPr>
          <w:lang w:val="en-US"/>
        </w:rPr>
      </w:pPr>
    </w:p>
    <w:p w14:paraId="0A1088F2" w14:textId="77777777" w:rsidR="003C1F08" w:rsidRPr="00CB7EA8" w:rsidRDefault="003C1F08" w:rsidP="003C1F08">
      <w:pPr>
        <w:rPr>
          <w:rFonts w:asciiTheme="majorHAnsi" w:hAnsiTheme="majorHAnsi"/>
          <w:u w:val="single"/>
          <w:lang w:val="en-US"/>
        </w:rPr>
      </w:pPr>
      <w:r w:rsidRPr="00CB7EA8">
        <w:rPr>
          <w:rFonts w:asciiTheme="majorHAnsi" w:hAnsiTheme="majorHAnsi"/>
          <w:u w:val="single"/>
          <w:lang w:val="en-US"/>
        </w:rPr>
        <w:t>Example 1: Initial measurement of provisions</w:t>
      </w:r>
    </w:p>
    <w:p w14:paraId="37626D07" w14:textId="77777777" w:rsidR="003C1F08" w:rsidRPr="00CB7EA8" w:rsidRDefault="003C1F08" w:rsidP="003C1F08">
      <w:pPr>
        <w:jc w:val="both"/>
        <w:rPr>
          <w:rFonts w:asciiTheme="majorHAnsi" w:hAnsiTheme="majorHAnsi"/>
          <w:lang w:val="en-US"/>
        </w:rPr>
      </w:pPr>
      <w:r w:rsidRPr="00CB7EA8">
        <w:rPr>
          <w:rFonts w:asciiTheme="majorHAnsi" w:hAnsiTheme="majorHAnsi"/>
          <w:lang w:val="en-US"/>
        </w:rPr>
        <w:t>An entity’s production process causes contamination to the land on which the entity’s plant is built. The entity is required by law to restore the environment at the end of its plant’s useful life. The estimated lifetime of the plant is 5 years. The entity envisages costs for site restoration varying from CU200,000 with 55% of probability and to CU275,000 with 45% probability. Adjustment for uncertainties is 5% and appropriate discount factor for risk-adjusted cash flows is 10%.</w:t>
      </w:r>
    </w:p>
    <w:p w14:paraId="55FD7976" w14:textId="77777777" w:rsidR="003C1F08" w:rsidRPr="00CB7EA8" w:rsidRDefault="003C1F08" w:rsidP="003C1F08">
      <w:pPr>
        <w:jc w:val="both"/>
        <w:rPr>
          <w:rFonts w:asciiTheme="majorHAnsi" w:hAnsiTheme="majorHAnsi"/>
          <w:lang w:val="en-US"/>
        </w:rPr>
      </w:pPr>
      <w:r w:rsidRPr="00CB7EA8">
        <w:rPr>
          <w:rFonts w:asciiTheme="majorHAnsi" w:hAnsiTheme="majorHAnsi"/>
          <w:lang w:val="en-US"/>
        </w:rPr>
        <w:t>What is the recognized amount of the provision, if any, in this case?</w:t>
      </w:r>
    </w:p>
    <w:p w14:paraId="78298E7D" w14:textId="77777777" w:rsidR="003C1F08" w:rsidRDefault="003C1F08" w:rsidP="003C1F08">
      <w:pPr>
        <w:pStyle w:val="NoSpacing"/>
        <w:rPr>
          <w:rFonts w:asciiTheme="majorHAnsi" w:hAnsiTheme="majorHAnsi"/>
          <w:lang w:val="en-US"/>
        </w:rPr>
      </w:pPr>
    </w:p>
    <w:p w14:paraId="6D4C3D74" w14:textId="77777777" w:rsidR="003C1F08" w:rsidRPr="00CB7EA8" w:rsidRDefault="003C1F08" w:rsidP="003C1F08">
      <w:pPr>
        <w:rPr>
          <w:rFonts w:asciiTheme="majorHAnsi" w:hAnsiTheme="majorHAnsi"/>
          <w:u w:val="single"/>
          <w:lang w:val="en-US"/>
        </w:rPr>
      </w:pPr>
      <w:r w:rsidRPr="00CB7EA8">
        <w:rPr>
          <w:rFonts w:asciiTheme="majorHAnsi" w:hAnsiTheme="majorHAnsi"/>
          <w:u w:val="single"/>
          <w:lang w:val="en-US"/>
        </w:rPr>
        <w:t>Example 2: Initial measurement of provisions</w:t>
      </w:r>
    </w:p>
    <w:p w14:paraId="20DE88A6" w14:textId="77777777" w:rsidR="003C1F08" w:rsidRPr="00CB7EA8" w:rsidRDefault="003C1F08" w:rsidP="003C1F08">
      <w:pPr>
        <w:jc w:val="both"/>
        <w:rPr>
          <w:rFonts w:asciiTheme="majorHAnsi" w:hAnsiTheme="majorHAnsi"/>
          <w:lang w:val="en-US"/>
        </w:rPr>
      </w:pPr>
      <w:r w:rsidRPr="00CB7EA8">
        <w:rPr>
          <w:rFonts w:asciiTheme="majorHAnsi" w:hAnsiTheme="majorHAnsi"/>
          <w:lang w:val="en-US"/>
        </w:rPr>
        <w:t xml:space="preserve">An entity sells 1,000 units of a product with warranties under which the entity will repair any manufacturing defects that become apparent within the first six months after purchase. If a minor defect is detected in a product, estimated repair costs of CU100 will result. If a major defect is detected in a product, estimated repair costs of CU400 will result. The entity’s experience together with its future expectations indicate that 75 per cent of the goods sold have no defects, 20 per cent of the goods sold have minor defects and 5 per cent of the goods sold have major defects. </w:t>
      </w:r>
    </w:p>
    <w:p w14:paraId="142D0560" w14:textId="77777777" w:rsidR="003C1F08" w:rsidRPr="00CB7EA8" w:rsidRDefault="003C1F08" w:rsidP="003C1F08">
      <w:pPr>
        <w:jc w:val="both"/>
        <w:rPr>
          <w:rFonts w:asciiTheme="majorHAnsi" w:hAnsiTheme="majorHAnsi"/>
          <w:lang w:val="en-US"/>
        </w:rPr>
      </w:pPr>
      <w:r w:rsidRPr="00CB7EA8">
        <w:rPr>
          <w:rFonts w:asciiTheme="majorHAnsi" w:hAnsiTheme="majorHAnsi"/>
          <w:lang w:val="en-US"/>
        </w:rPr>
        <w:t>For the purpose of this example, the risks specific to the liability and the time value of money have been ignored.</w:t>
      </w:r>
    </w:p>
    <w:p w14:paraId="1E33E8C7" w14:textId="77777777" w:rsidR="003C1F08" w:rsidRPr="00CB7EA8" w:rsidRDefault="003C1F08" w:rsidP="003C1F08">
      <w:pPr>
        <w:jc w:val="both"/>
        <w:rPr>
          <w:rFonts w:asciiTheme="majorHAnsi" w:hAnsiTheme="majorHAnsi"/>
          <w:lang w:val="en-US"/>
        </w:rPr>
      </w:pPr>
      <w:r w:rsidRPr="00CB7EA8">
        <w:rPr>
          <w:rFonts w:asciiTheme="majorHAnsi" w:hAnsiTheme="majorHAnsi"/>
          <w:lang w:val="en-US"/>
        </w:rPr>
        <w:t>What is the recognized amount of the provision, if any, in this case?</w:t>
      </w:r>
    </w:p>
    <w:p w14:paraId="4875D6E9" w14:textId="77777777" w:rsidR="003C1F08" w:rsidRPr="00CB7EA8" w:rsidRDefault="003C1F08" w:rsidP="003C1F08">
      <w:pPr>
        <w:pStyle w:val="NoSpacing"/>
        <w:rPr>
          <w:rFonts w:asciiTheme="majorHAnsi" w:hAnsiTheme="majorHAnsi"/>
          <w:lang w:val="en-US"/>
        </w:rPr>
      </w:pPr>
    </w:p>
    <w:p w14:paraId="6BC28075" w14:textId="77777777" w:rsidR="003C1F08" w:rsidRPr="00CB7EA8" w:rsidRDefault="003C1F08" w:rsidP="003C1F08">
      <w:pPr>
        <w:rPr>
          <w:rFonts w:asciiTheme="majorHAnsi" w:hAnsiTheme="majorHAnsi"/>
          <w:u w:val="single"/>
          <w:lang w:val="en-US"/>
        </w:rPr>
      </w:pPr>
      <w:r w:rsidRPr="00CB7EA8">
        <w:rPr>
          <w:rFonts w:asciiTheme="majorHAnsi" w:hAnsiTheme="majorHAnsi"/>
          <w:u w:val="single"/>
          <w:lang w:val="en-US"/>
        </w:rPr>
        <w:t>Example 3: Initial measurement of provisions</w:t>
      </w:r>
    </w:p>
    <w:p w14:paraId="1FC70436" w14:textId="77777777" w:rsidR="003C1F08" w:rsidRPr="00CB7EA8" w:rsidRDefault="003C1F08" w:rsidP="003C1F08">
      <w:pPr>
        <w:jc w:val="both"/>
        <w:rPr>
          <w:rFonts w:asciiTheme="majorHAnsi" w:hAnsiTheme="majorHAnsi"/>
          <w:lang w:val="en-US"/>
        </w:rPr>
      </w:pPr>
      <w:r w:rsidRPr="00CB7EA8">
        <w:rPr>
          <w:rFonts w:asciiTheme="majorHAnsi" w:hAnsiTheme="majorHAnsi"/>
          <w:lang w:val="en-US"/>
        </w:rPr>
        <w:t>A customer has initiated a lawsuit against an entity associated with personal injury when using one of the entity’s products. The entity’s lawyers estimate from experience that at the reporting date (31 December 20X1) the entity has:</w:t>
      </w:r>
    </w:p>
    <w:p w14:paraId="30F96143" w14:textId="207E5E99" w:rsidR="003C1F08" w:rsidRPr="00CB7EA8" w:rsidRDefault="003C1F08" w:rsidP="003C1F08">
      <w:pPr>
        <w:pStyle w:val="ListParagraph"/>
        <w:numPr>
          <w:ilvl w:val="0"/>
          <w:numId w:val="39"/>
        </w:numPr>
        <w:jc w:val="both"/>
        <w:rPr>
          <w:rFonts w:asciiTheme="majorHAnsi" w:hAnsiTheme="majorHAnsi"/>
          <w:lang w:val="en-US"/>
        </w:rPr>
      </w:pPr>
      <w:r w:rsidRPr="00CB7EA8">
        <w:rPr>
          <w:rFonts w:asciiTheme="majorHAnsi" w:hAnsiTheme="majorHAnsi"/>
          <w:lang w:val="en-US"/>
        </w:rPr>
        <w:t>a 30 per cent chance of being ordered to pay the customer compensation of CU2 million and a 70 per cent chance of being ordered to pay compensation of CU</w:t>
      </w:r>
      <w:r w:rsidR="00F15D99">
        <w:rPr>
          <w:rFonts w:asciiTheme="majorHAnsi" w:hAnsiTheme="majorHAnsi"/>
          <w:lang w:val="en-US"/>
        </w:rPr>
        <w:t xml:space="preserve"> </w:t>
      </w:r>
      <w:r w:rsidRPr="00CB7EA8">
        <w:rPr>
          <w:rFonts w:asciiTheme="majorHAnsi" w:hAnsiTheme="majorHAnsi"/>
          <w:lang w:val="en-US"/>
        </w:rPr>
        <w:t xml:space="preserve">300,000. The ruling is </w:t>
      </w:r>
      <w:r w:rsidRPr="00CB7EA8">
        <w:rPr>
          <w:rFonts w:asciiTheme="majorHAnsi" w:hAnsiTheme="majorHAnsi"/>
          <w:lang w:val="en-US"/>
        </w:rPr>
        <w:lastRenderedPageBreak/>
        <w:t>expected to take place in two years’ time. The entity determines that a discount rate of 4 per cent is appropriate to adjust for the risks specific to the liability.</w:t>
      </w:r>
    </w:p>
    <w:p w14:paraId="6A15126A" w14:textId="77777777" w:rsidR="003C1F08" w:rsidRPr="00CB7EA8" w:rsidRDefault="003C1F08" w:rsidP="003C1F08">
      <w:pPr>
        <w:pStyle w:val="ListParagraph"/>
        <w:numPr>
          <w:ilvl w:val="0"/>
          <w:numId w:val="39"/>
        </w:numPr>
        <w:jc w:val="both"/>
        <w:rPr>
          <w:rFonts w:asciiTheme="majorHAnsi" w:hAnsiTheme="majorHAnsi"/>
          <w:lang w:val="en-US"/>
        </w:rPr>
      </w:pPr>
      <w:r w:rsidRPr="00CB7EA8">
        <w:rPr>
          <w:rFonts w:asciiTheme="majorHAnsi" w:hAnsiTheme="majorHAnsi"/>
          <w:lang w:val="en-US"/>
        </w:rPr>
        <w:t>a 25 per cent chance of being ordered to pay the customer compensation of CU100,000, a 50 per cent chance of being ordered to pay compensation of CU300,000 and a 25 per cent chance of being ordered to pay compensation of CU500,000. For the purpose of this example, the risks specific to the liability and the time value of money have been ignored.</w:t>
      </w:r>
    </w:p>
    <w:p w14:paraId="45706CDC" w14:textId="77777777" w:rsidR="003C1F08" w:rsidRPr="00CB7EA8" w:rsidRDefault="003C1F08" w:rsidP="003C1F08">
      <w:pPr>
        <w:pStyle w:val="ListParagraph"/>
        <w:numPr>
          <w:ilvl w:val="0"/>
          <w:numId w:val="39"/>
        </w:numPr>
        <w:jc w:val="both"/>
        <w:rPr>
          <w:rFonts w:asciiTheme="majorHAnsi" w:hAnsiTheme="majorHAnsi"/>
          <w:lang w:val="en-US"/>
        </w:rPr>
      </w:pPr>
      <w:r w:rsidRPr="00CB7EA8">
        <w:rPr>
          <w:rFonts w:asciiTheme="majorHAnsi" w:hAnsiTheme="majorHAnsi"/>
          <w:lang w:val="en-US"/>
        </w:rPr>
        <w:t>a 75 per cent chance of winning the lawsuit and thereby avoiding the payment of compensation. Furthermore, the entity’s lawyers estimate that the entity has a 10 per cent chance of being ordered to pay the customer compensation of CU2 million and a 15 per cent chance of being ordered to pay compensation of CU300,000. For the purpose of this example, the risks specific to the liability and the time value of money have been ignored.</w:t>
      </w:r>
    </w:p>
    <w:p w14:paraId="050D1389" w14:textId="77777777" w:rsidR="003C1F08" w:rsidRPr="00CB7EA8" w:rsidRDefault="003C1F08" w:rsidP="003C1F08">
      <w:pPr>
        <w:jc w:val="both"/>
        <w:rPr>
          <w:rFonts w:asciiTheme="majorHAnsi" w:hAnsiTheme="majorHAnsi"/>
          <w:lang w:val="en-US"/>
        </w:rPr>
      </w:pPr>
      <w:r w:rsidRPr="00CB7EA8">
        <w:rPr>
          <w:rFonts w:asciiTheme="majorHAnsi" w:hAnsiTheme="majorHAnsi"/>
          <w:lang w:val="en-US"/>
        </w:rPr>
        <w:t>What is the recognized amount of provision, if any, in every of these cases?</w:t>
      </w:r>
    </w:p>
    <w:p w14:paraId="61B3198D" w14:textId="77777777" w:rsidR="003C1F08" w:rsidRPr="00CB7EA8" w:rsidRDefault="003C1F08" w:rsidP="003C1F08">
      <w:pPr>
        <w:pStyle w:val="NoSpacing"/>
        <w:rPr>
          <w:rFonts w:asciiTheme="majorHAnsi" w:hAnsiTheme="majorHAnsi"/>
          <w:lang w:val="en-US"/>
        </w:rPr>
      </w:pPr>
    </w:p>
    <w:p w14:paraId="2EE82B90" w14:textId="77777777" w:rsidR="003C1F08" w:rsidRPr="00CB7EA8" w:rsidRDefault="003C1F08" w:rsidP="003C1F08">
      <w:pPr>
        <w:jc w:val="both"/>
        <w:rPr>
          <w:rFonts w:asciiTheme="majorHAnsi" w:hAnsiTheme="majorHAnsi"/>
          <w:u w:val="single"/>
          <w:lang w:val="en-US"/>
        </w:rPr>
      </w:pPr>
      <w:r w:rsidRPr="00CB7EA8">
        <w:rPr>
          <w:rFonts w:asciiTheme="majorHAnsi" w:hAnsiTheme="majorHAnsi"/>
          <w:u w:val="single"/>
          <w:lang w:val="en-US"/>
        </w:rPr>
        <w:t>Example 4: Expenditures charged against a provision</w:t>
      </w:r>
    </w:p>
    <w:p w14:paraId="1BDBF806" w14:textId="77777777" w:rsidR="003C1F08" w:rsidRPr="00CB7EA8" w:rsidRDefault="003C1F08" w:rsidP="003C1F08">
      <w:pPr>
        <w:jc w:val="both"/>
        <w:rPr>
          <w:rFonts w:asciiTheme="majorHAnsi" w:hAnsiTheme="majorHAnsi"/>
          <w:lang w:val="en-US"/>
        </w:rPr>
      </w:pPr>
      <w:r w:rsidRPr="00CB7EA8">
        <w:rPr>
          <w:rFonts w:asciiTheme="majorHAnsi" w:hAnsiTheme="majorHAnsi"/>
          <w:lang w:val="en-US"/>
        </w:rPr>
        <w:t xml:space="preserve">An entity recognized a CU40,000 provision for a lawsuit at 31 December 20X1. In March 20X2 the case was dismissed without the right to appeal. In April 20X2 the entity undertook an advertising campaign costing CU40,000. The entity made the following entry in its accounting records to recognize the advertising campaign: </w:t>
      </w:r>
    </w:p>
    <w:p w14:paraId="60C6C74F" w14:textId="77777777" w:rsidR="003C1F08" w:rsidRPr="00CB7EA8" w:rsidRDefault="003C1F08" w:rsidP="003C1F08">
      <w:pPr>
        <w:jc w:val="both"/>
        <w:rPr>
          <w:rFonts w:asciiTheme="majorHAnsi" w:hAnsiTheme="majorHAnsi"/>
          <w:lang w:val="en-US"/>
        </w:rPr>
      </w:pPr>
      <w:r w:rsidRPr="00CB7EA8">
        <w:rPr>
          <w:rFonts w:asciiTheme="majorHAnsi" w:hAnsiTheme="majorHAnsi"/>
          <w:lang w:val="en-US"/>
        </w:rPr>
        <w:t>Db: Provision for lawsuit (liability) = CU40,000</w:t>
      </w:r>
    </w:p>
    <w:p w14:paraId="44D90654" w14:textId="77777777" w:rsidR="003C1F08" w:rsidRPr="00CB7EA8" w:rsidRDefault="003C1F08" w:rsidP="003C1F08">
      <w:pPr>
        <w:jc w:val="both"/>
        <w:rPr>
          <w:rFonts w:asciiTheme="majorHAnsi" w:hAnsiTheme="majorHAnsi"/>
          <w:lang w:val="en-US"/>
        </w:rPr>
      </w:pPr>
      <w:r w:rsidRPr="00CB7EA8">
        <w:rPr>
          <w:rFonts w:asciiTheme="majorHAnsi" w:hAnsiTheme="majorHAnsi"/>
          <w:lang w:val="en-US"/>
        </w:rPr>
        <w:t>Cr: Cash = CU40,000</w:t>
      </w:r>
    </w:p>
    <w:p w14:paraId="54D49C2E" w14:textId="0F1F0A6F" w:rsidR="003C1F08" w:rsidRDefault="003C1F08" w:rsidP="003C1F08">
      <w:pPr>
        <w:jc w:val="both"/>
        <w:rPr>
          <w:rFonts w:asciiTheme="majorHAnsi" w:hAnsiTheme="majorHAnsi"/>
          <w:lang w:val="en-US"/>
        </w:rPr>
      </w:pPr>
      <w:r w:rsidRPr="00CB7EA8">
        <w:rPr>
          <w:rFonts w:asciiTheme="majorHAnsi" w:hAnsiTheme="majorHAnsi"/>
          <w:lang w:val="en-US"/>
        </w:rPr>
        <w:t>Is such accounting (journal entry) correct?</w:t>
      </w:r>
    </w:p>
    <w:p w14:paraId="759D3593" w14:textId="2B1D4ED3" w:rsidR="006E4D19" w:rsidRDefault="006E4D19" w:rsidP="003C1F08">
      <w:pPr>
        <w:jc w:val="both"/>
        <w:rPr>
          <w:rFonts w:asciiTheme="majorHAnsi" w:hAnsiTheme="majorHAnsi"/>
          <w:lang w:val="en-US"/>
        </w:rPr>
      </w:pPr>
    </w:p>
    <w:p w14:paraId="1E65C966" w14:textId="6FC22932" w:rsidR="006E4D19" w:rsidRDefault="006E4D19" w:rsidP="003C1F08">
      <w:pPr>
        <w:jc w:val="both"/>
        <w:rPr>
          <w:rFonts w:asciiTheme="majorHAnsi" w:hAnsiTheme="majorHAnsi"/>
          <w:lang w:val="en-US"/>
        </w:rPr>
      </w:pPr>
      <w:r>
        <w:rPr>
          <w:rFonts w:asciiTheme="majorHAnsi" w:hAnsiTheme="majorHAnsi"/>
          <w:lang w:val="en-US"/>
        </w:rPr>
        <w:t>Correct entries:</w:t>
      </w:r>
      <w:bookmarkStart w:id="0" w:name="_GoBack"/>
      <w:bookmarkEnd w:id="0"/>
    </w:p>
    <w:p w14:paraId="34DFEEBC" w14:textId="12EBA81E" w:rsidR="006E4D19" w:rsidRDefault="006E4D19" w:rsidP="003C1F08">
      <w:pPr>
        <w:jc w:val="both"/>
        <w:rPr>
          <w:rFonts w:asciiTheme="majorHAnsi" w:hAnsiTheme="majorHAnsi"/>
          <w:lang w:val="en-US"/>
        </w:rPr>
      </w:pPr>
      <w:r>
        <w:rPr>
          <w:rFonts w:asciiTheme="majorHAnsi" w:hAnsiTheme="majorHAnsi"/>
          <w:lang w:val="en-US"/>
        </w:rPr>
        <w:t>Db Provision (BS)</w:t>
      </w:r>
    </w:p>
    <w:p w14:paraId="509E1793" w14:textId="3C0E37F8" w:rsidR="006E4D19" w:rsidRDefault="006E4D19" w:rsidP="003C1F08">
      <w:pPr>
        <w:jc w:val="both"/>
        <w:rPr>
          <w:rFonts w:asciiTheme="majorHAnsi" w:hAnsiTheme="majorHAnsi"/>
          <w:lang w:val="en-US"/>
        </w:rPr>
      </w:pPr>
      <w:r>
        <w:rPr>
          <w:rFonts w:asciiTheme="majorHAnsi" w:hAnsiTheme="majorHAnsi"/>
          <w:lang w:val="en-US"/>
        </w:rPr>
        <w:t>Cr P/L</w:t>
      </w:r>
    </w:p>
    <w:p w14:paraId="08860C46" w14:textId="1991917B" w:rsidR="006E4D19" w:rsidRDefault="006E4D19" w:rsidP="003C1F08">
      <w:pPr>
        <w:jc w:val="both"/>
        <w:rPr>
          <w:rFonts w:asciiTheme="majorHAnsi" w:hAnsiTheme="majorHAnsi"/>
          <w:lang w:val="en-US"/>
        </w:rPr>
      </w:pPr>
    </w:p>
    <w:p w14:paraId="0086CA12" w14:textId="2A639B75" w:rsidR="006E4D19" w:rsidRDefault="006E4D19" w:rsidP="003C1F08">
      <w:pPr>
        <w:jc w:val="both"/>
        <w:rPr>
          <w:rFonts w:asciiTheme="majorHAnsi" w:hAnsiTheme="majorHAnsi"/>
          <w:lang w:val="en-US"/>
        </w:rPr>
      </w:pPr>
      <w:r>
        <w:rPr>
          <w:rFonts w:asciiTheme="majorHAnsi" w:hAnsiTheme="majorHAnsi"/>
          <w:lang w:val="en-US"/>
        </w:rPr>
        <w:t>Db P/L</w:t>
      </w:r>
    </w:p>
    <w:p w14:paraId="4A4F97A4" w14:textId="3C333100" w:rsidR="006E4D19" w:rsidRDefault="006E4D19" w:rsidP="003C1F08">
      <w:pPr>
        <w:jc w:val="both"/>
        <w:rPr>
          <w:rFonts w:asciiTheme="majorHAnsi" w:hAnsiTheme="majorHAnsi"/>
          <w:lang w:val="en-US"/>
        </w:rPr>
      </w:pPr>
      <w:r>
        <w:rPr>
          <w:rFonts w:asciiTheme="majorHAnsi" w:hAnsiTheme="majorHAnsi"/>
          <w:lang w:val="en-US"/>
        </w:rPr>
        <w:t>Cr Cash</w:t>
      </w:r>
    </w:p>
    <w:p w14:paraId="380EE92F" w14:textId="77777777" w:rsidR="006E4D19" w:rsidRPr="00CB7EA8" w:rsidRDefault="006E4D19" w:rsidP="003C1F08">
      <w:pPr>
        <w:jc w:val="both"/>
        <w:rPr>
          <w:rFonts w:asciiTheme="majorHAnsi" w:hAnsiTheme="majorHAnsi"/>
          <w:lang w:val="en-US"/>
        </w:rPr>
      </w:pPr>
    </w:p>
    <w:p w14:paraId="7B787E7A" w14:textId="77777777" w:rsidR="00A4393C" w:rsidRPr="00F40DA1" w:rsidRDefault="00A4393C" w:rsidP="00105BBC">
      <w:pPr>
        <w:jc w:val="center"/>
        <w:rPr>
          <w:rFonts w:asciiTheme="majorHAnsi" w:eastAsia="Calibri" w:hAnsiTheme="majorHAnsi" w:cs="Times New Roman"/>
          <w:b/>
          <w:sz w:val="24"/>
          <w:szCs w:val="24"/>
          <w:lang w:val="en-US"/>
        </w:rPr>
      </w:pPr>
    </w:p>
    <w:sectPr w:rsidR="00A4393C" w:rsidRPr="00F40DA1" w:rsidSect="00A4393C">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2DAAA8" w14:textId="77777777" w:rsidR="00C3454A" w:rsidRDefault="00C3454A" w:rsidP="00C3454A">
      <w:pPr>
        <w:spacing w:after="0" w:line="240" w:lineRule="auto"/>
      </w:pPr>
      <w:r>
        <w:separator/>
      </w:r>
    </w:p>
  </w:endnote>
  <w:endnote w:type="continuationSeparator" w:id="0">
    <w:p w14:paraId="7D7C1B84" w14:textId="77777777" w:rsidR="00C3454A" w:rsidRDefault="00C3454A" w:rsidP="00C345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2094545"/>
      <w:docPartObj>
        <w:docPartGallery w:val="Page Numbers (Bottom of Page)"/>
        <w:docPartUnique/>
      </w:docPartObj>
    </w:sdtPr>
    <w:sdtEndPr>
      <w:rPr>
        <w:rFonts w:asciiTheme="majorHAnsi" w:hAnsiTheme="majorHAnsi"/>
      </w:rPr>
    </w:sdtEndPr>
    <w:sdtContent>
      <w:p w14:paraId="1C5F8A0F" w14:textId="77777777" w:rsidR="00C3454A" w:rsidRPr="00C3454A" w:rsidRDefault="00C3454A">
        <w:pPr>
          <w:pStyle w:val="Footer"/>
          <w:jc w:val="right"/>
          <w:rPr>
            <w:rFonts w:asciiTheme="majorHAnsi" w:hAnsiTheme="majorHAnsi"/>
          </w:rPr>
        </w:pPr>
        <w:r w:rsidRPr="00C3454A">
          <w:rPr>
            <w:rFonts w:asciiTheme="majorHAnsi" w:hAnsiTheme="majorHAnsi"/>
          </w:rPr>
          <w:fldChar w:fldCharType="begin"/>
        </w:r>
        <w:r w:rsidRPr="00C3454A">
          <w:rPr>
            <w:rFonts w:asciiTheme="majorHAnsi" w:hAnsiTheme="majorHAnsi"/>
          </w:rPr>
          <w:instrText>PAGE   \* MERGEFORMAT</w:instrText>
        </w:r>
        <w:r w:rsidRPr="00C3454A">
          <w:rPr>
            <w:rFonts w:asciiTheme="majorHAnsi" w:hAnsiTheme="majorHAnsi"/>
          </w:rPr>
          <w:fldChar w:fldCharType="separate"/>
        </w:r>
        <w:r w:rsidR="008007BD" w:rsidRPr="008007BD">
          <w:rPr>
            <w:rFonts w:asciiTheme="majorHAnsi" w:hAnsiTheme="majorHAnsi"/>
            <w:noProof/>
            <w:lang w:val="ru-RU"/>
          </w:rPr>
          <w:t>4</w:t>
        </w:r>
        <w:r w:rsidRPr="00C3454A">
          <w:rPr>
            <w:rFonts w:asciiTheme="majorHAnsi" w:hAnsiTheme="majorHAnsi"/>
          </w:rPr>
          <w:fldChar w:fldCharType="end"/>
        </w:r>
      </w:p>
    </w:sdtContent>
  </w:sdt>
  <w:p w14:paraId="1840312D" w14:textId="77777777" w:rsidR="00C3454A" w:rsidRDefault="00C345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99127E" w14:textId="77777777" w:rsidR="00C3454A" w:rsidRDefault="00C3454A" w:rsidP="00C3454A">
      <w:pPr>
        <w:spacing w:after="0" w:line="240" w:lineRule="auto"/>
      </w:pPr>
      <w:r>
        <w:separator/>
      </w:r>
    </w:p>
  </w:footnote>
  <w:footnote w:type="continuationSeparator" w:id="0">
    <w:p w14:paraId="2E47CE4B" w14:textId="77777777" w:rsidR="00C3454A" w:rsidRDefault="00C3454A" w:rsidP="00C345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B565A"/>
    <w:multiLevelType w:val="hybridMultilevel"/>
    <w:tmpl w:val="0D9ED098"/>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D86820"/>
    <w:multiLevelType w:val="hybridMultilevel"/>
    <w:tmpl w:val="27F44506"/>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315BA1"/>
    <w:multiLevelType w:val="hybridMultilevel"/>
    <w:tmpl w:val="0D9ED098"/>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2D1054"/>
    <w:multiLevelType w:val="hybridMultilevel"/>
    <w:tmpl w:val="39945BCE"/>
    <w:lvl w:ilvl="0" w:tplc="FFDA0E8A">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B0453C"/>
    <w:multiLevelType w:val="hybridMultilevel"/>
    <w:tmpl w:val="C62619E4"/>
    <w:lvl w:ilvl="0" w:tplc="4A808356">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7A294D"/>
    <w:multiLevelType w:val="hybridMultilevel"/>
    <w:tmpl w:val="14647EAA"/>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14261A"/>
    <w:multiLevelType w:val="hybridMultilevel"/>
    <w:tmpl w:val="0D9ED098"/>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6325E7"/>
    <w:multiLevelType w:val="hybridMultilevel"/>
    <w:tmpl w:val="ADD20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3776B4"/>
    <w:multiLevelType w:val="hybridMultilevel"/>
    <w:tmpl w:val="3932B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CD1896"/>
    <w:multiLevelType w:val="hybridMultilevel"/>
    <w:tmpl w:val="D9EE1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405A7A"/>
    <w:multiLevelType w:val="hybridMultilevel"/>
    <w:tmpl w:val="14647EAA"/>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E55E9B"/>
    <w:multiLevelType w:val="hybridMultilevel"/>
    <w:tmpl w:val="14647EAA"/>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942518"/>
    <w:multiLevelType w:val="hybridMultilevel"/>
    <w:tmpl w:val="66FC3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B46EC7"/>
    <w:multiLevelType w:val="hybridMultilevel"/>
    <w:tmpl w:val="14647EAA"/>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296B7B"/>
    <w:multiLevelType w:val="hybridMultilevel"/>
    <w:tmpl w:val="14647EAA"/>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FA1C01"/>
    <w:multiLevelType w:val="hybridMultilevel"/>
    <w:tmpl w:val="FA4AAF20"/>
    <w:lvl w:ilvl="0" w:tplc="41801692">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746877"/>
    <w:multiLevelType w:val="hybridMultilevel"/>
    <w:tmpl w:val="C5668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D3225B"/>
    <w:multiLevelType w:val="hybridMultilevel"/>
    <w:tmpl w:val="14647EAA"/>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C129D2"/>
    <w:multiLevelType w:val="hybridMultilevel"/>
    <w:tmpl w:val="49469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664F15"/>
    <w:multiLevelType w:val="hybridMultilevel"/>
    <w:tmpl w:val="14647EAA"/>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3A4C7F"/>
    <w:multiLevelType w:val="hybridMultilevel"/>
    <w:tmpl w:val="BA6C4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427908"/>
    <w:multiLevelType w:val="hybridMultilevel"/>
    <w:tmpl w:val="E44CE5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86191E"/>
    <w:multiLevelType w:val="hybridMultilevel"/>
    <w:tmpl w:val="14647EAA"/>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3C776E"/>
    <w:multiLevelType w:val="hybridMultilevel"/>
    <w:tmpl w:val="14647EAA"/>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D9B36F8"/>
    <w:multiLevelType w:val="hybridMultilevel"/>
    <w:tmpl w:val="BEA8A4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F7D5A1F"/>
    <w:multiLevelType w:val="hybridMultilevel"/>
    <w:tmpl w:val="638683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0327CA9"/>
    <w:multiLevelType w:val="hybridMultilevel"/>
    <w:tmpl w:val="A170C5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4E84019"/>
    <w:multiLevelType w:val="hybridMultilevel"/>
    <w:tmpl w:val="27F44506"/>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63F238D"/>
    <w:multiLevelType w:val="hybridMultilevel"/>
    <w:tmpl w:val="B38C9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8F107D9"/>
    <w:multiLevelType w:val="hybridMultilevel"/>
    <w:tmpl w:val="A170C5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D017078"/>
    <w:multiLevelType w:val="hybridMultilevel"/>
    <w:tmpl w:val="034604E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451B51"/>
    <w:multiLevelType w:val="hybridMultilevel"/>
    <w:tmpl w:val="73DE9BCC"/>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2BC3526"/>
    <w:multiLevelType w:val="hybridMultilevel"/>
    <w:tmpl w:val="14647EAA"/>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5B95B0D"/>
    <w:multiLevelType w:val="hybridMultilevel"/>
    <w:tmpl w:val="78000D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7D00166"/>
    <w:multiLevelType w:val="hybridMultilevel"/>
    <w:tmpl w:val="73DE9BCC"/>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9096E70"/>
    <w:multiLevelType w:val="hybridMultilevel"/>
    <w:tmpl w:val="0BF03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AD14DD6"/>
    <w:multiLevelType w:val="hybridMultilevel"/>
    <w:tmpl w:val="B47EE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1FB14EA"/>
    <w:multiLevelType w:val="hybridMultilevel"/>
    <w:tmpl w:val="14647EAA"/>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2843C90"/>
    <w:multiLevelType w:val="hybridMultilevel"/>
    <w:tmpl w:val="27F44506"/>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3254C1A"/>
    <w:multiLevelType w:val="hybridMultilevel"/>
    <w:tmpl w:val="83E21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6627DD1"/>
    <w:multiLevelType w:val="hybridMultilevel"/>
    <w:tmpl w:val="0D9ED098"/>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79639C0"/>
    <w:multiLevelType w:val="hybridMultilevel"/>
    <w:tmpl w:val="27F44506"/>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88D488F"/>
    <w:multiLevelType w:val="hybridMultilevel"/>
    <w:tmpl w:val="9B42B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C4E3CA5"/>
    <w:multiLevelType w:val="hybridMultilevel"/>
    <w:tmpl w:val="AB8E112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C956D38"/>
    <w:multiLevelType w:val="hybridMultilevel"/>
    <w:tmpl w:val="0D9ED098"/>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3DF716D"/>
    <w:multiLevelType w:val="hybridMultilevel"/>
    <w:tmpl w:val="6FBAC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5616DD5"/>
    <w:multiLevelType w:val="hybridMultilevel"/>
    <w:tmpl w:val="8FD20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B216918"/>
    <w:multiLevelType w:val="hybridMultilevel"/>
    <w:tmpl w:val="F89C2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25"/>
  </w:num>
  <w:num w:numId="3">
    <w:abstractNumId w:val="47"/>
  </w:num>
  <w:num w:numId="4">
    <w:abstractNumId w:val="12"/>
  </w:num>
  <w:num w:numId="5">
    <w:abstractNumId w:val="20"/>
  </w:num>
  <w:num w:numId="6">
    <w:abstractNumId w:val="8"/>
  </w:num>
  <w:num w:numId="7">
    <w:abstractNumId w:val="18"/>
  </w:num>
  <w:num w:numId="8">
    <w:abstractNumId w:val="39"/>
  </w:num>
  <w:num w:numId="9">
    <w:abstractNumId w:val="29"/>
  </w:num>
  <w:num w:numId="10">
    <w:abstractNumId w:val="0"/>
  </w:num>
  <w:num w:numId="11">
    <w:abstractNumId w:val="2"/>
  </w:num>
  <w:num w:numId="12">
    <w:abstractNumId w:val="40"/>
  </w:num>
  <w:num w:numId="13">
    <w:abstractNumId w:val="6"/>
  </w:num>
  <w:num w:numId="14">
    <w:abstractNumId w:val="44"/>
  </w:num>
  <w:num w:numId="15">
    <w:abstractNumId w:val="28"/>
  </w:num>
  <w:num w:numId="16">
    <w:abstractNumId w:val="31"/>
  </w:num>
  <w:num w:numId="17">
    <w:abstractNumId w:val="4"/>
  </w:num>
  <w:num w:numId="18">
    <w:abstractNumId w:val="34"/>
  </w:num>
  <w:num w:numId="19">
    <w:abstractNumId w:val="15"/>
  </w:num>
  <w:num w:numId="20">
    <w:abstractNumId w:val="3"/>
  </w:num>
  <w:num w:numId="21">
    <w:abstractNumId w:val="35"/>
  </w:num>
  <w:num w:numId="22">
    <w:abstractNumId w:val="36"/>
  </w:num>
  <w:num w:numId="23">
    <w:abstractNumId w:val="7"/>
  </w:num>
  <w:num w:numId="24">
    <w:abstractNumId w:val="16"/>
  </w:num>
  <w:num w:numId="25">
    <w:abstractNumId w:val="45"/>
  </w:num>
  <w:num w:numId="26">
    <w:abstractNumId w:val="9"/>
  </w:num>
  <w:num w:numId="27">
    <w:abstractNumId w:val="23"/>
  </w:num>
  <w:num w:numId="28">
    <w:abstractNumId w:val="14"/>
  </w:num>
  <w:num w:numId="29">
    <w:abstractNumId w:val="5"/>
  </w:num>
  <w:num w:numId="30">
    <w:abstractNumId w:val="19"/>
  </w:num>
  <w:num w:numId="31">
    <w:abstractNumId w:val="13"/>
  </w:num>
  <w:num w:numId="32">
    <w:abstractNumId w:val="11"/>
  </w:num>
  <w:num w:numId="33">
    <w:abstractNumId w:val="10"/>
  </w:num>
  <w:num w:numId="34">
    <w:abstractNumId w:val="32"/>
  </w:num>
  <w:num w:numId="35">
    <w:abstractNumId w:val="22"/>
  </w:num>
  <w:num w:numId="36">
    <w:abstractNumId w:val="26"/>
  </w:num>
  <w:num w:numId="37">
    <w:abstractNumId w:val="17"/>
  </w:num>
  <w:num w:numId="38">
    <w:abstractNumId w:val="37"/>
  </w:num>
  <w:num w:numId="39">
    <w:abstractNumId w:val="43"/>
  </w:num>
  <w:num w:numId="40">
    <w:abstractNumId w:val="42"/>
  </w:num>
  <w:num w:numId="41">
    <w:abstractNumId w:val="46"/>
  </w:num>
  <w:num w:numId="42">
    <w:abstractNumId w:val="33"/>
  </w:num>
  <w:num w:numId="43">
    <w:abstractNumId w:val="38"/>
  </w:num>
  <w:num w:numId="44">
    <w:abstractNumId w:val="1"/>
  </w:num>
  <w:num w:numId="45">
    <w:abstractNumId w:val="41"/>
  </w:num>
  <w:num w:numId="46">
    <w:abstractNumId w:val="27"/>
  </w:num>
  <w:num w:numId="47">
    <w:abstractNumId w:val="21"/>
  </w:num>
  <w:num w:numId="4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5BBC"/>
    <w:rsid w:val="00026E79"/>
    <w:rsid w:val="00040071"/>
    <w:rsid w:val="000922A8"/>
    <w:rsid w:val="000B6236"/>
    <w:rsid w:val="000D0FD5"/>
    <w:rsid w:val="000D2F66"/>
    <w:rsid w:val="00105BBC"/>
    <w:rsid w:val="00126388"/>
    <w:rsid w:val="00151C77"/>
    <w:rsid w:val="0015207E"/>
    <w:rsid w:val="00241BF9"/>
    <w:rsid w:val="002B1E14"/>
    <w:rsid w:val="002B64F7"/>
    <w:rsid w:val="0031071D"/>
    <w:rsid w:val="00327CB9"/>
    <w:rsid w:val="003C1F08"/>
    <w:rsid w:val="003D1E09"/>
    <w:rsid w:val="003D2B37"/>
    <w:rsid w:val="00400D77"/>
    <w:rsid w:val="004536CC"/>
    <w:rsid w:val="005D168C"/>
    <w:rsid w:val="00662A6E"/>
    <w:rsid w:val="00667852"/>
    <w:rsid w:val="00672D7F"/>
    <w:rsid w:val="00673156"/>
    <w:rsid w:val="006E23C2"/>
    <w:rsid w:val="006E4D19"/>
    <w:rsid w:val="00730874"/>
    <w:rsid w:val="00736661"/>
    <w:rsid w:val="00745528"/>
    <w:rsid w:val="007B60FC"/>
    <w:rsid w:val="007F4310"/>
    <w:rsid w:val="008007BD"/>
    <w:rsid w:val="00832585"/>
    <w:rsid w:val="008859EF"/>
    <w:rsid w:val="0095538F"/>
    <w:rsid w:val="00957A40"/>
    <w:rsid w:val="009867C0"/>
    <w:rsid w:val="009A65B3"/>
    <w:rsid w:val="00A0330B"/>
    <w:rsid w:val="00A43517"/>
    <w:rsid w:val="00A4393C"/>
    <w:rsid w:val="00A608F0"/>
    <w:rsid w:val="00A64C5A"/>
    <w:rsid w:val="00A76153"/>
    <w:rsid w:val="00AA16AE"/>
    <w:rsid w:val="00BC1855"/>
    <w:rsid w:val="00C324B0"/>
    <w:rsid w:val="00C3454A"/>
    <w:rsid w:val="00C47A61"/>
    <w:rsid w:val="00CA0BE4"/>
    <w:rsid w:val="00CB78AE"/>
    <w:rsid w:val="00CF1C9B"/>
    <w:rsid w:val="00D14A1B"/>
    <w:rsid w:val="00D222DF"/>
    <w:rsid w:val="00D76878"/>
    <w:rsid w:val="00D9636F"/>
    <w:rsid w:val="00DA736D"/>
    <w:rsid w:val="00DC1B2D"/>
    <w:rsid w:val="00E554FB"/>
    <w:rsid w:val="00EB64AA"/>
    <w:rsid w:val="00EF2FA3"/>
    <w:rsid w:val="00EF432E"/>
    <w:rsid w:val="00F02188"/>
    <w:rsid w:val="00F15479"/>
    <w:rsid w:val="00F15D99"/>
    <w:rsid w:val="00F40DA1"/>
    <w:rsid w:val="00F66210"/>
    <w:rsid w:val="00F776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3A90A"/>
  <w15:docId w15:val="{4A8F27F0-4A35-44C4-BFAB-A0BC9A08D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393C"/>
    <w:rPr>
      <w:lang w:val="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
    <w:name w:val="Стиль2"/>
    <w:basedOn w:val="Normal"/>
    <w:link w:val="20"/>
    <w:qFormat/>
    <w:rsid w:val="00A608F0"/>
    <w:pPr>
      <w:spacing w:before="360"/>
      <w:jc w:val="both"/>
    </w:pPr>
    <w:rPr>
      <w:rFonts w:asciiTheme="majorHAnsi" w:hAnsiTheme="majorHAnsi"/>
      <w:b/>
      <w:sz w:val="24"/>
      <w:szCs w:val="24"/>
      <w:lang w:val="sk-SK"/>
    </w:rPr>
  </w:style>
  <w:style w:type="character" w:customStyle="1" w:styleId="20">
    <w:name w:val="Стиль2 Знак"/>
    <w:basedOn w:val="DefaultParagraphFont"/>
    <w:link w:val="2"/>
    <w:rsid w:val="00A608F0"/>
    <w:rPr>
      <w:rFonts w:asciiTheme="majorHAnsi" w:hAnsiTheme="majorHAnsi"/>
      <w:b/>
      <w:sz w:val="24"/>
      <w:szCs w:val="24"/>
      <w:lang w:val="sk-SK"/>
    </w:rPr>
  </w:style>
  <w:style w:type="paragraph" w:customStyle="1" w:styleId="1">
    <w:name w:val="Стиль1"/>
    <w:basedOn w:val="Normal"/>
    <w:link w:val="10"/>
    <w:autoRedefine/>
    <w:qFormat/>
    <w:rsid w:val="00A76153"/>
    <w:pPr>
      <w:spacing w:after="0" w:line="240" w:lineRule="auto"/>
      <w:jc w:val="both"/>
    </w:pPr>
    <w:rPr>
      <w:rFonts w:ascii="Times New Roman" w:eastAsia="Calibri" w:hAnsi="Times New Roman" w:cs="Times New Roman"/>
      <w:b/>
      <w:sz w:val="24"/>
      <w:szCs w:val="24"/>
      <w:lang w:val="en-US"/>
    </w:rPr>
  </w:style>
  <w:style w:type="character" w:customStyle="1" w:styleId="10">
    <w:name w:val="Стиль1 Знак"/>
    <w:basedOn w:val="DefaultParagraphFont"/>
    <w:link w:val="1"/>
    <w:rsid w:val="00A76153"/>
    <w:rPr>
      <w:rFonts w:ascii="Times New Roman" w:eastAsia="Calibri" w:hAnsi="Times New Roman" w:cs="Times New Roman"/>
      <w:b/>
      <w:sz w:val="24"/>
      <w:szCs w:val="24"/>
    </w:rPr>
  </w:style>
  <w:style w:type="paragraph" w:styleId="NoSpacing">
    <w:name w:val="No Spacing"/>
    <w:uiPriority w:val="1"/>
    <w:qFormat/>
    <w:rsid w:val="006E23C2"/>
    <w:pPr>
      <w:spacing w:after="0" w:line="240" w:lineRule="auto"/>
    </w:pPr>
    <w:rPr>
      <w:lang w:val="cs-CZ"/>
    </w:rPr>
  </w:style>
  <w:style w:type="table" w:styleId="TableGrid">
    <w:name w:val="Table Grid"/>
    <w:basedOn w:val="TableNormal"/>
    <w:uiPriority w:val="59"/>
    <w:rsid w:val="006E23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867C0"/>
    <w:pPr>
      <w:ind w:left="720"/>
      <w:contextualSpacing/>
    </w:pPr>
  </w:style>
  <w:style w:type="paragraph" w:styleId="Header">
    <w:name w:val="header"/>
    <w:basedOn w:val="Normal"/>
    <w:link w:val="HeaderChar"/>
    <w:uiPriority w:val="99"/>
    <w:unhideWhenUsed/>
    <w:rsid w:val="00C345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454A"/>
    <w:rPr>
      <w:lang w:val="cs-CZ"/>
    </w:rPr>
  </w:style>
  <w:style w:type="paragraph" w:styleId="Footer">
    <w:name w:val="footer"/>
    <w:basedOn w:val="Normal"/>
    <w:link w:val="FooterChar"/>
    <w:uiPriority w:val="99"/>
    <w:unhideWhenUsed/>
    <w:rsid w:val="00C345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454A"/>
    <w:rPr>
      <w:lang w:val="cs-CZ"/>
    </w:rPr>
  </w:style>
  <w:style w:type="paragraph" w:styleId="FootnoteText">
    <w:name w:val="footnote text"/>
    <w:basedOn w:val="Normal"/>
    <w:link w:val="FootnoteTextChar"/>
    <w:uiPriority w:val="99"/>
    <w:semiHidden/>
    <w:unhideWhenUsed/>
    <w:rsid w:val="00EF432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F432E"/>
    <w:rPr>
      <w:sz w:val="20"/>
      <w:szCs w:val="20"/>
      <w:lang w:val="cs-CZ"/>
    </w:rPr>
  </w:style>
  <w:style w:type="character" w:styleId="FootnoteReference">
    <w:name w:val="footnote reference"/>
    <w:basedOn w:val="DefaultParagraphFont"/>
    <w:uiPriority w:val="99"/>
    <w:semiHidden/>
    <w:unhideWhenUsed/>
    <w:rsid w:val="00EF432E"/>
    <w:rPr>
      <w:vertAlign w:val="superscript"/>
    </w:rPr>
  </w:style>
  <w:style w:type="paragraph" w:customStyle="1" w:styleId="IFRS">
    <w:name w:val="IFRS"/>
    <w:basedOn w:val="Normal"/>
    <w:link w:val="IFRS0"/>
    <w:qFormat/>
    <w:rsid w:val="00EF432E"/>
    <w:pPr>
      <w:jc w:val="center"/>
    </w:pPr>
    <w:rPr>
      <w:rFonts w:asciiTheme="majorHAnsi" w:eastAsia="Calibri" w:hAnsiTheme="majorHAnsi" w:cs="Times New Roman"/>
      <w:b/>
      <w:sz w:val="24"/>
      <w:szCs w:val="24"/>
      <w:lang w:val="en-US"/>
    </w:rPr>
  </w:style>
  <w:style w:type="character" w:customStyle="1" w:styleId="IFRS0">
    <w:name w:val="IFRS Знак"/>
    <w:basedOn w:val="DefaultParagraphFont"/>
    <w:link w:val="IFRS"/>
    <w:rsid w:val="00EF432E"/>
    <w:rPr>
      <w:rFonts w:asciiTheme="majorHAnsi" w:eastAsia="Calibri" w:hAnsiTheme="majorHAnsi"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3833245">
      <w:bodyDiv w:val="1"/>
      <w:marLeft w:val="0"/>
      <w:marRight w:val="0"/>
      <w:marTop w:val="0"/>
      <w:marBottom w:val="0"/>
      <w:divBdr>
        <w:top w:val="none" w:sz="0" w:space="0" w:color="auto"/>
        <w:left w:val="none" w:sz="0" w:space="0" w:color="auto"/>
        <w:bottom w:val="none" w:sz="0" w:space="0" w:color="auto"/>
        <w:right w:val="none" w:sz="0" w:space="0" w:color="auto"/>
      </w:divBdr>
    </w:div>
    <w:div w:id="523717382">
      <w:bodyDiv w:val="1"/>
      <w:marLeft w:val="0"/>
      <w:marRight w:val="0"/>
      <w:marTop w:val="0"/>
      <w:marBottom w:val="0"/>
      <w:divBdr>
        <w:top w:val="none" w:sz="0" w:space="0" w:color="auto"/>
        <w:left w:val="none" w:sz="0" w:space="0" w:color="auto"/>
        <w:bottom w:val="none" w:sz="0" w:space="0" w:color="auto"/>
        <w:right w:val="none" w:sz="0" w:space="0" w:color="auto"/>
      </w:divBdr>
    </w:div>
    <w:div w:id="535894134">
      <w:bodyDiv w:val="1"/>
      <w:marLeft w:val="0"/>
      <w:marRight w:val="0"/>
      <w:marTop w:val="0"/>
      <w:marBottom w:val="0"/>
      <w:divBdr>
        <w:top w:val="none" w:sz="0" w:space="0" w:color="auto"/>
        <w:left w:val="none" w:sz="0" w:space="0" w:color="auto"/>
        <w:bottom w:val="none" w:sz="0" w:space="0" w:color="auto"/>
        <w:right w:val="none" w:sz="0" w:space="0" w:color="auto"/>
      </w:divBdr>
    </w:div>
    <w:div w:id="1241216105">
      <w:bodyDiv w:val="1"/>
      <w:marLeft w:val="0"/>
      <w:marRight w:val="0"/>
      <w:marTop w:val="0"/>
      <w:marBottom w:val="0"/>
      <w:divBdr>
        <w:top w:val="none" w:sz="0" w:space="0" w:color="auto"/>
        <w:left w:val="none" w:sz="0" w:space="0" w:color="auto"/>
        <w:bottom w:val="none" w:sz="0" w:space="0" w:color="auto"/>
        <w:right w:val="none" w:sz="0" w:space="0" w:color="auto"/>
      </w:divBdr>
    </w:div>
    <w:div w:id="1284581242">
      <w:bodyDiv w:val="1"/>
      <w:marLeft w:val="0"/>
      <w:marRight w:val="0"/>
      <w:marTop w:val="0"/>
      <w:marBottom w:val="0"/>
      <w:divBdr>
        <w:top w:val="none" w:sz="0" w:space="0" w:color="auto"/>
        <w:left w:val="none" w:sz="0" w:space="0" w:color="auto"/>
        <w:bottom w:val="none" w:sz="0" w:space="0" w:color="auto"/>
        <w:right w:val="none" w:sz="0" w:space="0" w:color="auto"/>
      </w:divBdr>
    </w:div>
    <w:div w:id="1579945129">
      <w:bodyDiv w:val="1"/>
      <w:marLeft w:val="0"/>
      <w:marRight w:val="0"/>
      <w:marTop w:val="0"/>
      <w:marBottom w:val="0"/>
      <w:divBdr>
        <w:top w:val="none" w:sz="0" w:space="0" w:color="auto"/>
        <w:left w:val="none" w:sz="0" w:space="0" w:color="auto"/>
        <w:bottom w:val="none" w:sz="0" w:space="0" w:color="auto"/>
        <w:right w:val="none" w:sz="0" w:space="0" w:color="auto"/>
      </w:divBdr>
    </w:div>
    <w:div w:id="2142843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917</TotalTime>
  <Pages>4</Pages>
  <Words>1453</Words>
  <Characters>8284</Characters>
  <Application>Microsoft Office Word</Application>
  <DocSecurity>0</DocSecurity>
  <Lines>69</Lines>
  <Paragraphs>19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Krokoz™</Company>
  <LinksUpToDate>false</LinksUpToDate>
  <CharactersWithSpaces>9718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dc:creator>
  <cp:lastModifiedBy>Oleksandra Lemeshko</cp:lastModifiedBy>
  <cp:revision>31</cp:revision>
  <dcterms:created xsi:type="dcterms:W3CDTF">2016-11-02T09:38:00Z</dcterms:created>
  <dcterms:modified xsi:type="dcterms:W3CDTF">2020-12-14T17:34:00Z</dcterms:modified>
</cp:coreProperties>
</file>