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20B2" w14:textId="77777777" w:rsidR="006F4927" w:rsidRDefault="00485586" w:rsidP="002A00C3">
      <w:pPr>
        <w:pStyle w:val="Nadpis2"/>
        <w:spacing w:before="0" w:after="0"/>
        <w:jc w:val="both"/>
      </w:pPr>
      <w:r>
        <w:t xml:space="preserve">                  </w:t>
      </w:r>
    </w:p>
    <w:p w14:paraId="06BBC61D" w14:textId="77777777" w:rsidR="006F4927" w:rsidRDefault="006F4927" w:rsidP="006F4927">
      <w:pPr>
        <w:pStyle w:val="Nadpis2"/>
        <w:spacing w:before="0" w:after="0"/>
      </w:pPr>
      <w:r>
        <w:t xml:space="preserve">                    </w:t>
      </w:r>
    </w:p>
    <w:p w14:paraId="36F15CC3" w14:textId="386145B3" w:rsidR="004473B8" w:rsidRPr="004473B8" w:rsidRDefault="00485586" w:rsidP="006F4927">
      <w:pPr>
        <w:pStyle w:val="Nadpis2"/>
        <w:spacing w:before="0" w:after="0"/>
        <w:jc w:val="center"/>
      </w:pPr>
      <w:r>
        <w:t xml:space="preserve">PMO ESF – </w:t>
      </w:r>
      <w:r w:rsidR="00512749">
        <w:t>10</w:t>
      </w:r>
      <w:r>
        <w:t>. PŘEDNÁŠKA</w:t>
      </w:r>
    </w:p>
    <w:p w14:paraId="39213E10" w14:textId="5D6BBDD6" w:rsidR="00485586" w:rsidRDefault="00512749" w:rsidP="006F4927">
      <w:pPr>
        <w:pStyle w:val="Nadpis4"/>
        <w:jc w:val="center"/>
        <w:rPr>
          <w:sz w:val="28"/>
          <w:szCs w:val="28"/>
        </w:rPr>
      </w:pPr>
      <w:r>
        <w:rPr>
          <w:sz w:val="28"/>
          <w:szCs w:val="28"/>
        </w:rPr>
        <w:t>Další mezinárodně-obchodní transakce</w:t>
      </w:r>
    </w:p>
    <w:p w14:paraId="1F2F25F7" w14:textId="7D3EB3D4" w:rsidR="002B3170" w:rsidRDefault="002B3170" w:rsidP="002B3170">
      <w:pPr>
        <w:pStyle w:val="Nadpis4"/>
      </w:pPr>
      <w:r w:rsidRPr="002B3170">
        <w:t xml:space="preserve">Příklad </w:t>
      </w:r>
      <w:r w:rsidR="00512749">
        <w:t>1</w:t>
      </w:r>
    </w:p>
    <w:p w14:paraId="7BBCBBFB" w14:textId="0AC5C664" w:rsidR="003042BD" w:rsidRDefault="003042BD" w:rsidP="00512749">
      <w:pPr>
        <w:jc w:val="both"/>
      </w:pPr>
      <w:r>
        <w:t>Společnost</w:t>
      </w:r>
      <w:r>
        <w:t xml:space="preserve"> Burger King</w:t>
      </w:r>
      <w:r>
        <w:t xml:space="preserve"> je silnou mezinárodní společností, oblíbenou mezi zákazníky. Má unikátní prodejní koncept, neustále expanduje do zahraničí, včetně ČR, kde vytváří síť nezávislých partnerů, kteří od něj přebírají smluvně koncept prodeje,</w:t>
      </w:r>
      <w:r>
        <w:t xml:space="preserve"> obchodní značk</w:t>
      </w:r>
      <w:r>
        <w:t xml:space="preserve">u </w:t>
      </w:r>
      <w:r>
        <w:t>(jmén</w:t>
      </w:r>
      <w:r>
        <w:t>o</w:t>
      </w:r>
      <w:r>
        <w:t>)</w:t>
      </w:r>
      <w:r>
        <w:t xml:space="preserve">, lze </w:t>
      </w:r>
      <w:r>
        <w:t xml:space="preserve">využívat </w:t>
      </w:r>
      <w:proofErr w:type="spellStart"/>
      <w:r>
        <w:t>využívat</w:t>
      </w:r>
      <w:proofErr w:type="spellEnd"/>
      <w:r>
        <w:t xml:space="preserve"> soubor nástrojů zajišťujících vyškolení pracovníků, inzerci či reklamu. </w:t>
      </w:r>
      <w:r>
        <w:t>O jakou transakci se jedná?</w:t>
      </w:r>
    </w:p>
    <w:p w14:paraId="7CDE0D66" w14:textId="77777777" w:rsidR="006F4927" w:rsidRDefault="006F4927" w:rsidP="003042BD">
      <w:pPr>
        <w:pStyle w:val="Nadpis4"/>
      </w:pPr>
    </w:p>
    <w:p w14:paraId="2B1A7055" w14:textId="74F1D750" w:rsidR="003042BD" w:rsidRDefault="003042BD" w:rsidP="003042BD">
      <w:pPr>
        <w:pStyle w:val="Nadpis4"/>
      </w:pPr>
      <w:r w:rsidRPr="002B3170">
        <w:t xml:space="preserve">Příklad </w:t>
      </w:r>
      <w:r>
        <w:t>2</w:t>
      </w:r>
    </w:p>
    <w:p w14:paraId="786804D7" w14:textId="210C667A" w:rsidR="003042BD" w:rsidRPr="00E04065" w:rsidRDefault="003042BD" w:rsidP="003042BD">
      <w:pPr>
        <w:jc w:val="both"/>
      </w:pPr>
      <w:r w:rsidRPr="00E04065">
        <w:t xml:space="preserve">Francouzská společnost </w:t>
      </w:r>
      <w:proofErr w:type="spellStart"/>
      <w:r>
        <w:t>Le</w:t>
      </w:r>
      <w:proofErr w:type="spellEnd"/>
      <w:r>
        <w:t xml:space="preserve"> </w:t>
      </w:r>
      <w:proofErr w:type="spellStart"/>
      <w:r>
        <w:t>Vigneron</w:t>
      </w:r>
      <w:proofErr w:type="spellEnd"/>
      <w:r>
        <w:t xml:space="preserve">, SARL (sídlo a místo podnikání Dijon), </w:t>
      </w:r>
      <w:r w:rsidRPr="00E04065">
        <w:t>dodává lahvová vína j</w:t>
      </w:r>
      <w:r>
        <w:t>ak</w:t>
      </w:r>
      <w:r w:rsidRPr="00E04065">
        <w:t xml:space="preserve"> do ČR, </w:t>
      </w:r>
      <w:r>
        <w:t>tak</w:t>
      </w:r>
      <w:r w:rsidRPr="00E04065">
        <w:t xml:space="preserve"> i do dalších zemí střední Evropy. Jelikož chce získat konkurenční výhodu oproti jiným prodávajícím (dodavatelům), upravila platební podmínky ve všech smlouvách a prodloužila lhůty splatnosti na 3 měsíců od dodání zboží. Nicméně po čase francouzská společnost potřebovala volné finanční prostředky</w:t>
      </w:r>
      <w:r>
        <w:t xml:space="preserve"> (cash </w:t>
      </w:r>
      <w:proofErr w:type="spellStart"/>
      <w:r>
        <w:t>flow</w:t>
      </w:r>
      <w:proofErr w:type="spellEnd"/>
      <w:r>
        <w:t>)</w:t>
      </w:r>
      <w:r w:rsidRPr="00E04065">
        <w:t>, které z důvodu prodloužené lhůty splatnosti neměla. Uzavřela smlouvu s</w:t>
      </w:r>
      <w:r>
        <w:t xml:space="preserve"> jinou </w:t>
      </w:r>
      <w:proofErr w:type="spellStart"/>
      <w:r>
        <w:t>franou</w:t>
      </w:r>
      <w:r w:rsidRPr="00E04065">
        <w:t>společností</w:t>
      </w:r>
      <w:proofErr w:type="spellEnd"/>
      <w:r w:rsidRPr="00E04065">
        <w:t xml:space="preserve"> </w:t>
      </w:r>
      <w:proofErr w:type="spellStart"/>
      <w:r>
        <w:t>L´Affact</w:t>
      </w:r>
      <w:proofErr w:type="spellEnd"/>
      <w:r>
        <w:t>, SA</w:t>
      </w:r>
      <w:r w:rsidRPr="00E04065">
        <w:t xml:space="preserve"> (sídlo a místo podnikání </w:t>
      </w:r>
      <w:r>
        <w:t>Lyon),</w:t>
      </w:r>
      <w:r w:rsidRPr="00E04065">
        <w:t xml:space="preserve"> na základě které </w:t>
      </w:r>
      <w:r>
        <w:t xml:space="preserve">tato </w:t>
      </w:r>
      <w:r w:rsidRPr="00E04065">
        <w:t>společnost odkoupila téměř všechny pohledávky společnosti</w:t>
      </w:r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Vigneron</w:t>
      </w:r>
      <w:proofErr w:type="spellEnd"/>
      <w:r w:rsidRPr="00E04065">
        <w:t xml:space="preserve">. </w:t>
      </w:r>
      <w:r>
        <w:t>S</w:t>
      </w:r>
      <w:r w:rsidRPr="00E04065">
        <w:t>polečnost</w:t>
      </w:r>
      <w:r>
        <w:t xml:space="preserve"> </w:t>
      </w:r>
      <w:proofErr w:type="spellStart"/>
      <w:r>
        <w:t>L´Affect</w:t>
      </w:r>
      <w:proofErr w:type="spellEnd"/>
      <w:r w:rsidRPr="00E04065">
        <w:t xml:space="preserve"> vyplatila společnosti </w:t>
      </w:r>
      <w:proofErr w:type="spellStart"/>
      <w:r>
        <w:t>Le</w:t>
      </w:r>
      <w:proofErr w:type="spellEnd"/>
      <w:r>
        <w:t xml:space="preserve"> </w:t>
      </w:r>
      <w:proofErr w:type="spellStart"/>
      <w:r>
        <w:t>Vigneron</w:t>
      </w:r>
      <w:proofErr w:type="spellEnd"/>
      <w:r>
        <w:t xml:space="preserve"> </w:t>
      </w:r>
      <w:r w:rsidRPr="00E04065">
        <w:t>po postoupení čtyři pětiny výše pohledávek.  Uveď transakci, která výše uvedené umožňuje</w:t>
      </w:r>
      <w:r>
        <w:t>.</w:t>
      </w:r>
    </w:p>
    <w:p w14:paraId="50FF93EF" w14:textId="77777777" w:rsidR="006F4927" w:rsidRDefault="006F4927" w:rsidP="003042BD">
      <w:pPr>
        <w:pStyle w:val="Nadpis4"/>
      </w:pPr>
    </w:p>
    <w:p w14:paraId="45C3A5BC" w14:textId="6DB4ED46" w:rsidR="003042BD" w:rsidRDefault="003042BD" w:rsidP="003042BD">
      <w:pPr>
        <w:pStyle w:val="Nadpis4"/>
      </w:pPr>
      <w:r w:rsidRPr="002B3170">
        <w:t xml:space="preserve">Příklad </w:t>
      </w:r>
      <w:r>
        <w:t>3</w:t>
      </w:r>
    </w:p>
    <w:p w14:paraId="1D3FFAB7" w14:textId="3F19887F" w:rsidR="003042BD" w:rsidRPr="003042BD" w:rsidRDefault="003042BD" w:rsidP="003042BD">
      <w:pPr>
        <w:jc w:val="both"/>
      </w:pPr>
      <w:r w:rsidRPr="003042BD">
        <w:t xml:space="preserve">Společnost Dřevař, </w:t>
      </w:r>
      <w:proofErr w:type="spellStart"/>
      <w:r w:rsidRPr="003042BD">
        <w:t>s.r.o</w:t>
      </w:r>
      <w:proofErr w:type="spellEnd"/>
      <w:r w:rsidRPr="003042BD">
        <w:t xml:space="preserve"> (sídlo a místo podnikání Pohořelice, ČR) je společností, která se zabývá výrobou a zpracováním dřevěných hranolů a prken. Vzhledem ke stáří výrobních linek se rozhodla pořídit nové, nicméně nemá dostatek volných finančních prostředků. Jednatel společnosti se rozhodl pro formu leasingové transakce. Potřebuje linku, kterou vyrábí společnost </w:t>
      </w:r>
      <w:proofErr w:type="spellStart"/>
      <w:r w:rsidRPr="003042BD">
        <w:t>Holzfäller</w:t>
      </w:r>
      <w:proofErr w:type="spellEnd"/>
      <w:r w:rsidRPr="003042BD">
        <w:t xml:space="preserve">, </w:t>
      </w:r>
      <w:proofErr w:type="spellStart"/>
      <w:r w:rsidRPr="003042BD">
        <w:t>GmbH</w:t>
      </w:r>
      <w:proofErr w:type="spellEnd"/>
      <w:r w:rsidRPr="003042BD">
        <w:t xml:space="preserve"> (sídlo a místo podnikání </w:t>
      </w:r>
      <w:proofErr w:type="spellStart"/>
      <w:r w:rsidRPr="003042BD">
        <w:t>Hollabrunn</w:t>
      </w:r>
      <w:proofErr w:type="spellEnd"/>
      <w:r w:rsidRPr="003042BD">
        <w:t xml:space="preserve">, Rakousko). Leasingová společnost </w:t>
      </w:r>
      <w:proofErr w:type="spellStart"/>
      <w:r w:rsidRPr="003042BD">
        <w:t>Lease</w:t>
      </w:r>
      <w:proofErr w:type="spellEnd"/>
      <w:r w:rsidRPr="003042BD">
        <w:t xml:space="preserve">, </w:t>
      </w:r>
      <w:proofErr w:type="spellStart"/>
      <w:r w:rsidRPr="003042BD">
        <w:t>GmbH</w:t>
      </w:r>
      <w:proofErr w:type="spellEnd"/>
      <w:r w:rsidRPr="003042BD">
        <w:t xml:space="preserve"> (sídlo a místo podnikání </w:t>
      </w:r>
      <w:proofErr w:type="spellStart"/>
      <w:r w:rsidRPr="003042BD">
        <w:t>Krems</w:t>
      </w:r>
      <w:proofErr w:type="spellEnd"/>
      <w:r w:rsidRPr="003042BD">
        <w:t xml:space="preserve"> Rakousko) odkoupila linku od společnosti </w:t>
      </w:r>
      <w:proofErr w:type="spellStart"/>
      <w:r w:rsidRPr="003042BD">
        <w:t>Holzfäller</w:t>
      </w:r>
      <w:proofErr w:type="spellEnd"/>
      <w:r w:rsidRPr="003042BD">
        <w:t xml:space="preserve">. Současně tato leasingová společnost </w:t>
      </w:r>
      <w:proofErr w:type="spellStart"/>
      <w:r w:rsidRPr="003042BD">
        <w:t>Lease</w:t>
      </w:r>
      <w:proofErr w:type="spellEnd"/>
      <w:r w:rsidRPr="003042BD">
        <w:t xml:space="preserve"> uzavřela smlouvu s českou společností na dobu pěti let, během které česká společnost platila měsíční splátky ve výši 3 200 EUR. Podle smlouvy náklady na užívání a údržbu nese česká společnost a je předpoklad odkupu po skončení leasingové smlouvy, neboť splátkami se zaplatí pořizovací cena výrobní linky. Během trvání leasingové smlouvy není možné tuto smlouvu vypovědět. </w:t>
      </w:r>
      <w:r>
        <w:t>Jedná se o leasing přímý, nebo nepřímý? Jedná se o leasing operativní či finanční?</w:t>
      </w:r>
    </w:p>
    <w:p w14:paraId="2BB167E1" w14:textId="77777777" w:rsidR="006F4927" w:rsidRDefault="006F4927" w:rsidP="003042BD">
      <w:pPr>
        <w:pStyle w:val="Nadpis4"/>
      </w:pPr>
    </w:p>
    <w:p w14:paraId="0D2812ED" w14:textId="77DB1B40" w:rsidR="003042BD" w:rsidRDefault="003042BD" w:rsidP="003042BD">
      <w:pPr>
        <w:pStyle w:val="Nadpis4"/>
      </w:pPr>
      <w:r w:rsidRPr="002B3170">
        <w:t xml:space="preserve">Příklad </w:t>
      </w:r>
      <w:r>
        <w:t>4</w:t>
      </w:r>
    </w:p>
    <w:p w14:paraId="24F70F75" w14:textId="12354545" w:rsidR="003042BD" w:rsidRPr="002A00C3" w:rsidRDefault="003042BD" w:rsidP="003042BD">
      <w:pPr>
        <w:jc w:val="both"/>
      </w:pPr>
      <w:r w:rsidRPr="002A00C3">
        <w:t xml:space="preserve">Rakouská společnost </w:t>
      </w:r>
      <w:proofErr w:type="spellStart"/>
      <w:r w:rsidRPr="002A00C3">
        <w:t>Auf</w:t>
      </w:r>
      <w:proofErr w:type="spellEnd"/>
      <w:r w:rsidRPr="002A00C3">
        <w:t xml:space="preserve">, </w:t>
      </w:r>
      <w:proofErr w:type="spellStart"/>
      <w:r w:rsidRPr="002A00C3">
        <w:t>GmbH</w:t>
      </w:r>
      <w:proofErr w:type="spellEnd"/>
      <w:r w:rsidRPr="002A00C3">
        <w:t xml:space="preserve"> (sídlo a místo podnikání Horn) uzavřela smlouvu o dodání investičního celku (stavba výrobní haly s technologickými linkami) se společností </w:t>
      </w:r>
      <w:proofErr w:type="spellStart"/>
      <w:r w:rsidRPr="002A00C3">
        <w:t>Tasman</w:t>
      </w:r>
      <w:proofErr w:type="spellEnd"/>
      <w:r w:rsidRPr="002A00C3">
        <w:t xml:space="preserve">, </w:t>
      </w:r>
      <w:proofErr w:type="spellStart"/>
      <w:r w:rsidRPr="002A00C3">
        <w:t>s.r.o</w:t>
      </w:r>
      <w:proofErr w:type="spellEnd"/>
      <w:r w:rsidRPr="002A00C3">
        <w:t xml:space="preserve"> (sídlo a místo podnikání Znojmo, ČR). Splatnost ceny je odložena na dobu </w:t>
      </w:r>
      <w:r w:rsidR="002A00C3" w:rsidRPr="002A00C3">
        <w:t>tří let</w:t>
      </w:r>
      <w:r w:rsidRPr="002A00C3">
        <w:t>. Rakouský dodavatel nicméně potřebuje peníze ihned. Z tohoto důvodu se obrátil na jinou rakouskou společnost, která zajištěnou pohledávku za odběratelem odkoupila a převzala na sebe všechna rizika spojená s nedobytností pohledávky.</w:t>
      </w:r>
    </w:p>
    <w:p w14:paraId="2B43DF16" w14:textId="20C50744" w:rsidR="002A00C3" w:rsidRDefault="002A00C3" w:rsidP="002A00C3">
      <w:pPr>
        <w:pStyle w:val="Nadpis4"/>
      </w:pPr>
      <w:r w:rsidRPr="002B3170">
        <w:lastRenderedPageBreak/>
        <w:t xml:space="preserve">Příklad </w:t>
      </w:r>
      <w:r>
        <w:t>5</w:t>
      </w:r>
    </w:p>
    <w:p w14:paraId="4375E75F" w14:textId="3317D7C4" w:rsidR="002A00C3" w:rsidRDefault="002A00C3" w:rsidP="002A00C3">
      <w:pPr>
        <w:jc w:val="both"/>
        <w:rPr>
          <w:rFonts w:eastAsia="Times New Roman"/>
          <w:lang w:eastAsia="cs-CZ"/>
        </w:rPr>
      </w:pPr>
      <w:r w:rsidRPr="00E04065">
        <w:rPr>
          <w:rFonts w:eastAsia="Times New Roman"/>
          <w:lang w:eastAsia="cs-CZ"/>
        </w:rPr>
        <w:t xml:space="preserve">Společnost </w:t>
      </w:r>
      <w:proofErr w:type="spellStart"/>
      <w:r w:rsidRPr="00E04065">
        <w:rPr>
          <w:rFonts w:eastAsia="Times New Roman"/>
          <w:lang w:eastAsia="cs-CZ"/>
        </w:rPr>
        <w:t>Czechia</w:t>
      </w:r>
      <w:proofErr w:type="spellEnd"/>
      <w:r w:rsidRPr="00E04065">
        <w:rPr>
          <w:rFonts w:eastAsia="Times New Roman"/>
          <w:lang w:eastAsia="cs-CZ"/>
        </w:rPr>
        <w:t xml:space="preserve">, s.r.o., sídlo a místo podnikání v Brně, se zabývá výrobou jízdních kol. Za účelem své jednorázové prodejní akce hledá obchodního partnera, jenž by jí dodal cyklistické oblečení. Na jeho dodání uzavřela (v listopadu 2020) smlouvu se společností </w:t>
      </w:r>
      <w:proofErr w:type="spellStart"/>
      <w:r w:rsidRPr="00E04065">
        <w:rPr>
          <w:rFonts w:eastAsia="Times New Roman"/>
          <w:lang w:eastAsia="cs-CZ"/>
        </w:rPr>
        <w:t>España</w:t>
      </w:r>
      <w:proofErr w:type="spellEnd"/>
      <w:r w:rsidRPr="00E04065">
        <w:rPr>
          <w:rFonts w:eastAsia="Times New Roman"/>
          <w:lang w:eastAsia="cs-CZ"/>
        </w:rPr>
        <w:t xml:space="preserve">, S.L., sídlo a místo podnikání v Madridu, která souhlasila s tím, že jako protihodnotu za dodané oblečení přijme od české společnosti dohodnutý počet vyrobených jízdních kol. Poměr dodávek je smluvně upraven tak, že jejich hodnota je v zásadě rovna. Smlouva byla uzavřena v angličtině, k předání plnění došlo souběžně (v květnu 2021) v místě skladu společnosti </w:t>
      </w:r>
      <w:proofErr w:type="spellStart"/>
      <w:r w:rsidRPr="00E04065">
        <w:rPr>
          <w:rFonts w:eastAsia="Times New Roman"/>
          <w:lang w:eastAsia="cs-CZ"/>
        </w:rPr>
        <w:t>Czechia</w:t>
      </w:r>
      <w:proofErr w:type="spellEnd"/>
      <w:r w:rsidRPr="00E04065">
        <w:rPr>
          <w:rFonts w:eastAsia="Times New Roman"/>
          <w:lang w:eastAsia="cs-CZ"/>
        </w:rPr>
        <w:t xml:space="preserve"> v Brně.</w:t>
      </w:r>
      <w:r>
        <w:rPr>
          <w:rFonts w:eastAsia="Times New Roman"/>
          <w:lang w:eastAsia="cs-CZ"/>
        </w:rPr>
        <w:t xml:space="preserve"> O jakou transakci se jedná?</w:t>
      </w:r>
    </w:p>
    <w:p w14:paraId="72B6DE88" w14:textId="77777777" w:rsidR="006F4927" w:rsidRDefault="006F4927" w:rsidP="002A00C3">
      <w:pPr>
        <w:pStyle w:val="Nadpis4"/>
      </w:pPr>
    </w:p>
    <w:p w14:paraId="20AAF5A0" w14:textId="1B85AFD2" w:rsidR="002A00C3" w:rsidRDefault="002A00C3" w:rsidP="002A00C3">
      <w:pPr>
        <w:pStyle w:val="Nadpis4"/>
      </w:pPr>
      <w:r w:rsidRPr="002B3170">
        <w:t xml:space="preserve">Příklad </w:t>
      </w:r>
      <w:r>
        <w:t>6</w:t>
      </w:r>
    </w:p>
    <w:p w14:paraId="2F5518B9" w14:textId="4887857E" w:rsidR="00703AC7" w:rsidRDefault="002A00C3" w:rsidP="002A00C3">
      <w:pPr>
        <w:jc w:val="both"/>
        <w:rPr>
          <w:rFonts w:eastAsia="Times New Roman"/>
          <w:lang w:eastAsia="cs-CZ"/>
        </w:rPr>
      </w:pPr>
      <w:r w:rsidRPr="00E04065">
        <w:rPr>
          <w:rFonts w:eastAsia="Times New Roman"/>
          <w:lang w:eastAsia="cs-CZ"/>
        </w:rPr>
        <w:t>K přepravě zboží je podle smlouvy využívána námořní přeprava. Uveď, jaký typický dokument pro přepravu zboží je využíván v oblasti námořní přepravy, charakterizuj jej a vymez jeho funkce. Současně uveď, jaká je právní regulace námořní přepravy z pohledu českého soudu.</w:t>
      </w:r>
    </w:p>
    <w:p w14:paraId="3FBB50D2" w14:textId="77777777" w:rsidR="006F4927" w:rsidRDefault="006F4927" w:rsidP="006F4927">
      <w:pPr>
        <w:pStyle w:val="Nadpis4"/>
      </w:pPr>
    </w:p>
    <w:p w14:paraId="666A502E" w14:textId="10185B17" w:rsidR="006F4927" w:rsidRDefault="006F4927" w:rsidP="006F4927">
      <w:pPr>
        <w:pStyle w:val="Nadpis4"/>
      </w:pPr>
      <w:r w:rsidRPr="002B3170">
        <w:t xml:space="preserve">Příklad </w:t>
      </w:r>
      <w:r>
        <w:t>7</w:t>
      </w:r>
    </w:p>
    <w:p w14:paraId="116B29D2" w14:textId="16F4AC60" w:rsidR="006F4927" w:rsidRPr="006F4927" w:rsidRDefault="006F4927" w:rsidP="006F4927">
      <w:pPr>
        <w:rPr>
          <w:i/>
          <w:iCs/>
          <w:sz w:val="24"/>
          <w:szCs w:val="24"/>
        </w:rPr>
      </w:pPr>
      <w:r>
        <w:t>Jaká transakce je zobrazena na obrázku? (Zdroj obrázku: Rulfová, S. Bakalářská práce, 2018, s. 18)</w:t>
      </w:r>
    </w:p>
    <w:p w14:paraId="12190F3D" w14:textId="77777777" w:rsidR="006F4927" w:rsidRDefault="006F4927" w:rsidP="002A00C3">
      <w:pPr>
        <w:jc w:val="both"/>
        <w:rPr>
          <w:rFonts w:eastAsia="Times New Roman"/>
          <w:lang w:eastAsia="cs-CZ"/>
        </w:rPr>
      </w:pPr>
    </w:p>
    <w:p w14:paraId="7DC93431" w14:textId="6624668C" w:rsidR="006F4927" w:rsidRDefault="006F4927" w:rsidP="006F4927">
      <w:pPr>
        <w:jc w:val="center"/>
        <w:rPr>
          <w:rFonts w:eastAsia="Times New Roman"/>
          <w:lang w:eastAsia="cs-CZ"/>
        </w:rPr>
      </w:pPr>
      <w:r>
        <w:rPr>
          <w:noProof/>
        </w:rPr>
        <w:drawing>
          <wp:inline distT="0" distB="0" distL="0" distR="0" wp14:anchorId="7A377BE1" wp14:editId="70CA33CE">
            <wp:extent cx="2667000" cy="171450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EE8B3" w14:textId="28B1CB5C" w:rsidR="0043020D" w:rsidRDefault="0043020D" w:rsidP="006F4927">
      <w:pPr>
        <w:jc w:val="center"/>
        <w:rPr>
          <w:rFonts w:eastAsia="Times New Roman"/>
          <w:lang w:eastAsia="cs-CZ"/>
        </w:rPr>
      </w:pPr>
    </w:p>
    <w:p w14:paraId="40C8E39B" w14:textId="00967C5C" w:rsidR="0043020D" w:rsidRDefault="0043020D" w:rsidP="0043020D">
      <w:pPr>
        <w:pStyle w:val="Nadpis4"/>
      </w:pPr>
      <w:r w:rsidRPr="002B3170">
        <w:t xml:space="preserve">Příklad </w:t>
      </w:r>
      <w:r>
        <w:t>8</w:t>
      </w:r>
    </w:p>
    <w:p w14:paraId="282D8E38" w14:textId="2C822AF5" w:rsidR="0043020D" w:rsidRPr="0043020D" w:rsidRDefault="0043020D" w:rsidP="0043020D">
      <w:pPr>
        <w:jc w:val="both"/>
      </w:pPr>
      <w:r>
        <w:t xml:space="preserve">Společnost A (sídlo a místo podnikání ČR) si chce být jista, zda zboží, které ji dodává společnost B (sídlo a místo podnikání Mexiko) dodá zboží do vad do přístavu Rotterdam (Nizozemí), ve kterém je místo dodání a riziko přechodu nebezpečí poté, co je zboží vyloděno v přesně specifikovaném terminálu v uvedeném přístavu. Uzavřela proto smlouvu se společností XY (sídlo a místo podnikání Nizozemí). Předmětem smlouvy je prohlídka zboží z hlediska kvality, kvantity, zabalení a stavu zboží po námořní přepravě. Společnost XY prohlédne zboží s vynaložením veškeré odborné péče a vyhotoví o tom dokumentem s popisem vlastnosti zboží. Společnost A zajistí v přístavu přístup ke zboží a zaplatí společnost XY ujednanou částku. O jakou transakci se jedná? </w:t>
      </w:r>
    </w:p>
    <w:p w14:paraId="47D341F7" w14:textId="77777777" w:rsidR="0043020D" w:rsidRPr="002A00C3" w:rsidRDefault="0043020D" w:rsidP="0043020D">
      <w:pPr>
        <w:rPr>
          <w:rFonts w:eastAsia="Times New Roman"/>
          <w:lang w:eastAsia="cs-CZ"/>
        </w:rPr>
      </w:pPr>
    </w:p>
    <w:sectPr w:rsidR="0043020D" w:rsidRPr="002A00C3" w:rsidSect="006F4927">
      <w:footerReference w:type="default" r:id="rId12"/>
      <w:headerReference w:type="first" r:id="rId13"/>
      <w:footerReference w:type="first" r:id="rId14"/>
      <w:pgSz w:w="11906" w:h="16838"/>
      <w:pgMar w:top="1560" w:right="1361" w:bottom="170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50A5" w14:textId="77777777" w:rsidR="007062DD" w:rsidRDefault="007062DD" w:rsidP="0036679C">
      <w:r>
        <w:separator/>
      </w:r>
    </w:p>
    <w:p w14:paraId="37497ADF" w14:textId="77777777" w:rsidR="007062DD" w:rsidRDefault="007062DD"/>
  </w:endnote>
  <w:endnote w:type="continuationSeparator" w:id="0">
    <w:p w14:paraId="049AF49B" w14:textId="77777777" w:rsidR="007062DD" w:rsidRDefault="007062DD" w:rsidP="0036679C">
      <w:r>
        <w:continuationSeparator/>
      </w:r>
    </w:p>
    <w:p w14:paraId="47A69FCC" w14:textId="77777777" w:rsidR="007062DD" w:rsidRDefault="007062DD"/>
  </w:endnote>
  <w:endnote w:type="continuationNotice" w:id="1">
    <w:p w14:paraId="50A4C23E" w14:textId="77777777" w:rsidR="007062DD" w:rsidRDefault="007062DD" w:rsidP="0036679C"/>
    <w:p w14:paraId="5BBCB271" w14:textId="77777777" w:rsidR="007062DD" w:rsidRDefault="00706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02B2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41FA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6592" w14:textId="77777777" w:rsidR="007062DD" w:rsidRPr="00A510E1" w:rsidRDefault="007062DD" w:rsidP="0036679C">
      <w:r w:rsidRPr="00A510E1">
        <w:separator/>
      </w:r>
    </w:p>
  </w:footnote>
  <w:footnote w:type="continuationSeparator" w:id="0">
    <w:p w14:paraId="184BE608" w14:textId="77777777" w:rsidR="007062DD" w:rsidRDefault="007062DD" w:rsidP="0036679C">
      <w:r>
        <w:continuationSeparator/>
      </w:r>
    </w:p>
    <w:p w14:paraId="32C48E15" w14:textId="77777777" w:rsidR="007062DD" w:rsidRDefault="007062DD"/>
  </w:footnote>
  <w:footnote w:type="continuationNotice" w:id="1">
    <w:p w14:paraId="3B762851" w14:textId="77777777" w:rsidR="007062DD" w:rsidRDefault="007062DD" w:rsidP="0036679C"/>
    <w:p w14:paraId="3EF58710" w14:textId="77777777" w:rsidR="007062DD" w:rsidRDefault="007062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CE6D" w14:textId="77777777" w:rsidR="00D03DE5" w:rsidRDefault="001B28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C90537" wp14:editId="5AD9DFC0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927100" cy="640080"/>
          <wp:effectExtent l="0" t="0" r="6350" b="7620"/>
          <wp:wrapThrough wrapText="bothSides">
            <wp:wrapPolygon edited="0">
              <wp:start x="0" y="0"/>
              <wp:lineTo x="0" y="21214"/>
              <wp:lineTo x="15978" y="21214"/>
              <wp:lineTo x="17310" y="14143"/>
              <wp:lineTo x="15978" y="11571"/>
              <wp:lineTo x="19085" y="10286"/>
              <wp:lineTo x="21304" y="8357"/>
              <wp:lineTo x="21304" y="0"/>
              <wp:lineTo x="0" y="0"/>
            </wp:wrapPolygon>
          </wp:wrapThrough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0EC13124"/>
    <w:multiLevelType w:val="hybridMultilevel"/>
    <w:tmpl w:val="F934FB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0DD1"/>
    <w:multiLevelType w:val="hybridMultilevel"/>
    <w:tmpl w:val="883AA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26FB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C96E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E327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6E1F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AAD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6A98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2C62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26AC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D70481"/>
    <w:multiLevelType w:val="hybridMultilevel"/>
    <w:tmpl w:val="FD4602EC"/>
    <w:lvl w:ilvl="0" w:tplc="8954DE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FF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C815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5697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2EC5D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9E3C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9EA6F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321F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706E3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E61D3"/>
    <w:multiLevelType w:val="hybridMultilevel"/>
    <w:tmpl w:val="77FC60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F53F7"/>
    <w:multiLevelType w:val="hybridMultilevel"/>
    <w:tmpl w:val="C742C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7A2D"/>
    <w:multiLevelType w:val="hybridMultilevel"/>
    <w:tmpl w:val="D0A61BBE"/>
    <w:lvl w:ilvl="0" w:tplc="9ADC9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2D1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A06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0C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AF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21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080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AA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200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15B20"/>
    <w:multiLevelType w:val="hybridMultilevel"/>
    <w:tmpl w:val="24040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4842"/>
    <w:multiLevelType w:val="hybridMultilevel"/>
    <w:tmpl w:val="05E6A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C6188"/>
    <w:multiLevelType w:val="hybridMultilevel"/>
    <w:tmpl w:val="B59255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67309"/>
    <w:multiLevelType w:val="hybridMultilevel"/>
    <w:tmpl w:val="C706C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F6E62"/>
    <w:multiLevelType w:val="hybridMultilevel"/>
    <w:tmpl w:val="CFA6B41E"/>
    <w:lvl w:ilvl="0" w:tplc="99FE5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002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8CC9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BCD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21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EE0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4B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EA5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E606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3" w15:restartNumberingAfterBreak="0">
    <w:nsid w:val="4EC116CE"/>
    <w:multiLevelType w:val="hybridMultilevel"/>
    <w:tmpl w:val="08F64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169B0"/>
    <w:multiLevelType w:val="hybridMultilevel"/>
    <w:tmpl w:val="88D25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A6E9A"/>
    <w:multiLevelType w:val="hybridMultilevel"/>
    <w:tmpl w:val="C352A5A4"/>
    <w:lvl w:ilvl="0" w:tplc="380EE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090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6C4F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6DE5A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86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30E5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4E1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8521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0F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1C51A7"/>
    <w:multiLevelType w:val="hybridMultilevel"/>
    <w:tmpl w:val="8E9A2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5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4"/>
  </w:num>
  <w:num w:numId="11">
    <w:abstractNumId w:val="16"/>
  </w:num>
  <w:num w:numId="12">
    <w:abstractNumId w:val="10"/>
  </w:num>
  <w:num w:numId="13">
    <w:abstractNumId w:val="13"/>
  </w:num>
  <w:num w:numId="14">
    <w:abstractNumId w:val="1"/>
  </w:num>
  <w:num w:numId="15">
    <w:abstractNumId w:val="4"/>
  </w:num>
  <w:num w:numId="16">
    <w:abstractNumId w:val="7"/>
  </w:num>
  <w:num w:numId="17">
    <w:abstractNumId w:val="6"/>
  </w:num>
  <w:num w:numId="1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8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29DF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50EB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0C3"/>
    <w:rsid w:val="002A0F1D"/>
    <w:rsid w:val="002A227A"/>
    <w:rsid w:val="002A3716"/>
    <w:rsid w:val="002A49B1"/>
    <w:rsid w:val="002B0D54"/>
    <w:rsid w:val="002B1C84"/>
    <w:rsid w:val="002B3170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2BD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4BD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7612"/>
    <w:rsid w:val="004222AD"/>
    <w:rsid w:val="00423B3B"/>
    <w:rsid w:val="00424873"/>
    <w:rsid w:val="00427364"/>
    <w:rsid w:val="00427BCF"/>
    <w:rsid w:val="00427C0F"/>
    <w:rsid w:val="0043020D"/>
    <w:rsid w:val="0043095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473B8"/>
    <w:rsid w:val="004550F3"/>
    <w:rsid w:val="004555E8"/>
    <w:rsid w:val="00455F1A"/>
    <w:rsid w:val="00457CF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5586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183A"/>
    <w:rsid w:val="004A3E18"/>
    <w:rsid w:val="004A50D6"/>
    <w:rsid w:val="004A60A7"/>
    <w:rsid w:val="004B3B68"/>
    <w:rsid w:val="004B4558"/>
    <w:rsid w:val="004B49D2"/>
    <w:rsid w:val="004B6F72"/>
    <w:rsid w:val="004B7370"/>
    <w:rsid w:val="004B7C7A"/>
    <w:rsid w:val="004B7F4A"/>
    <w:rsid w:val="004C4067"/>
    <w:rsid w:val="004C40FB"/>
    <w:rsid w:val="004C48DB"/>
    <w:rsid w:val="004C5D5D"/>
    <w:rsid w:val="004C7A85"/>
    <w:rsid w:val="004D28CA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49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87E90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B7F29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42F1"/>
    <w:rsid w:val="006F4927"/>
    <w:rsid w:val="006F5638"/>
    <w:rsid w:val="006F617C"/>
    <w:rsid w:val="006F76BF"/>
    <w:rsid w:val="00701042"/>
    <w:rsid w:val="00701B60"/>
    <w:rsid w:val="00701D93"/>
    <w:rsid w:val="00703AC7"/>
    <w:rsid w:val="00703C97"/>
    <w:rsid w:val="00705BA1"/>
    <w:rsid w:val="007062DD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547D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33AC"/>
    <w:rsid w:val="007F48D7"/>
    <w:rsid w:val="007F50AD"/>
    <w:rsid w:val="007F56D8"/>
    <w:rsid w:val="007F6F3A"/>
    <w:rsid w:val="00800A0A"/>
    <w:rsid w:val="00801EA4"/>
    <w:rsid w:val="008020A3"/>
    <w:rsid w:val="008042A5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0C2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AA7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06E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7DD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1569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6DE1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491F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487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2B3D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4777"/>
    <w:rsid w:val="00C05952"/>
    <w:rsid w:val="00C059E9"/>
    <w:rsid w:val="00C05C0D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CF77D1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065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1E5E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A90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3556FD"/>
  <w15:docId w15:val="{85D93BBB-AC5C-4639-8E6F-83197EF7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3B8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</w:pPr>
    <w:rPr>
      <w:bCs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</w:pPr>
    <w:rPr>
      <w:rFonts w:cs="Arial"/>
      <w:b/>
      <w:color w:val="0000DC"/>
      <w:sz w:val="16"/>
      <w:szCs w:val="16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</w:pPr>
    <w:rPr>
      <w:rFonts w:eastAsiaTheme="minorEastAsia"/>
      <w:color w:val="000000" w:themeColor="text1"/>
      <w:spacing w:val="15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38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7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461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6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9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834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681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23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52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4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4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22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7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law_hlavickovy_papir_cz_barv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5A6BE-3946-4F37-889F-88DBCBDCB9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law_hlavickovy_papir_cz_barva (1)</Template>
  <TotalTime>54</TotalTime>
  <Pages>2</Pages>
  <Words>683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Radovan Malachta</cp:lastModifiedBy>
  <cp:revision>24</cp:revision>
  <cp:lastPrinted>2020-01-04T17:54:00Z</cp:lastPrinted>
  <dcterms:created xsi:type="dcterms:W3CDTF">2020-10-01T21:52:00Z</dcterms:created>
  <dcterms:modified xsi:type="dcterms:W3CDTF">2023-11-29T08:26:00Z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