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15D4" w14:textId="1B8B473A" w:rsidR="00C354D0" w:rsidRPr="006F667C" w:rsidRDefault="00C354D0" w:rsidP="00A10C71">
      <w:pPr>
        <w:spacing w:after="100" w:line="276" w:lineRule="auto"/>
        <w:jc w:val="center"/>
        <w:rPr>
          <w:rFonts w:asciiTheme="majorHAnsi" w:hAnsiTheme="majorHAnsi" w:cstheme="majorHAnsi"/>
          <w:b/>
          <w:bCs/>
          <w:sz w:val="22"/>
          <w:szCs w:val="22"/>
          <w:lang w:val="en-GB"/>
        </w:rPr>
      </w:pPr>
      <w:r w:rsidRPr="006F667C">
        <w:rPr>
          <w:rFonts w:asciiTheme="majorHAnsi" w:hAnsiTheme="majorHAnsi" w:cstheme="majorHAnsi"/>
          <w:b/>
          <w:bCs/>
          <w:sz w:val="22"/>
          <w:szCs w:val="22"/>
          <w:lang w:val="en-GB"/>
        </w:rPr>
        <w:t>Example 1: Annotated bibliography assignment</w:t>
      </w:r>
    </w:p>
    <w:p w14:paraId="43A09DF2" w14:textId="35279FEE" w:rsidR="00AA3FB2" w:rsidRPr="00AA3FB2" w:rsidRDefault="00AA3FB2" w:rsidP="00A10C71">
      <w:pPr>
        <w:spacing w:after="100" w:line="276" w:lineRule="auto"/>
        <w:rPr>
          <w:rFonts w:asciiTheme="majorHAnsi" w:hAnsiTheme="majorHAnsi" w:cstheme="majorHAnsi"/>
          <w:sz w:val="22"/>
          <w:szCs w:val="22"/>
          <w:lang w:val="nl-NL"/>
        </w:rPr>
      </w:pPr>
      <w:proofErr w:type="spellStart"/>
      <w:r w:rsidRPr="00AA3FB2">
        <w:rPr>
          <w:rFonts w:asciiTheme="majorHAnsi" w:hAnsiTheme="majorHAnsi" w:cstheme="majorHAnsi"/>
          <w:sz w:val="22"/>
          <w:szCs w:val="22"/>
          <w:lang w:val="en-GB"/>
        </w:rPr>
        <w:t>Mbanyele</w:t>
      </w:r>
      <w:proofErr w:type="spellEnd"/>
      <w:r w:rsidRPr="00AA3FB2">
        <w:rPr>
          <w:rFonts w:asciiTheme="majorHAnsi" w:hAnsiTheme="majorHAnsi" w:cstheme="majorHAnsi"/>
          <w:sz w:val="22"/>
          <w:szCs w:val="22"/>
          <w:lang w:val="en-GB"/>
        </w:rPr>
        <w:t xml:space="preserve">, W., Huang, H., Li, Y., Muchenje, L. T., &amp; Wang, F. (2022). Corporate social responsibility and green innovation: Evidence from mandatory CSR disclosure laws. </w:t>
      </w:r>
      <w:r w:rsidRPr="00AA3FB2">
        <w:rPr>
          <w:rFonts w:asciiTheme="majorHAnsi" w:hAnsiTheme="majorHAnsi" w:cstheme="majorHAnsi"/>
          <w:i/>
          <w:iCs/>
          <w:sz w:val="22"/>
          <w:szCs w:val="22"/>
          <w:lang w:val="nl-NL"/>
        </w:rPr>
        <w:t>Economics Letters</w:t>
      </w:r>
      <w:r w:rsidRPr="00AA3FB2">
        <w:rPr>
          <w:rFonts w:asciiTheme="majorHAnsi" w:hAnsiTheme="majorHAnsi" w:cstheme="majorHAnsi"/>
          <w:sz w:val="22"/>
          <w:szCs w:val="22"/>
          <w:lang w:val="nl-NL"/>
        </w:rPr>
        <w:t xml:space="preserve">, 212, 110322. </w:t>
      </w:r>
    </w:p>
    <w:p w14:paraId="2407CD2F" w14:textId="0F17907C" w:rsidR="006F667C" w:rsidRDefault="006F667C" w:rsidP="00A10C71">
      <w:pPr>
        <w:spacing w:after="100" w:line="276" w:lineRule="auto"/>
        <w:rPr>
          <w:rFonts w:asciiTheme="majorHAnsi" w:hAnsiTheme="majorHAnsi" w:cstheme="majorHAnsi"/>
          <w:sz w:val="22"/>
          <w:szCs w:val="22"/>
          <w:lang w:val="en-GB"/>
        </w:rPr>
      </w:pPr>
      <w:r w:rsidRPr="00AA3FB2">
        <w:rPr>
          <w:rFonts w:asciiTheme="majorHAnsi" w:hAnsiTheme="majorHAnsi" w:cstheme="majorHAnsi"/>
          <w:sz w:val="22"/>
          <w:szCs w:val="22"/>
          <w:lang w:val="nl-NL"/>
        </w:rPr>
        <w:t xml:space="preserve">Mbanyele et al. </w:t>
      </w:r>
      <w:r w:rsidRPr="000106B5">
        <w:rPr>
          <w:rFonts w:asciiTheme="majorHAnsi" w:hAnsiTheme="majorHAnsi" w:cstheme="majorHAnsi"/>
          <w:sz w:val="22"/>
          <w:szCs w:val="22"/>
          <w:lang w:val="en-GB"/>
        </w:rPr>
        <w:t>(2022) examine the impact of Corporate Social Responsibility (CSR) performance on green innovation using CSR disclosure laws from different countries. Overall, the results of the study demonstrate that corporate engagement in CSR activities increases social welfare through the production of sustainable technologies. Furthermore, the results show that the impact of CSR disclosure laws is more significant for companies with weaker corporate governance and for companies that had lower CSR disclosure standards prior to CSR disclosure laws. A strength of this study is that it circumvents problems in measuring CSR activities by using laws on mandatory CSR reporting in different countries. The study is valuable because it provides consistent evidence that the quality and quantity of green patents by companies are increasing in countries that have enforced mandatory CSR disclosure laws. Moreover, the study provides evidence of the positive side of regulatory change, which is important for future research.</w:t>
      </w:r>
    </w:p>
    <w:p w14:paraId="58B5AA8C" w14:textId="77777777" w:rsidR="00A10C71" w:rsidRDefault="00A10C71" w:rsidP="00A10C71">
      <w:pPr>
        <w:spacing w:after="100" w:line="276" w:lineRule="auto"/>
        <w:rPr>
          <w:rFonts w:asciiTheme="majorHAnsi" w:hAnsiTheme="majorHAnsi" w:cstheme="majorHAnsi"/>
          <w:sz w:val="22"/>
          <w:szCs w:val="22"/>
          <w:lang w:val="en-GB"/>
        </w:rPr>
      </w:pPr>
    </w:p>
    <w:p w14:paraId="1A771FEA" w14:textId="2F57DC92" w:rsidR="00A10C71" w:rsidRPr="00A10C71" w:rsidRDefault="00A10C71" w:rsidP="00A10C71">
      <w:pPr>
        <w:spacing w:after="100" w:line="276" w:lineRule="auto"/>
        <w:rPr>
          <w:rFonts w:asciiTheme="majorHAnsi" w:hAnsiTheme="majorHAnsi" w:cstheme="majorHAnsi"/>
          <w:sz w:val="22"/>
          <w:szCs w:val="22"/>
          <w:lang w:val="en-GB"/>
        </w:rPr>
      </w:pPr>
      <w:proofErr w:type="spellStart"/>
      <w:r w:rsidRPr="00A10C71">
        <w:rPr>
          <w:rFonts w:asciiTheme="majorHAnsi" w:hAnsiTheme="majorHAnsi" w:cstheme="majorHAnsi"/>
          <w:sz w:val="22"/>
          <w:szCs w:val="22"/>
          <w:lang w:val="en-GB"/>
        </w:rPr>
        <w:t>Seethamraju</w:t>
      </w:r>
      <w:proofErr w:type="spellEnd"/>
      <w:r w:rsidRPr="00A10C71">
        <w:rPr>
          <w:rFonts w:asciiTheme="majorHAnsi" w:hAnsiTheme="majorHAnsi" w:cstheme="majorHAnsi"/>
          <w:sz w:val="22"/>
          <w:szCs w:val="22"/>
          <w:lang w:val="en-GB"/>
        </w:rPr>
        <w:t xml:space="preserve">, R., &amp; Hesiodic, A. (2023). Adoption of artificial intelligence in auditing: An exploratory study. Australian Journal of Management, 48(4), 780-800. </w:t>
      </w:r>
    </w:p>
    <w:p w14:paraId="671019C4" w14:textId="77777777" w:rsidR="00A10C71" w:rsidRPr="00A10C71" w:rsidRDefault="00A10C71" w:rsidP="00A10C71">
      <w:pPr>
        <w:spacing w:after="100" w:line="276" w:lineRule="auto"/>
        <w:rPr>
          <w:rFonts w:asciiTheme="majorHAnsi" w:hAnsiTheme="majorHAnsi" w:cstheme="majorHAnsi"/>
          <w:sz w:val="22"/>
          <w:szCs w:val="22"/>
          <w:lang w:val="en-GB"/>
        </w:rPr>
      </w:pPr>
      <w:proofErr w:type="spellStart"/>
      <w:r w:rsidRPr="00A10C71">
        <w:rPr>
          <w:rFonts w:asciiTheme="majorHAnsi" w:hAnsiTheme="majorHAnsi" w:cstheme="majorHAnsi"/>
          <w:sz w:val="22"/>
          <w:szCs w:val="22"/>
          <w:lang w:val="en-GB"/>
        </w:rPr>
        <w:t>Seethamraju</w:t>
      </w:r>
      <w:proofErr w:type="spellEnd"/>
      <w:r w:rsidRPr="00A10C71">
        <w:rPr>
          <w:rFonts w:asciiTheme="majorHAnsi" w:hAnsiTheme="majorHAnsi" w:cstheme="majorHAnsi"/>
          <w:sz w:val="22"/>
          <w:szCs w:val="22"/>
          <w:lang w:val="en-GB"/>
        </w:rPr>
        <w:t xml:space="preserve"> and </w:t>
      </w:r>
      <w:proofErr w:type="spellStart"/>
      <w:r w:rsidRPr="00A10C71">
        <w:rPr>
          <w:rFonts w:asciiTheme="majorHAnsi" w:hAnsiTheme="majorHAnsi" w:cstheme="majorHAnsi"/>
          <w:sz w:val="22"/>
          <w:szCs w:val="22"/>
          <w:lang w:val="en-GB"/>
        </w:rPr>
        <w:t>Hecimovic</w:t>
      </w:r>
      <w:proofErr w:type="spellEnd"/>
      <w:r w:rsidRPr="00A10C71">
        <w:rPr>
          <w:rFonts w:asciiTheme="majorHAnsi" w:hAnsiTheme="majorHAnsi" w:cstheme="majorHAnsi"/>
          <w:sz w:val="22"/>
          <w:szCs w:val="22"/>
          <w:lang w:val="en-GB"/>
        </w:rPr>
        <w:t>, (2023) examine the influence of Artificial Intelligence (AI) on the accounting profession using a Technology Organization Environment (TOE) paradigm. They identify factors affecting the adoption of AI in the auditing profession, such as technical utility, consistency, maturity, organizational readiness, data quality, reliability, and environmental studies which include auditing standards and client readiness to build AI that improves audit efficiency. However, it also poses obstacles like 'black-box' aspect of AI, which can obscure audit methods and raise concerns about audit quality. Based on semi-structured interviews with accounting and IT experts, the report sheds light on the goals and obstacles of AI adoption in accounting. The essay contends that, while AI can do some audit duties and enhance auditor judgment, audit practices.</w:t>
      </w:r>
    </w:p>
    <w:p w14:paraId="6FB95229" w14:textId="77777777" w:rsidR="00A10C71" w:rsidRPr="00A10C71" w:rsidRDefault="00A10C71" w:rsidP="00A10C71">
      <w:pPr>
        <w:spacing w:after="100" w:line="276" w:lineRule="auto"/>
        <w:rPr>
          <w:rFonts w:asciiTheme="majorHAnsi" w:hAnsiTheme="majorHAnsi" w:cstheme="majorHAnsi"/>
          <w:sz w:val="22"/>
          <w:szCs w:val="22"/>
          <w:lang w:val="en-GB"/>
        </w:rPr>
      </w:pPr>
    </w:p>
    <w:p w14:paraId="3391E68E" w14:textId="77777777" w:rsidR="00A10C71" w:rsidRPr="00A10C71" w:rsidRDefault="00A10C71" w:rsidP="00A10C71">
      <w:pPr>
        <w:spacing w:after="100" w:line="276" w:lineRule="auto"/>
        <w:rPr>
          <w:rFonts w:asciiTheme="majorHAnsi" w:hAnsiTheme="majorHAnsi" w:cstheme="majorHAnsi"/>
          <w:sz w:val="22"/>
          <w:szCs w:val="22"/>
          <w:lang w:val="en-GB"/>
        </w:rPr>
      </w:pPr>
      <w:proofErr w:type="spellStart"/>
      <w:r w:rsidRPr="00A10C71">
        <w:rPr>
          <w:rFonts w:asciiTheme="majorHAnsi" w:hAnsiTheme="majorHAnsi" w:cstheme="majorHAnsi"/>
          <w:sz w:val="22"/>
          <w:szCs w:val="22"/>
          <w:lang w:val="en-GB"/>
        </w:rPr>
        <w:t>Munoko</w:t>
      </w:r>
      <w:proofErr w:type="spellEnd"/>
      <w:r w:rsidRPr="00A10C71">
        <w:rPr>
          <w:rFonts w:asciiTheme="majorHAnsi" w:hAnsiTheme="majorHAnsi" w:cstheme="majorHAnsi"/>
          <w:sz w:val="22"/>
          <w:szCs w:val="22"/>
          <w:lang w:val="en-GB"/>
        </w:rPr>
        <w:t xml:space="preserve">, I., Brown-Liburd, H. L., &amp; </w:t>
      </w:r>
      <w:proofErr w:type="spellStart"/>
      <w:r w:rsidRPr="00A10C71">
        <w:rPr>
          <w:rFonts w:asciiTheme="majorHAnsi" w:hAnsiTheme="majorHAnsi" w:cstheme="majorHAnsi"/>
          <w:sz w:val="22"/>
          <w:szCs w:val="22"/>
          <w:lang w:val="en-GB"/>
        </w:rPr>
        <w:t>Vasarhelyi</w:t>
      </w:r>
      <w:proofErr w:type="spellEnd"/>
      <w:r w:rsidRPr="00A10C71">
        <w:rPr>
          <w:rFonts w:asciiTheme="majorHAnsi" w:hAnsiTheme="majorHAnsi" w:cstheme="majorHAnsi"/>
          <w:sz w:val="22"/>
          <w:szCs w:val="22"/>
          <w:lang w:val="en-GB"/>
        </w:rPr>
        <w:t xml:space="preserve">, M. (2020). The ethical implications of using artificial intelligence in auditing. Journal of business ethics, 167(2), 209-234. </w:t>
      </w:r>
    </w:p>
    <w:p w14:paraId="118A61C8" w14:textId="58464655" w:rsidR="00A10C71" w:rsidRDefault="00A10C71" w:rsidP="00A10C71">
      <w:pPr>
        <w:spacing w:after="100" w:line="276" w:lineRule="auto"/>
        <w:rPr>
          <w:rFonts w:asciiTheme="majorHAnsi" w:hAnsiTheme="majorHAnsi" w:cstheme="majorHAnsi"/>
          <w:sz w:val="22"/>
          <w:szCs w:val="22"/>
          <w:lang w:val="en-GB"/>
        </w:rPr>
      </w:pPr>
      <w:proofErr w:type="spellStart"/>
      <w:r w:rsidRPr="00A10C71">
        <w:rPr>
          <w:rFonts w:asciiTheme="majorHAnsi" w:hAnsiTheme="majorHAnsi" w:cstheme="majorHAnsi"/>
          <w:sz w:val="22"/>
          <w:szCs w:val="22"/>
          <w:lang w:val="en-GB"/>
        </w:rPr>
        <w:t>Munoko</w:t>
      </w:r>
      <w:proofErr w:type="spellEnd"/>
      <w:r w:rsidRPr="00A10C71">
        <w:rPr>
          <w:rFonts w:asciiTheme="majorHAnsi" w:hAnsiTheme="majorHAnsi" w:cstheme="majorHAnsi"/>
          <w:sz w:val="22"/>
          <w:szCs w:val="22"/>
          <w:lang w:val="en-GB"/>
        </w:rPr>
        <w:t xml:space="preserve"> et al. (2020) investigate the use of Artificial Intelligence (AI) into auditing practices which emphasizes the benefits of AI in the area, such as increased productivity and data processing, while also addressing the possibility for unexpected repercussions. They advocate for a proactive strategy to address the ethical implications of AI in auditing, highlighting the necessity for policy and governance to manage developing technology successfully. They employ two ethical frameworks, Ethics of Emerging Information and Communication Technologies (ETICA) and Anticipatory Technology Ethics (ATE), to anticipate ethical difficulties and suggest solutions for responsible AI usage in the profession.</w:t>
      </w:r>
    </w:p>
    <w:p w14:paraId="1B0522FE" w14:textId="77777777" w:rsidR="00A10C71" w:rsidRDefault="00A10C71" w:rsidP="00A10C71">
      <w:pPr>
        <w:spacing w:after="100" w:line="276" w:lineRule="auto"/>
        <w:rPr>
          <w:rFonts w:asciiTheme="majorHAnsi" w:hAnsiTheme="majorHAnsi" w:cstheme="majorHAnsi"/>
          <w:sz w:val="22"/>
          <w:szCs w:val="22"/>
          <w:lang w:val="en-GB"/>
        </w:rPr>
      </w:pPr>
      <w:r>
        <w:rPr>
          <w:rFonts w:asciiTheme="majorHAnsi" w:hAnsiTheme="majorHAnsi" w:cstheme="majorHAnsi"/>
          <w:sz w:val="22"/>
          <w:szCs w:val="22"/>
          <w:lang w:val="en-GB"/>
        </w:rPr>
        <w:br w:type="page"/>
      </w:r>
    </w:p>
    <w:p w14:paraId="4EF6DA02" w14:textId="0CDF0E0C" w:rsidR="00A10C71" w:rsidRPr="006F667C" w:rsidRDefault="00A10C71" w:rsidP="00A10C71">
      <w:pPr>
        <w:spacing w:after="100" w:line="276" w:lineRule="auto"/>
        <w:jc w:val="center"/>
        <w:rPr>
          <w:rFonts w:asciiTheme="majorHAnsi" w:hAnsiTheme="majorHAnsi" w:cstheme="majorHAnsi"/>
          <w:b/>
          <w:bCs/>
          <w:sz w:val="22"/>
          <w:szCs w:val="22"/>
          <w:lang w:val="en-GB"/>
        </w:rPr>
      </w:pPr>
      <w:r w:rsidRPr="006F667C">
        <w:rPr>
          <w:rFonts w:asciiTheme="majorHAnsi" w:hAnsiTheme="majorHAnsi" w:cstheme="majorHAnsi"/>
          <w:b/>
          <w:bCs/>
          <w:sz w:val="22"/>
          <w:szCs w:val="22"/>
          <w:lang w:val="en-GB"/>
        </w:rPr>
        <w:lastRenderedPageBreak/>
        <w:t xml:space="preserve">Example </w:t>
      </w:r>
      <w:r>
        <w:rPr>
          <w:rFonts w:asciiTheme="majorHAnsi" w:hAnsiTheme="majorHAnsi" w:cstheme="majorHAnsi"/>
          <w:b/>
          <w:bCs/>
          <w:sz w:val="22"/>
          <w:szCs w:val="22"/>
          <w:lang w:val="en-GB"/>
        </w:rPr>
        <w:t>2</w:t>
      </w:r>
      <w:r w:rsidRPr="006F667C">
        <w:rPr>
          <w:rFonts w:asciiTheme="majorHAnsi" w:hAnsiTheme="majorHAnsi" w:cstheme="majorHAnsi"/>
          <w:b/>
          <w:bCs/>
          <w:sz w:val="22"/>
          <w:szCs w:val="22"/>
          <w:lang w:val="en-GB"/>
        </w:rPr>
        <w:t>: Annotated bibliography assignment</w:t>
      </w:r>
    </w:p>
    <w:p w14:paraId="3DCEAB75" w14:textId="1B28045F"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Sarkissian, V. (2018). Engaging Diaspora Capital for Sustainable Development:</w:t>
      </w:r>
      <w:r>
        <w:rPr>
          <w:rFonts w:asciiTheme="majorHAnsi" w:hAnsiTheme="majorHAnsi" w:cstheme="majorHAnsi"/>
          <w:sz w:val="22"/>
          <w:szCs w:val="22"/>
          <w:lang w:val="en-GB"/>
        </w:rPr>
        <w:t xml:space="preserve"> </w:t>
      </w:r>
      <w:r w:rsidRPr="00A10C71">
        <w:rPr>
          <w:rFonts w:asciiTheme="majorHAnsi" w:hAnsiTheme="majorHAnsi" w:cstheme="majorHAnsi"/>
          <w:sz w:val="22"/>
          <w:szCs w:val="22"/>
          <w:lang w:val="en-GB"/>
        </w:rPr>
        <w:t>The Armenian Experience. International Migration Review, 52(3), 812-830.</w:t>
      </w:r>
    </w:p>
    <w:p w14:paraId="3C948D8F"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Sarkissian (2018) provides compelling exploration of the strategies utilized to mobilize</w:t>
      </w:r>
    </w:p>
    <w:p w14:paraId="2A076990"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diaspora investment for driving sustainable development in Armenia. Through a balanced</w:t>
      </w:r>
    </w:p>
    <w:p w14:paraId="79697F24"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assessment of challenges and opportunities, including issues of governance and</w:t>
      </w:r>
    </w:p>
    <w:p w14:paraId="5F3F935E"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transparency, Sarkissian proposes a comprehensive framework. The framework</w:t>
      </w:r>
    </w:p>
    <w:p w14:paraId="250570C4"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underscores the importance of institutional partnerships, targeted investment incentives, and</w:t>
      </w:r>
    </w:p>
    <w:p w14:paraId="5CC3CD18"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 xml:space="preserve">diaspora outreach </w:t>
      </w:r>
      <w:proofErr w:type="spellStart"/>
      <w:r w:rsidRPr="00A10C71">
        <w:rPr>
          <w:rFonts w:asciiTheme="majorHAnsi" w:hAnsiTheme="majorHAnsi" w:cstheme="majorHAnsi"/>
          <w:sz w:val="22"/>
          <w:szCs w:val="22"/>
          <w:lang w:val="en-GB"/>
        </w:rPr>
        <w:t>programs.Sarkissian</w:t>
      </w:r>
      <w:proofErr w:type="spellEnd"/>
      <w:r w:rsidRPr="00A10C71">
        <w:rPr>
          <w:rFonts w:asciiTheme="majorHAnsi" w:hAnsiTheme="majorHAnsi" w:cstheme="majorHAnsi"/>
          <w:sz w:val="22"/>
          <w:szCs w:val="22"/>
          <w:lang w:val="en-GB"/>
        </w:rPr>
        <w:t xml:space="preserve"> showcases successful diaspora-led initiatives in</w:t>
      </w:r>
    </w:p>
    <w:p w14:paraId="5E9FECE8"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Armenia's technology, tourism, and agricultural sectors.</w:t>
      </w:r>
    </w:p>
    <w:p w14:paraId="43887BA5" w14:textId="77777777" w:rsidR="00A10C71" w:rsidRDefault="00A10C71" w:rsidP="00A10C71">
      <w:pPr>
        <w:spacing w:after="100" w:line="276" w:lineRule="auto"/>
        <w:rPr>
          <w:rFonts w:asciiTheme="majorHAnsi" w:hAnsiTheme="majorHAnsi" w:cstheme="majorHAnsi"/>
          <w:sz w:val="22"/>
          <w:szCs w:val="22"/>
          <w:lang w:val="en-GB"/>
        </w:rPr>
      </w:pPr>
    </w:p>
    <w:p w14:paraId="358F310B" w14:textId="59DE62FD" w:rsidR="00A10C71" w:rsidRPr="00A10C71" w:rsidRDefault="00A10C71" w:rsidP="00A10C71">
      <w:pPr>
        <w:spacing w:after="100" w:line="276" w:lineRule="auto"/>
        <w:rPr>
          <w:rFonts w:asciiTheme="majorHAnsi" w:hAnsiTheme="majorHAnsi" w:cstheme="majorHAnsi"/>
          <w:sz w:val="22"/>
          <w:szCs w:val="22"/>
          <w:lang w:val="en-GB"/>
        </w:rPr>
      </w:pPr>
      <w:proofErr w:type="spellStart"/>
      <w:r w:rsidRPr="00A10C71">
        <w:rPr>
          <w:rFonts w:asciiTheme="majorHAnsi" w:hAnsiTheme="majorHAnsi" w:cstheme="majorHAnsi"/>
          <w:sz w:val="22"/>
          <w:szCs w:val="22"/>
          <w:lang w:val="en-GB"/>
        </w:rPr>
        <w:t>Isakhanyan</w:t>
      </w:r>
      <w:proofErr w:type="spellEnd"/>
      <w:r w:rsidRPr="00A10C71">
        <w:rPr>
          <w:rFonts w:asciiTheme="majorHAnsi" w:hAnsiTheme="majorHAnsi" w:cstheme="majorHAnsi"/>
          <w:sz w:val="22"/>
          <w:szCs w:val="22"/>
          <w:lang w:val="en-GB"/>
        </w:rPr>
        <w:t>, M. (2017). Diaspora Networks and Investment: The Case of</w:t>
      </w:r>
      <w:r>
        <w:rPr>
          <w:rFonts w:asciiTheme="majorHAnsi" w:hAnsiTheme="majorHAnsi" w:cstheme="majorHAnsi"/>
          <w:sz w:val="22"/>
          <w:szCs w:val="22"/>
          <w:lang w:val="en-GB"/>
        </w:rPr>
        <w:t xml:space="preserve"> </w:t>
      </w:r>
      <w:r w:rsidRPr="00A10C71">
        <w:rPr>
          <w:rFonts w:asciiTheme="majorHAnsi" w:hAnsiTheme="majorHAnsi" w:cstheme="majorHAnsi"/>
          <w:sz w:val="22"/>
          <w:szCs w:val="22"/>
          <w:lang w:val="en-GB"/>
        </w:rPr>
        <w:t xml:space="preserve">Armenians in Russia. </w:t>
      </w:r>
      <w:proofErr w:type="spellStart"/>
      <w:r w:rsidRPr="00A10C71">
        <w:rPr>
          <w:rFonts w:asciiTheme="majorHAnsi" w:hAnsiTheme="majorHAnsi" w:cstheme="majorHAnsi"/>
          <w:sz w:val="22"/>
          <w:szCs w:val="22"/>
          <w:lang w:val="en-GB"/>
        </w:rPr>
        <w:t>Demokratizatsiya</w:t>
      </w:r>
      <w:proofErr w:type="spellEnd"/>
      <w:r w:rsidRPr="00A10C71">
        <w:rPr>
          <w:rFonts w:asciiTheme="majorHAnsi" w:hAnsiTheme="majorHAnsi" w:cstheme="majorHAnsi"/>
          <w:sz w:val="22"/>
          <w:szCs w:val="22"/>
          <w:lang w:val="en-GB"/>
        </w:rPr>
        <w:t>: The Journal of Post-Soviet</w:t>
      </w:r>
      <w:r>
        <w:rPr>
          <w:rFonts w:asciiTheme="majorHAnsi" w:hAnsiTheme="majorHAnsi" w:cstheme="majorHAnsi"/>
          <w:sz w:val="22"/>
          <w:szCs w:val="22"/>
          <w:lang w:val="en-GB"/>
        </w:rPr>
        <w:t xml:space="preserve"> </w:t>
      </w:r>
      <w:r w:rsidRPr="00A10C71">
        <w:rPr>
          <w:rFonts w:asciiTheme="majorHAnsi" w:hAnsiTheme="majorHAnsi" w:cstheme="majorHAnsi"/>
          <w:sz w:val="22"/>
          <w:szCs w:val="22"/>
          <w:lang w:val="en-GB"/>
        </w:rPr>
        <w:t>Democratization, 25(1), 123-140.</w:t>
      </w:r>
    </w:p>
    <w:p w14:paraId="51594C3C" w14:textId="00CAE96F" w:rsidR="00A10C71" w:rsidRPr="00A10C71" w:rsidRDefault="00A10C71" w:rsidP="00A10C71">
      <w:pPr>
        <w:spacing w:after="100" w:line="276" w:lineRule="auto"/>
        <w:ind w:firstLine="708"/>
        <w:rPr>
          <w:rFonts w:asciiTheme="majorHAnsi" w:hAnsiTheme="majorHAnsi" w:cstheme="majorHAnsi"/>
          <w:sz w:val="22"/>
          <w:szCs w:val="22"/>
          <w:lang w:val="en-GB"/>
        </w:rPr>
      </w:pPr>
      <w:proofErr w:type="spellStart"/>
      <w:r w:rsidRPr="00A10C71">
        <w:rPr>
          <w:rFonts w:asciiTheme="majorHAnsi" w:hAnsiTheme="majorHAnsi" w:cstheme="majorHAnsi"/>
          <w:sz w:val="22"/>
          <w:szCs w:val="22"/>
          <w:lang w:val="en-GB"/>
        </w:rPr>
        <w:t>Isakhanyan</w:t>
      </w:r>
      <w:proofErr w:type="spellEnd"/>
      <w:r w:rsidRPr="00A10C71">
        <w:rPr>
          <w:rFonts w:asciiTheme="majorHAnsi" w:hAnsiTheme="majorHAnsi" w:cstheme="majorHAnsi"/>
          <w:sz w:val="22"/>
          <w:szCs w:val="22"/>
          <w:lang w:val="en-GB"/>
        </w:rPr>
        <w:t xml:space="preserve"> (2017) meticulously explores the investment meticulously explores the</w:t>
      </w:r>
    </w:p>
    <w:p w14:paraId="69CE8072"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investment patterns and economic contributions of Armenians in Russia to Armenia's</w:t>
      </w:r>
    </w:p>
    <w:p w14:paraId="32228FC6"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development. Focused on diaspora networks, remittances, and business connections, the</w:t>
      </w:r>
    </w:p>
    <w:p w14:paraId="72F26A28"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study sheds light on their pivotal role in facilitating investment flows and fostering economic</w:t>
      </w:r>
    </w:p>
    <w:p w14:paraId="58DF6875"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ties between Armenia and its diaspora community in Russia. By scrutinizing economic</w:t>
      </w:r>
    </w:p>
    <w:p w14:paraId="0DB727F3"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 xml:space="preserve">activities and investment </w:t>
      </w:r>
      <w:proofErr w:type="spellStart"/>
      <w:r w:rsidRPr="00A10C71">
        <w:rPr>
          <w:rFonts w:asciiTheme="majorHAnsi" w:hAnsiTheme="majorHAnsi" w:cstheme="majorHAnsi"/>
          <w:sz w:val="22"/>
          <w:szCs w:val="22"/>
          <w:lang w:val="en-GB"/>
        </w:rPr>
        <w:t>behaviors</w:t>
      </w:r>
      <w:proofErr w:type="spellEnd"/>
      <w:r w:rsidRPr="00A10C71">
        <w:rPr>
          <w:rFonts w:asciiTheme="majorHAnsi" w:hAnsiTheme="majorHAnsi" w:cstheme="majorHAnsi"/>
          <w:sz w:val="22"/>
          <w:szCs w:val="22"/>
          <w:lang w:val="en-GB"/>
        </w:rPr>
        <w:t xml:space="preserve">, </w:t>
      </w:r>
      <w:proofErr w:type="spellStart"/>
      <w:r w:rsidRPr="00A10C71">
        <w:rPr>
          <w:rFonts w:asciiTheme="majorHAnsi" w:hAnsiTheme="majorHAnsi" w:cstheme="majorHAnsi"/>
          <w:sz w:val="22"/>
          <w:szCs w:val="22"/>
          <w:lang w:val="en-GB"/>
        </w:rPr>
        <w:t>Isakhanyan</w:t>
      </w:r>
      <w:proofErr w:type="spellEnd"/>
      <w:r w:rsidRPr="00A10C71">
        <w:rPr>
          <w:rFonts w:asciiTheme="majorHAnsi" w:hAnsiTheme="majorHAnsi" w:cstheme="majorHAnsi"/>
          <w:sz w:val="22"/>
          <w:szCs w:val="22"/>
          <w:lang w:val="en-GB"/>
        </w:rPr>
        <w:t xml:space="preserve"> reveals the substantial impact of Armenians</w:t>
      </w:r>
    </w:p>
    <w:p w14:paraId="468447C7"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in Russia on various sectors of Armenia's economy, including technology, tourism, and</w:t>
      </w:r>
    </w:p>
    <w:p w14:paraId="5BC28777"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agriculture. Article provides valuable insights into diaspora-driven economic development,</w:t>
      </w:r>
    </w:p>
    <w:p w14:paraId="50D3C8D4"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underscoring the importance of diaspora engagement in shaping Armenia's economic</w:t>
      </w:r>
    </w:p>
    <w:p w14:paraId="67CC5CBB"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trajectory.</w:t>
      </w:r>
    </w:p>
    <w:p w14:paraId="0EC62E1F" w14:textId="77777777" w:rsidR="00A10C71" w:rsidRDefault="00A10C71" w:rsidP="00A10C71">
      <w:pPr>
        <w:spacing w:after="100" w:line="276" w:lineRule="auto"/>
        <w:rPr>
          <w:rFonts w:asciiTheme="majorHAnsi" w:hAnsiTheme="majorHAnsi" w:cstheme="majorHAnsi"/>
          <w:sz w:val="22"/>
          <w:szCs w:val="22"/>
          <w:lang w:val="en-GB"/>
        </w:rPr>
      </w:pPr>
    </w:p>
    <w:p w14:paraId="6EF1EC3C" w14:textId="389188DB"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 xml:space="preserve">Khachaturyan, M. R., &amp; </w:t>
      </w:r>
      <w:proofErr w:type="spellStart"/>
      <w:r w:rsidRPr="00A10C71">
        <w:rPr>
          <w:rFonts w:asciiTheme="majorHAnsi" w:hAnsiTheme="majorHAnsi" w:cstheme="majorHAnsi"/>
          <w:sz w:val="22"/>
          <w:szCs w:val="22"/>
          <w:lang w:val="en-GB"/>
        </w:rPr>
        <w:t>Chalabyan</w:t>
      </w:r>
      <w:proofErr w:type="spellEnd"/>
      <w:r w:rsidRPr="00A10C71">
        <w:rPr>
          <w:rFonts w:asciiTheme="majorHAnsi" w:hAnsiTheme="majorHAnsi" w:cstheme="majorHAnsi"/>
          <w:sz w:val="22"/>
          <w:szCs w:val="22"/>
          <w:lang w:val="en-GB"/>
        </w:rPr>
        <w:t>, V. G. (2019). The Armenian Diaspora and</w:t>
      </w:r>
      <w:r>
        <w:rPr>
          <w:rFonts w:asciiTheme="majorHAnsi" w:hAnsiTheme="majorHAnsi" w:cstheme="majorHAnsi"/>
          <w:sz w:val="22"/>
          <w:szCs w:val="22"/>
          <w:lang w:val="en-GB"/>
        </w:rPr>
        <w:t xml:space="preserve"> </w:t>
      </w:r>
      <w:r w:rsidRPr="00A10C71">
        <w:rPr>
          <w:rFonts w:asciiTheme="majorHAnsi" w:hAnsiTheme="majorHAnsi" w:cstheme="majorHAnsi"/>
          <w:sz w:val="22"/>
          <w:szCs w:val="22"/>
          <w:lang w:val="en-GB"/>
        </w:rPr>
        <w:t>Economic Development in Armenia: Challenges and Opportunities.</w:t>
      </w:r>
      <w:r>
        <w:rPr>
          <w:rFonts w:asciiTheme="majorHAnsi" w:hAnsiTheme="majorHAnsi" w:cstheme="majorHAnsi"/>
          <w:sz w:val="22"/>
          <w:szCs w:val="22"/>
          <w:lang w:val="en-GB"/>
        </w:rPr>
        <w:t xml:space="preserve"> </w:t>
      </w:r>
      <w:r w:rsidRPr="00A10C71">
        <w:rPr>
          <w:rFonts w:asciiTheme="majorHAnsi" w:hAnsiTheme="majorHAnsi" w:cstheme="majorHAnsi"/>
          <w:sz w:val="22"/>
          <w:szCs w:val="22"/>
          <w:lang w:val="en-GB"/>
        </w:rPr>
        <w:t>International Journal of Economics and Business Administration, 7(2),</w:t>
      </w:r>
      <w:r>
        <w:rPr>
          <w:rFonts w:asciiTheme="majorHAnsi" w:hAnsiTheme="majorHAnsi" w:cstheme="majorHAnsi"/>
          <w:sz w:val="22"/>
          <w:szCs w:val="22"/>
          <w:lang w:val="en-GB"/>
        </w:rPr>
        <w:t xml:space="preserve"> </w:t>
      </w:r>
      <w:r w:rsidRPr="00A10C71">
        <w:rPr>
          <w:rFonts w:asciiTheme="majorHAnsi" w:hAnsiTheme="majorHAnsi" w:cstheme="majorHAnsi"/>
          <w:sz w:val="22"/>
          <w:szCs w:val="22"/>
          <w:lang w:val="en-GB"/>
        </w:rPr>
        <w:t>238-253.</w:t>
      </w:r>
    </w:p>
    <w:p w14:paraId="5200B26E"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 xml:space="preserve">Khachaturyan and </w:t>
      </w:r>
      <w:proofErr w:type="spellStart"/>
      <w:r w:rsidRPr="00A10C71">
        <w:rPr>
          <w:rFonts w:asciiTheme="majorHAnsi" w:hAnsiTheme="majorHAnsi" w:cstheme="majorHAnsi"/>
          <w:sz w:val="22"/>
          <w:szCs w:val="22"/>
          <w:lang w:val="en-GB"/>
        </w:rPr>
        <w:t>Chalabyan</w:t>
      </w:r>
      <w:proofErr w:type="spellEnd"/>
      <w:r w:rsidRPr="00A10C71">
        <w:rPr>
          <w:rFonts w:asciiTheme="majorHAnsi" w:hAnsiTheme="majorHAnsi" w:cstheme="majorHAnsi"/>
          <w:sz w:val="22"/>
          <w:szCs w:val="22"/>
          <w:lang w:val="en-GB"/>
        </w:rPr>
        <w:t xml:space="preserve"> (2019) comprehensively examine the Armenian diaspora's</w:t>
      </w:r>
    </w:p>
    <w:p w14:paraId="7FCA10E1" w14:textId="77777777" w:rsidR="00A10C71" w:rsidRPr="00A10C71" w:rsidRDefault="00A10C71" w:rsidP="00A10C71">
      <w:pPr>
        <w:spacing w:after="100" w:line="276" w:lineRule="auto"/>
        <w:rPr>
          <w:rFonts w:asciiTheme="majorHAnsi" w:hAnsiTheme="majorHAnsi" w:cstheme="majorHAnsi"/>
          <w:sz w:val="22"/>
          <w:szCs w:val="22"/>
          <w:lang w:val="en-GB"/>
        </w:rPr>
      </w:pPr>
      <w:proofErr w:type="spellStart"/>
      <w:r w:rsidRPr="00A10C71">
        <w:rPr>
          <w:rFonts w:asciiTheme="majorHAnsi" w:hAnsiTheme="majorHAnsi" w:cstheme="majorHAnsi"/>
          <w:sz w:val="22"/>
          <w:szCs w:val="22"/>
          <w:lang w:val="en-GB"/>
        </w:rPr>
        <w:t>influence</w:t>
      </w:r>
      <w:proofErr w:type="spellEnd"/>
      <w:r w:rsidRPr="00A10C71">
        <w:rPr>
          <w:rFonts w:asciiTheme="majorHAnsi" w:hAnsiTheme="majorHAnsi" w:cstheme="majorHAnsi"/>
          <w:sz w:val="22"/>
          <w:szCs w:val="22"/>
          <w:lang w:val="en-GB"/>
        </w:rPr>
        <w:t xml:space="preserve"> on Armenia's economic development. Through a historical lens, they identify</w:t>
      </w:r>
    </w:p>
    <w:p w14:paraId="05F68FA9"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contemporary hurdles, such as the disconnect between diaspora Armenians and local</w:t>
      </w:r>
    </w:p>
    <w:p w14:paraId="5EF20D0D"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institutions. However, the authors also illuminate promising avenues for leveraging the</w:t>
      </w:r>
    </w:p>
    <w:p w14:paraId="06EB9094"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diaspora's potential, including investment channels and knowledge exchange. Article</w:t>
      </w:r>
    </w:p>
    <w:p w14:paraId="161643FA" w14:textId="77777777" w:rsidR="00A10C71" w:rsidRPr="00A10C71"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concludes with actionable policy recommendations aimed at optimizing the diaspora's</w:t>
      </w:r>
    </w:p>
    <w:p w14:paraId="5667697A" w14:textId="6F3A88DC" w:rsidR="00A10C71" w:rsidRPr="000106B5" w:rsidRDefault="00A10C71" w:rsidP="00A10C71">
      <w:pPr>
        <w:spacing w:after="100" w:line="276" w:lineRule="auto"/>
        <w:rPr>
          <w:rFonts w:asciiTheme="majorHAnsi" w:hAnsiTheme="majorHAnsi" w:cstheme="majorHAnsi"/>
          <w:sz w:val="22"/>
          <w:szCs w:val="22"/>
          <w:lang w:val="en-GB"/>
        </w:rPr>
      </w:pPr>
      <w:r w:rsidRPr="00A10C71">
        <w:rPr>
          <w:rFonts w:asciiTheme="majorHAnsi" w:hAnsiTheme="majorHAnsi" w:cstheme="majorHAnsi"/>
          <w:sz w:val="22"/>
          <w:szCs w:val="22"/>
          <w:lang w:val="en-GB"/>
        </w:rPr>
        <w:t>positive impact on Armenia's economic landscape.</w:t>
      </w:r>
    </w:p>
    <w:sectPr w:rsidR="00A10C71" w:rsidRPr="000106B5"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7AEB6" w14:textId="77777777" w:rsidR="00890247" w:rsidRDefault="00890247" w:rsidP="0036679C">
      <w:r>
        <w:separator/>
      </w:r>
    </w:p>
    <w:p w14:paraId="23E62661" w14:textId="77777777" w:rsidR="00890247" w:rsidRDefault="00890247"/>
  </w:endnote>
  <w:endnote w:type="continuationSeparator" w:id="0">
    <w:p w14:paraId="754642AA" w14:textId="77777777" w:rsidR="00890247" w:rsidRDefault="00890247" w:rsidP="0036679C">
      <w:r>
        <w:continuationSeparator/>
      </w:r>
    </w:p>
    <w:p w14:paraId="237860A1" w14:textId="77777777" w:rsidR="00890247" w:rsidRDefault="00890247"/>
  </w:endnote>
  <w:endnote w:type="continuationNotice" w:id="1">
    <w:p w14:paraId="4C9A5F1A" w14:textId="77777777" w:rsidR="00890247" w:rsidRDefault="00890247" w:rsidP="0036679C"/>
    <w:p w14:paraId="593F44FB" w14:textId="77777777" w:rsidR="00890247" w:rsidRDefault="00890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2412D" w14:textId="77777777" w:rsidR="00890247" w:rsidRPr="00A510E1" w:rsidRDefault="00890247" w:rsidP="0036679C">
      <w:r w:rsidRPr="00A510E1">
        <w:separator/>
      </w:r>
    </w:p>
  </w:footnote>
  <w:footnote w:type="continuationSeparator" w:id="0">
    <w:p w14:paraId="47F875F2" w14:textId="77777777" w:rsidR="00890247" w:rsidRDefault="00890247" w:rsidP="0036679C">
      <w:r>
        <w:continuationSeparator/>
      </w:r>
    </w:p>
    <w:p w14:paraId="21D1A7A2" w14:textId="77777777" w:rsidR="00890247" w:rsidRDefault="00890247"/>
  </w:footnote>
  <w:footnote w:type="continuationNotice" w:id="1">
    <w:p w14:paraId="68344384" w14:textId="77777777" w:rsidR="00890247" w:rsidRDefault="00890247" w:rsidP="0036679C"/>
    <w:p w14:paraId="380F0875" w14:textId="77777777" w:rsidR="00890247" w:rsidRDefault="008902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A753B" w14:textId="70F28AD8" w:rsidR="006B1EE9" w:rsidRPr="006B1EE9" w:rsidRDefault="001B28E1" w:rsidP="00546F3C">
    <w:pPr>
      <w:pStyle w:val="Header"/>
      <w:spacing w:before="100" w:beforeAutospacing="1"/>
      <w:jc w:val="center"/>
      <w:rPr>
        <w:rFonts w:cs="Arial"/>
        <w:b/>
        <w:bCs/>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37F8CF9C">
          <wp:simplePos x="0" y="0"/>
          <wp:positionH relativeFrom="margin">
            <wp:posOffset>-18415</wp:posOffset>
          </wp:positionH>
          <wp:positionV relativeFrom="paragraph">
            <wp:posOffset>-85725</wp:posOffset>
          </wp:positionV>
          <wp:extent cx="788035" cy="533400"/>
          <wp:effectExtent l="0" t="0" r="0" b="0"/>
          <wp:wrapNone/>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788035" cy="533400"/>
                  </a:xfrm>
                  <a:prstGeom prst="rect">
                    <a:avLst/>
                  </a:prstGeom>
                </pic:spPr>
              </pic:pic>
            </a:graphicData>
          </a:graphic>
          <wp14:sizeRelH relativeFrom="page">
            <wp14:pctWidth>0</wp14:pctWidth>
          </wp14:sizeRelH>
          <wp14:sizeRelV relativeFrom="page">
            <wp14:pctHeight>0</wp14:pctHeight>
          </wp14:sizeRelV>
        </wp:anchor>
      </w:drawing>
    </w:r>
    <w:r w:rsidR="006B1EE9" w:rsidRPr="006B1EE9">
      <w:rPr>
        <w:rFonts w:cs="Arial"/>
        <w:b/>
        <w:bCs/>
        <w:color w:val="A6A6A6" w:themeColor="background1" w:themeShade="A6"/>
      </w:rPr>
      <w:t xml:space="preserve">Academic Writing </w:t>
    </w:r>
  </w:p>
  <w:p w14:paraId="023542B4" w14:textId="06D9B70A" w:rsidR="006B1EE9" w:rsidRDefault="006B1EE9" w:rsidP="00546F3C">
    <w:pPr>
      <w:pStyle w:val="Header"/>
      <w:ind w:firstLine="3828"/>
      <w:jc w:val="center"/>
      <w:rPr>
        <w:rFonts w:cs="Arial"/>
        <w:b/>
        <w:bCs/>
        <w:color w:val="A6A6A6" w:themeColor="background1" w:themeShade="A6"/>
      </w:rPr>
    </w:pPr>
  </w:p>
  <w:p w14:paraId="694F9EF9" w14:textId="23C566D3" w:rsidR="00F95DF4" w:rsidRPr="006B1EE9" w:rsidRDefault="00F95DF4" w:rsidP="00546F3C">
    <w:pPr>
      <w:pStyle w:val="Header"/>
      <w:tabs>
        <w:tab w:val="clear" w:pos="4536"/>
        <w:tab w:val="center" w:pos="9072"/>
      </w:tabs>
      <w:jc w:val="center"/>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0.85pt;height:10.8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4812FA"/>
    <w:multiLevelType w:val="hybridMultilevel"/>
    <w:tmpl w:val="DAEE9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7173D9"/>
    <w:multiLevelType w:val="hybridMultilevel"/>
    <w:tmpl w:val="5162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3C3876"/>
    <w:multiLevelType w:val="hybridMultilevel"/>
    <w:tmpl w:val="99A6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82999840">
    <w:abstractNumId w:val="18"/>
  </w:num>
  <w:num w:numId="2" w16cid:durableId="1083336924">
    <w:abstractNumId w:val="6"/>
  </w:num>
  <w:num w:numId="3" w16cid:durableId="437603975">
    <w:abstractNumId w:val="3"/>
  </w:num>
  <w:num w:numId="4" w16cid:durableId="1344629113">
    <w:abstractNumId w:val="8"/>
  </w:num>
  <w:num w:numId="5" w16cid:durableId="1929119038">
    <w:abstractNumId w:val="15"/>
  </w:num>
  <w:num w:numId="6" w16cid:durableId="1755400183">
    <w:abstractNumId w:val="26"/>
  </w:num>
  <w:num w:numId="7" w16cid:durableId="412287207">
    <w:abstractNumId w:val="13"/>
  </w:num>
  <w:num w:numId="8" w16cid:durableId="2008972184">
    <w:abstractNumId w:val="24"/>
  </w:num>
  <w:num w:numId="9" w16cid:durableId="927344003">
    <w:abstractNumId w:val="11"/>
  </w:num>
  <w:num w:numId="10" w16cid:durableId="1591811304">
    <w:abstractNumId w:val="23"/>
  </w:num>
  <w:num w:numId="11" w16cid:durableId="1860703709">
    <w:abstractNumId w:val="22"/>
  </w:num>
  <w:num w:numId="12" w16cid:durableId="797264790">
    <w:abstractNumId w:val="25"/>
  </w:num>
  <w:num w:numId="13" w16cid:durableId="982275000">
    <w:abstractNumId w:val="4"/>
  </w:num>
  <w:num w:numId="14" w16cid:durableId="598949550">
    <w:abstractNumId w:val="30"/>
  </w:num>
  <w:num w:numId="15" w16cid:durableId="1462267607">
    <w:abstractNumId w:val="34"/>
  </w:num>
  <w:num w:numId="16" w16cid:durableId="1328096072">
    <w:abstractNumId w:val="20"/>
  </w:num>
  <w:num w:numId="17" w16cid:durableId="832724012">
    <w:abstractNumId w:val="7"/>
  </w:num>
  <w:num w:numId="18" w16cid:durableId="299575357">
    <w:abstractNumId w:val="29"/>
  </w:num>
  <w:num w:numId="19" w16cid:durableId="1886599792">
    <w:abstractNumId w:val="1"/>
  </w:num>
  <w:num w:numId="20" w16cid:durableId="2070373854">
    <w:abstractNumId w:val="33"/>
  </w:num>
  <w:num w:numId="21" w16cid:durableId="1444227019">
    <w:abstractNumId w:val="28"/>
  </w:num>
  <w:num w:numId="22" w16cid:durableId="1120342050">
    <w:abstractNumId w:val="0"/>
  </w:num>
  <w:num w:numId="23" w16cid:durableId="637222596">
    <w:abstractNumId w:val="19"/>
  </w:num>
  <w:num w:numId="24" w16cid:durableId="293297462">
    <w:abstractNumId w:val="12"/>
  </w:num>
  <w:num w:numId="25" w16cid:durableId="61028501">
    <w:abstractNumId w:val="27"/>
  </w:num>
  <w:num w:numId="26" w16cid:durableId="391927260">
    <w:abstractNumId w:val="9"/>
  </w:num>
  <w:num w:numId="27" w16cid:durableId="1558468825">
    <w:abstractNumId w:val="14"/>
  </w:num>
  <w:num w:numId="28" w16cid:durableId="1875846216">
    <w:abstractNumId w:val="10"/>
  </w:num>
  <w:num w:numId="29" w16cid:durableId="698941702">
    <w:abstractNumId w:val="2"/>
  </w:num>
  <w:num w:numId="30" w16cid:durableId="1969507117">
    <w:abstractNumId w:val="32"/>
  </w:num>
  <w:num w:numId="31" w16cid:durableId="1446774435">
    <w:abstractNumId w:val="5"/>
  </w:num>
  <w:num w:numId="32" w16cid:durableId="420176659">
    <w:abstractNumId w:val="5"/>
  </w:num>
  <w:num w:numId="33" w16cid:durableId="1530219262">
    <w:abstractNumId w:val="5"/>
  </w:num>
  <w:num w:numId="34" w16cid:durableId="562447511">
    <w:abstractNumId w:val="5"/>
  </w:num>
  <w:num w:numId="35" w16cid:durableId="1245720338">
    <w:abstractNumId w:val="36"/>
  </w:num>
  <w:num w:numId="36" w16cid:durableId="269817678">
    <w:abstractNumId w:val="17"/>
  </w:num>
  <w:num w:numId="37" w16cid:durableId="1959947219">
    <w:abstractNumId w:val="16"/>
  </w:num>
  <w:num w:numId="38" w16cid:durableId="18520681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1466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7049584">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1857049">
    <w:abstractNumId w:val="35"/>
  </w:num>
  <w:num w:numId="42" w16cid:durableId="479738104">
    <w:abstractNumId w:val="31"/>
  </w:num>
  <w:num w:numId="43" w16cid:durableId="182963494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Mbc0NDI3MrWwMDNT0lEKTi0uzszPAykwqgUAFGep+iwAAAA="/>
  </w:docVars>
  <w:rsids>
    <w:rsidRoot w:val="006B1EE9"/>
    <w:rsid w:val="000005DA"/>
    <w:rsid w:val="000007A2"/>
    <w:rsid w:val="00000B42"/>
    <w:rsid w:val="0000100E"/>
    <w:rsid w:val="00002593"/>
    <w:rsid w:val="00003054"/>
    <w:rsid w:val="000031F2"/>
    <w:rsid w:val="00004727"/>
    <w:rsid w:val="000070ED"/>
    <w:rsid w:val="000106B5"/>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27331"/>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077C"/>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0D77"/>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6F3C"/>
    <w:rsid w:val="00551DE0"/>
    <w:rsid w:val="00553B3C"/>
    <w:rsid w:val="00557754"/>
    <w:rsid w:val="005600FD"/>
    <w:rsid w:val="00561A23"/>
    <w:rsid w:val="00564B67"/>
    <w:rsid w:val="005671E9"/>
    <w:rsid w:val="00567357"/>
    <w:rsid w:val="00567B60"/>
    <w:rsid w:val="0057109C"/>
    <w:rsid w:val="00576FA5"/>
    <w:rsid w:val="00577629"/>
    <w:rsid w:val="005813BE"/>
    <w:rsid w:val="0058152C"/>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541C"/>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66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1A0D"/>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13F9D"/>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247"/>
    <w:rsid w:val="00890386"/>
    <w:rsid w:val="00892EDB"/>
    <w:rsid w:val="00893447"/>
    <w:rsid w:val="00895081"/>
    <w:rsid w:val="008A5E9E"/>
    <w:rsid w:val="008B08F5"/>
    <w:rsid w:val="008B105E"/>
    <w:rsid w:val="008B50D4"/>
    <w:rsid w:val="008C06F7"/>
    <w:rsid w:val="008C28ED"/>
    <w:rsid w:val="008C2C63"/>
    <w:rsid w:val="008C37E8"/>
    <w:rsid w:val="008D0589"/>
    <w:rsid w:val="008D14AA"/>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0C71"/>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578"/>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3FB2"/>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5556"/>
    <w:rsid w:val="00AF6F82"/>
    <w:rsid w:val="00B00586"/>
    <w:rsid w:val="00B013E4"/>
    <w:rsid w:val="00B03906"/>
    <w:rsid w:val="00B0599E"/>
    <w:rsid w:val="00B06791"/>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4D0"/>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154B"/>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5451"/>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7CC"/>
    <w:rsid w:val="00F77ECA"/>
    <w:rsid w:val="00F80D92"/>
    <w:rsid w:val="00F836D7"/>
    <w:rsid w:val="00F84216"/>
    <w:rsid w:val="00F856BF"/>
    <w:rsid w:val="00F87485"/>
    <w:rsid w:val="00F939D2"/>
    <w:rsid w:val="00F94555"/>
    <w:rsid w:val="00F947CC"/>
    <w:rsid w:val="00F9570F"/>
    <w:rsid w:val="00F95DF4"/>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C71"/>
    <w:rPr>
      <w:rFonts w:ascii="Times New Roman" w:eastAsia="Times" w:hAnsi="Times New Roman"/>
      <w:color w:val="000000"/>
      <w:sz w:val="24"/>
      <w:szCs w:val="20"/>
      <w:lang w:val="en-US" w:eastAsia="en-GB"/>
    </w:rPr>
  </w:style>
  <w:style w:type="paragraph" w:styleId="Heading1">
    <w:name w:val="heading 1"/>
    <w:basedOn w:val="Normal"/>
    <w:next w:val="Normal"/>
    <w:link w:val="Heading1Char"/>
    <w:qFormat/>
    <w:locked/>
    <w:rsid w:val="00E735D1"/>
    <w:pPr>
      <w:keepNext/>
      <w:keepLines/>
      <w:suppressAutoHyphens/>
      <w:spacing w:before="480" w:after="240"/>
      <w:jc w:val="both"/>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line="276" w:lineRule="auto"/>
      <w:jc w:val="both"/>
      <w:outlineLvl w:val="2"/>
    </w:pPr>
    <w:rPr>
      <w:rFonts w:asciiTheme="majorHAnsi" w:eastAsiaTheme="majorEastAsia" w:hAnsiTheme="majorHAnsi" w:cstheme="majorBidi"/>
      <w:b/>
      <w:color w:val="0000DC"/>
      <w:szCs w:val="24"/>
      <w:lang w:eastAsia="cs-CZ"/>
    </w:rPr>
  </w:style>
  <w:style w:type="paragraph" w:styleId="Heading4">
    <w:name w:val="heading 4"/>
    <w:basedOn w:val="Normal"/>
    <w:next w:val="Normal"/>
    <w:link w:val="Heading4Char"/>
    <w:unhideWhenUsed/>
    <w:qFormat/>
    <w:locked/>
    <w:rsid w:val="001C59BA"/>
    <w:pPr>
      <w:keepNext/>
      <w:keepLines/>
      <w:spacing w:before="120" w:after="120" w:line="276" w:lineRule="auto"/>
      <w:jc w:val="both"/>
      <w:outlineLvl w:val="3"/>
    </w:pPr>
    <w:rPr>
      <w:rFonts w:asciiTheme="majorHAnsi" w:eastAsiaTheme="majorEastAsia" w:hAnsiTheme="majorHAnsi" w:cstheme="majorBidi"/>
      <w:b/>
      <w:iCs/>
      <w:color w:val="0000DC"/>
      <w:sz w:val="20"/>
      <w:szCs w:val="22"/>
      <w:lang w:eastAsia="cs-CZ"/>
    </w:rPr>
  </w:style>
  <w:style w:type="paragraph" w:styleId="Heading5">
    <w:name w:val="heading 5"/>
    <w:basedOn w:val="Normal"/>
    <w:next w:val="Normal"/>
    <w:link w:val="Heading5Char"/>
    <w:unhideWhenUsed/>
    <w:locked/>
    <w:rsid w:val="00C72196"/>
    <w:pPr>
      <w:keepNext/>
      <w:keepLines/>
      <w:spacing w:before="40" w:line="276" w:lineRule="auto"/>
      <w:jc w:val="both"/>
      <w:outlineLvl w:val="4"/>
    </w:pPr>
    <w:rPr>
      <w:rFonts w:asciiTheme="majorHAnsi" w:eastAsiaTheme="majorEastAsia" w:hAnsiTheme="majorHAnsi" w:cstheme="majorBidi"/>
      <w:color w:val="0000DC"/>
      <w:sz w:val="20"/>
      <w:szCs w:val="22"/>
      <w:lang w:eastAsia="cs-CZ"/>
    </w:rPr>
  </w:style>
  <w:style w:type="paragraph" w:styleId="Heading6">
    <w:name w:val="heading 6"/>
    <w:basedOn w:val="Normal"/>
    <w:next w:val="Normal"/>
    <w:link w:val="Heading6Char"/>
    <w:unhideWhenUsed/>
    <w:locked/>
    <w:rsid w:val="00C72196"/>
    <w:pPr>
      <w:keepNext/>
      <w:keepLines/>
      <w:spacing w:before="40" w:line="276" w:lineRule="auto"/>
      <w:jc w:val="both"/>
      <w:outlineLvl w:val="5"/>
    </w:pPr>
    <w:rPr>
      <w:rFonts w:asciiTheme="majorHAnsi" w:eastAsiaTheme="majorEastAsia" w:hAnsiTheme="majorHAnsi" w:cstheme="majorBidi"/>
      <w:color w:val="0000DC"/>
      <w:sz w:val="20"/>
      <w:szCs w:val="22"/>
      <w:lang w:eastAsia="cs-CZ"/>
    </w:rPr>
  </w:style>
  <w:style w:type="paragraph" w:styleId="Heading7">
    <w:name w:val="heading 7"/>
    <w:basedOn w:val="Normal"/>
    <w:next w:val="Normal"/>
    <w:link w:val="Heading7Char"/>
    <w:unhideWhenUsed/>
    <w:locked/>
    <w:rsid w:val="00C72196"/>
    <w:pPr>
      <w:keepNext/>
      <w:keepLines/>
      <w:spacing w:before="40" w:line="276" w:lineRule="auto"/>
      <w:jc w:val="both"/>
      <w:outlineLvl w:val="6"/>
    </w:pPr>
    <w:rPr>
      <w:rFonts w:asciiTheme="majorHAnsi" w:eastAsiaTheme="majorEastAsia" w:hAnsiTheme="majorHAnsi" w:cstheme="majorBidi"/>
      <w:i/>
      <w:iCs/>
      <w:color w:val="0000DC"/>
      <w:sz w:val="20"/>
      <w:szCs w:val="22"/>
      <w:lang w:eastAsia="cs-CZ"/>
    </w:rPr>
  </w:style>
  <w:style w:type="paragraph" w:styleId="Heading8">
    <w:name w:val="heading 8"/>
    <w:basedOn w:val="Normal"/>
    <w:next w:val="Normal"/>
    <w:link w:val="Heading8Char"/>
    <w:unhideWhenUsed/>
    <w:qFormat/>
    <w:locked/>
    <w:rsid w:val="00F04729"/>
    <w:pPr>
      <w:keepNext/>
      <w:keepLines/>
      <w:spacing w:before="40" w:line="276" w:lineRule="auto"/>
      <w:jc w:val="both"/>
      <w:outlineLvl w:val="7"/>
    </w:pPr>
    <w:rPr>
      <w:rFonts w:asciiTheme="majorHAnsi" w:eastAsiaTheme="majorEastAsia" w:hAnsiTheme="majorHAnsi" w:cstheme="majorBidi"/>
      <w:color w:val="272727" w:themeColor="text1" w:themeTint="D8"/>
      <w:sz w:val="21"/>
      <w:szCs w:val="21"/>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pPr>
    <w:rPr>
      <w:rFonts w:ascii="Arial" w:eastAsiaTheme="minorHAnsi" w:hAnsi="Arial" w:cstheme="minorBidi"/>
      <w:color w:val="auto"/>
      <w:sz w:val="20"/>
      <w:szCs w:val="22"/>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jc w:val="both"/>
    </w:pPr>
    <w:rPr>
      <w:rFonts w:ascii="Arial" w:eastAsia="MS Mincho" w:hAnsi="Arial"/>
      <w:color w:val="auto"/>
      <w:sz w:val="20"/>
      <w:szCs w:val="22"/>
      <w:lang w:eastAsia="cs-CZ"/>
    </w:r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jc w:val="both"/>
    </w:pPr>
    <w:rPr>
      <w:rFonts w:ascii="Arial" w:eastAsia="MS Mincho" w:hAnsi="Arial" w:cs="Arial"/>
      <w:color w:val="0000DC"/>
      <w:sz w:val="16"/>
      <w:szCs w:val="16"/>
      <w:lang w:eastAsia="cs-CZ"/>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after="200"/>
      <w:jc w:val="both"/>
    </w:pPr>
    <w:rPr>
      <w:rFonts w:ascii="Arial" w:eastAsia="MS Mincho" w:hAnsi="Arial"/>
      <w:color w:val="auto"/>
      <w:sz w:val="20"/>
      <w:lang w:eastAsia="cs-CZ"/>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jc w:val="both"/>
    </w:pPr>
    <w:rPr>
      <w:rFonts w:ascii="Tahoma" w:eastAsia="MS Mincho" w:hAnsi="Tahoma" w:cs="Tahoma"/>
      <w:color w:val="auto"/>
      <w:sz w:val="16"/>
      <w:szCs w:val="16"/>
      <w:lang w:eastAsia="cs-CZ"/>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contextualSpacing/>
      <w:jc w:val="both"/>
    </w:pPr>
    <w:rPr>
      <w:rFonts w:asciiTheme="majorHAnsi" w:eastAsiaTheme="majorEastAsia" w:hAnsiTheme="majorHAnsi" w:cstheme="majorBidi"/>
      <w:color w:val="auto"/>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jc w:val="both"/>
    </w:pPr>
    <w:rPr>
      <w:rFonts w:ascii="Arial" w:eastAsiaTheme="minorHAnsi" w:hAnsi="Arial" w:cstheme="minorBidi"/>
      <w:color w:val="auto"/>
      <w:sz w:val="20"/>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jc w:val="both"/>
    </w:pPr>
    <w:rPr>
      <w:rFonts w:ascii="Arial" w:eastAsia="Times New Roman" w:hAnsi="Arial"/>
      <w:color w:val="auto"/>
      <w:szCs w:val="24"/>
      <w:lang w:eastAsia="cs-CZ"/>
    </w:rPr>
  </w:style>
  <w:style w:type="paragraph" w:styleId="FootnoteText">
    <w:name w:val="footnote text"/>
    <w:basedOn w:val="Normal"/>
    <w:link w:val="FootnoteTextChar"/>
    <w:qFormat/>
    <w:rsid w:val="00115D56"/>
    <w:pPr>
      <w:tabs>
        <w:tab w:val="left" w:pos="284"/>
      </w:tabs>
      <w:suppressAutoHyphens/>
      <w:spacing w:line="240" w:lineRule="exact"/>
      <w:ind w:left="113" w:hanging="113"/>
      <w:jc w:val="both"/>
    </w:pPr>
    <w:rPr>
      <w:rFonts w:asciiTheme="majorHAnsi" w:eastAsia="SimSun" w:hAnsiTheme="majorHAnsi"/>
      <w:color w:val="000000" w:themeColor="text1"/>
      <w:sz w:val="16"/>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after="200"/>
      <w:jc w:val="both"/>
    </w:pPr>
    <w:rPr>
      <w:rFonts w:ascii="Arial" w:eastAsia="MS Mincho" w:hAnsi="Arial"/>
      <w:i/>
      <w:iCs/>
      <w:color w:val="1F497D" w:themeColor="text2"/>
      <w:sz w:val="18"/>
      <w:szCs w:val="18"/>
      <w:lang w:eastAsia="cs-CZ"/>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line="276" w:lineRule="auto"/>
      <w:ind w:left="864" w:right="864"/>
      <w:jc w:val="center"/>
    </w:pPr>
    <w:rPr>
      <w:rFonts w:ascii="Arial" w:eastAsia="MS Mincho" w:hAnsi="Arial"/>
      <w:i/>
      <w:iCs/>
      <w:color w:val="0000DC"/>
      <w:sz w:val="20"/>
      <w:szCs w:val="22"/>
      <w:lang w:eastAsia="cs-CZ"/>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pPr>
    <w:rPr>
      <w:rFonts w:ascii="Arial" w:eastAsiaTheme="minorHAnsi" w:hAnsi="Arial" w:cstheme="minorBidi"/>
      <w:bCs/>
      <w:color w:val="auto"/>
      <w:sz w:val="20"/>
      <w:szCs w:val="22"/>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line="240" w:lineRule="exact"/>
    </w:pPr>
    <w:rPr>
      <w:rFonts w:ascii="Arial" w:eastAsiaTheme="minorHAnsi" w:hAnsi="Arial" w:cs="Arial"/>
      <w:b/>
      <w:color w:val="0000DC"/>
      <w:sz w:val="16"/>
      <w:szCs w:val="16"/>
      <w:lang w:eastAsia="en-US"/>
    </w:rPr>
  </w:style>
  <w:style w:type="paragraph" w:customStyle="1" w:styleId="Nzevdokumentu">
    <w:name w:val="Název dokumentu"/>
    <w:basedOn w:val="Normal"/>
    <w:qFormat/>
    <w:rsid w:val="00DB1743"/>
    <w:pPr>
      <w:spacing w:after="200" w:line="640" w:lineRule="exact"/>
      <w:jc w:val="both"/>
    </w:pPr>
    <w:rPr>
      <w:rFonts w:ascii="Arial" w:eastAsia="MS Mincho" w:hAnsi="Arial"/>
      <w:b/>
      <w:color w:val="0000DC"/>
      <w:sz w:val="52"/>
      <w:szCs w:val="52"/>
      <w:lang w:eastAsia="cs-CZ"/>
    </w:rPr>
  </w:style>
  <w:style w:type="paragraph" w:customStyle="1" w:styleId="Podtituldokumentu">
    <w:name w:val="Podtitul dokumentu"/>
    <w:basedOn w:val="Normal"/>
    <w:qFormat/>
    <w:rsid w:val="00EB2CFA"/>
    <w:pPr>
      <w:spacing w:after="200" w:line="276" w:lineRule="auto"/>
      <w:jc w:val="both"/>
    </w:pPr>
    <w:rPr>
      <w:rFonts w:ascii="Arial" w:eastAsia="MS Mincho" w:hAnsi="Arial"/>
      <w:color w:val="0000DC"/>
      <w:sz w:val="52"/>
      <w:szCs w:val="52"/>
      <w:lang w:eastAsia="cs-CZ"/>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line="276" w:lineRule="auto"/>
      <w:ind w:left="397" w:hanging="397"/>
      <w:jc w:val="both"/>
    </w:pPr>
    <w:rPr>
      <w:rFonts w:ascii="Arial" w:eastAsia="MS Mincho" w:hAnsi="Arial"/>
      <w:color w:val="auto"/>
      <w:sz w:val="20"/>
      <w:szCs w:val="22"/>
      <w:lang w:eastAsia="cs-CZ"/>
    </w:rPr>
  </w:style>
  <w:style w:type="paragraph" w:styleId="TOC2">
    <w:name w:val="toc 2"/>
    <w:basedOn w:val="Normal"/>
    <w:next w:val="Normal"/>
    <w:autoRedefine/>
    <w:uiPriority w:val="39"/>
    <w:locked/>
    <w:rsid w:val="001D7C1D"/>
    <w:pPr>
      <w:tabs>
        <w:tab w:val="left" w:pos="993"/>
        <w:tab w:val="right" w:leader="dot" w:pos="9174"/>
      </w:tabs>
      <w:spacing w:after="120"/>
      <w:ind w:left="964" w:hanging="567"/>
      <w:jc w:val="both"/>
    </w:pPr>
    <w:rPr>
      <w:rFonts w:ascii="Arial" w:eastAsia="MS Mincho" w:hAnsi="Arial"/>
      <w:noProof/>
      <w:color w:val="auto"/>
      <w:sz w:val="20"/>
      <w:szCs w:val="22"/>
      <w:lang w:eastAsia="cs-CZ"/>
    </w:rPr>
  </w:style>
  <w:style w:type="paragraph" w:styleId="TOC3">
    <w:name w:val="toc 3"/>
    <w:basedOn w:val="Normal"/>
    <w:next w:val="Normal"/>
    <w:autoRedefine/>
    <w:uiPriority w:val="39"/>
    <w:locked/>
    <w:rsid w:val="00880A53"/>
    <w:pPr>
      <w:tabs>
        <w:tab w:val="right" w:leader="dot" w:pos="9174"/>
      </w:tabs>
      <w:spacing w:after="120"/>
      <w:ind w:left="1276"/>
      <w:jc w:val="both"/>
    </w:pPr>
    <w:rPr>
      <w:rFonts w:ascii="Arial" w:eastAsia="MS Mincho" w:hAnsi="Arial"/>
      <w:noProof/>
      <w:color w:val="auto"/>
      <w:sz w:val="20"/>
      <w:szCs w:val="22"/>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line="276" w:lineRule="auto"/>
      <w:ind w:left="2124"/>
      <w:jc w:val="both"/>
    </w:pPr>
    <w:rPr>
      <w:rFonts w:ascii="Arial" w:eastAsia="MS Mincho" w:hAnsi="Arial"/>
      <w:noProof/>
      <w:color w:val="auto"/>
      <w:sz w:val="20"/>
      <w:szCs w:val="22"/>
      <w:lang w:eastAsia="ar-SA"/>
    </w:rPr>
  </w:style>
  <w:style w:type="paragraph" w:customStyle="1" w:styleId="Obrzeknebografnastedspopiskem">
    <w:name w:val="Obrázek nebo graf na střed s popiskem"/>
    <w:basedOn w:val="Normal"/>
    <w:qFormat/>
    <w:rsid w:val="00AA27A4"/>
    <w:pPr>
      <w:spacing w:after="200" w:line="276" w:lineRule="auto"/>
      <w:jc w:val="center"/>
    </w:pPr>
    <w:rPr>
      <w:rFonts w:ascii="Arial" w:eastAsia="MS Mincho" w:hAnsi="Arial"/>
      <w:i/>
      <w:noProof/>
      <w:color w:val="auto"/>
      <w:sz w:val="18"/>
      <w:szCs w:val="22"/>
      <w:lang w:eastAsia="cs-CZ"/>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line="276" w:lineRule="auto"/>
      <w:jc w:val="both"/>
    </w:pPr>
    <w:rPr>
      <w:rFonts w:ascii="Arial" w:eastAsiaTheme="minorEastAsia" w:hAnsi="Arial" w:cstheme="minorBidi"/>
      <w:color w:val="000000" w:themeColor="text1"/>
      <w:spacing w:val="15"/>
      <w:sz w:val="22"/>
      <w:szCs w:val="22"/>
      <w:lang w:eastAsia="cs-CZ"/>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78325090">
      <w:bodyDiv w:val="1"/>
      <w:marLeft w:val="0"/>
      <w:marRight w:val="0"/>
      <w:marTop w:val="0"/>
      <w:marBottom w:val="0"/>
      <w:divBdr>
        <w:top w:val="none" w:sz="0" w:space="0" w:color="auto"/>
        <w:left w:val="none" w:sz="0" w:space="0" w:color="auto"/>
        <w:bottom w:val="none" w:sz="0" w:space="0" w:color="auto"/>
        <w:right w:val="none" w:sz="0" w:space="0" w:color="auto"/>
      </w:divBdr>
      <w:divsChild>
        <w:div w:id="1064910662">
          <w:marLeft w:val="0"/>
          <w:marRight w:val="0"/>
          <w:marTop w:val="0"/>
          <w:marBottom w:val="0"/>
          <w:divBdr>
            <w:top w:val="none" w:sz="0" w:space="0" w:color="auto"/>
            <w:left w:val="none" w:sz="0" w:space="0" w:color="auto"/>
            <w:bottom w:val="none" w:sz="0" w:space="0" w:color="auto"/>
            <w:right w:val="none" w:sz="0" w:space="0" w:color="auto"/>
          </w:divBdr>
        </w:div>
      </w:divsChild>
    </w:div>
    <w:div w:id="420183216">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73283204">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6BCA3A5965F72478106BF84B6303C52" ma:contentTypeVersion="4" ma:contentTypeDescription="Vytvoří nový dokument" ma:contentTypeScope="" ma:versionID="eb684b9cd44707b7915c1179543393e5">
  <xsd:schema xmlns:xsd="http://www.w3.org/2001/XMLSchema" xmlns:xs="http://www.w3.org/2001/XMLSchema" xmlns:p="http://schemas.microsoft.com/office/2006/metadata/properties" xmlns:ns2="43a42a8f-c777-4557-8883-d25198a7ae98" targetNamespace="http://schemas.microsoft.com/office/2006/metadata/properties" ma:root="true" ma:fieldsID="bc76cb1345924d55cf7b633fce80cb49" ns2:_="">
    <xsd:import namespace="43a42a8f-c777-4557-8883-d25198a7ae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2a8f-c777-4557-8883-d25198a7a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2E5A84D5-CCD5-411F-980B-AB87A5BA7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42a8f-c777-4557-8883-d25198a7a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econ_hlavickovy_papir_en_barva.dotx</Template>
  <TotalTime>36</TotalTime>
  <Pages>2</Pages>
  <Words>755</Words>
  <Characters>4939</Characters>
  <Application>Microsoft Office Word</Application>
  <DocSecurity>0</DocSecurity>
  <Lines>74</Lines>
  <Paragraphs>46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7</cp:revision>
  <cp:lastPrinted>2022-03-01T13:39:00Z</cp:lastPrinted>
  <dcterms:created xsi:type="dcterms:W3CDTF">2022-03-01T22:38:00Z</dcterms:created>
  <dcterms:modified xsi:type="dcterms:W3CDTF">2024-09-21T11:22:00Z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0x010100F6BCA3A5965F72478106BF84B6303C52</vt:lpwstr>
  </property>
  <property fmtid="{D5CDD505-2E9C-101B-9397-08002B2CF9AE}" pid="3" name="GrammarlyDocumentId">
    <vt:lpwstr>df08527b0ba18c65f4140f5b4e6ab438cc45c278b5acdde45b27e1eb1a96f6b3</vt:lpwstr>
  </property>
</Properties>
</file>