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7B" w:rsidRDefault="001A0B7B" w:rsidP="004C0BEC">
      <w:pPr>
        <w:rPr>
          <w:lang w:val="en-US"/>
        </w:rPr>
      </w:pPr>
      <w:bookmarkStart w:id="0" w:name="_GoBack"/>
      <w:bookmarkEnd w:id="0"/>
    </w:p>
    <w:p w:rsidR="001A0B7B" w:rsidRDefault="001A0B7B" w:rsidP="001A0B7B"/>
    <w:p w:rsidR="001A0B7B" w:rsidRDefault="001A0B7B" w:rsidP="001A0B7B"/>
    <w:p w:rsidR="001A0B7B" w:rsidRDefault="001A0B7B" w:rsidP="001A0B7B"/>
    <w:p w:rsidR="001A0B7B" w:rsidRDefault="001A0B7B" w:rsidP="001A0B7B"/>
    <w:p w:rsidR="001A0B7B" w:rsidRDefault="001A0B7B" w:rsidP="001A0B7B"/>
    <w:p w:rsidR="001A0B7B" w:rsidRDefault="001A0B7B" w:rsidP="001A0B7B"/>
    <w:p w:rsidR="001A0B7B" w:rsidRDefault="001A0B7B" w:rsidP="001A0B7B"/>
    <w:p w:rsidR="001A0B7B" w:rsidRPr="00F32A8B" w:rsidRDefault="001A0B7B" w:rsidP="001A0B7B"/>
    <w:p w:rsidR="001A0B7B" w:rsidRPr="00F32A8B" w:rsidRDefault="001A0B7B" w:rsidP="001A0B7B"/>
    <w:p w:rsidR="001A0B7B" w:rsidRPr="00F32A8B" w:rsidRDefault="001A0B7B" w:rsidP="001A0B7B"/>
    <w:p w:rsidR="001A0B7B" w:rsidRPr="00F32A8B" w:rsidRDefault="001A0B7B" w:rsidP="001A0B7B"/>
    <w:p w:rsidR="001A0B7B" w:rsidRPr="00F32A8B" w:rsidRDefault="001A0B7B" w:rsidP="001A0B7B"/>
    <w:p w:rsidR="008D4A07" w:rsidRDefault="008D4A07" w:rsidP="008D4A07">
      <w:pPr>
        <w:pStyle w:val="Nzev"/>
      </w:pPr>
    </w:p>
    <w:p w:rsidR="008D4A07" w:rsidRDefault="008D4A07" w:rsidP="008D4A07">
      <w:pPr>
        <w:pStyle w:val="Nzev"/>
        <w:jc w:val="center"/>
      </w:pPr>
      <w:r>
        <w:t xml:space="preserve">Detekce a prevence podvodů </w:t>
      </w:r>
    </w:p>
    <w:p w:rsidR="008D4A07" w:rsidRDefault="008D4A07" w:rsidP="008D4A07">
      <w:pPr>
        <w:pStyle w:val="Nzev"/>
        <w:jc w:val="center"/>
      </w:pPr>
      <w:r>
        <w:t>Optimalizace dopravy paliva</w:t>
      </w:r>
    </w:p>
    <w:p w:rsidR="008D4A07" w:rsidRDefault="008D4A07" w:rsidP="008D4A07"/>
    <w:p w:rsidR="008D4A07" w:rsidRDefault="008D4A07" w:rsidP="008D4A07"/>
    <w:p w:rsidR="008D4A07" w:rsidRPr="00A372FB" w:rsidRDefault="008D4A07" w:rsidP="008D4A07"/>
    <w:p w:rsidR="008D4A07" w:rsidRDefault="008D4A07" w:rsidP="008D4A07">
      <w:pPr>
        <w:jc w:val="center"/>
        <w:rPr>
          <w:rFonts w:asciiTheme="majorHAnsi" w:eastAsiaTheme="majorEastAsia" w:hAnsiTheme="majorHAnsi" w:cstheme="majorBidi"/>
          <w:i/>
          <w:iCs/>
          <w:color w:val="EA640D" w:themeColor="accent1"/>
          <w:spacing w:val="15"/>
          <w:sz w:val="24"/>
          <w:szCs w:val="24"/>
        </w:rPr>
      </w:pPr>
      <w:r w:rsidRPr="008D4A07">
        <w:rPr>
          <w:rFonts w:asciiTheme="majorHAnsi" w:eastAsiaTheme="majorEastAsia" w:hAnsiTheme="majorHAnsi" w:cstheme="majorBidi"/>
          <w:i/>
          <w:iCs/>
          <w:color w:val="EA640D" w:themeColor="accent1"/>
          <w:spacing w:val="15"/>
          <w:sz w:val="24"/>
          <w:szCs w:val="24"/>
        </w:rPr>
        <w:t xml:space="preserve">Nabídka společnosti </w:t>
      </w:r>
      <w:proofErr w:type="spellStart"/>
      <w:r w:rsidRPr="008D4A07">
        <w:rPr>
          <w:rFonts w:asciiTheme="majorHAnsi" w:eastAsiaTheme="majorEastAsia" w:hAnsiTheme="majorHAnsi" w:cstheme="majorBidi"/>
          <w:i/>
          <w:iCs/>
          <w:color w:val="EA640D" w:themeColor="accent1"/>
          <w:spacing w:val="15"/>
          <w:sz w:val="24"/>
          <w:szCs w:val="24"/>
        </w:rPr>
        <w:t>Mycroft</w:t>
      </w:r>
      <w:proofErr w:type="spellEnd"/>
      <w:r w:rsidRPr="008D4A07">
        <w:rPr>
          <w:rFonts w:asciiTheme="majorHAnsi" w:eastAsiaTheme="majorEastAsia" w:hAnsiTheme="majorHAnsi" w:cstheme="majorBidi"/>
          <w:i/>
          <w:iCs/>
          <w:color w:val="EA640D" w:themeColor="accent1"/>
          <w:spacing w:val="15"/>
          <w:sz w:val="24"/>
          <w:szCs w:val="24"/>
        </w:rPr>
        <w:t xml:space="preserve"> </w:t>
      </w:r>
      <w:proofErr w:type="spellStart"/>
      <w:r w:rsidRPr="008D4A07">
        <w:rPr>
          <w:rFonts w:asciiTheme="majorHAnsi" w:eastAsiaTheme="majorEastAsia" w:hAnsiTheme="majorHAnsi" w:cstheme="majorBidi"/>
          <w:i/>
          <w:iCs/>
          <w:color w:val="EA640D" w:themeColor="accent1"/>
          <w:spacing w:val="15"/>
          <w:sz w:val="24"/>
          <w:szCs w:val="24"/>
        </w:rPr>
        <w:t>Mind</w:t>
      </w:r>
      <w:proofErr w:type="spellEnd"/>
      <w:r w:rsidRPr="008D4A07">
        <w:rPr>
          <w:rFonts w:asciiTheme="majorHAnsi" w:eastAsiaTheme="majorEastAsia" w:hAnsiTheme="majorHAnsi" w:cstheme="majorBidi"/>
          <w:i/>
          <w:iCs/>
          <w:color w:val="EA640D" w:themeColor="accent1"/>
          <w:spacing w:val="15"/>
          <w:sz w:val="24"/>
          <w:szCs w:val="24"/>
        </w:rPr>
        <w:t>, a.s.</w:t>
      </w:r>
      <w:r>
        <w:rPr>
          <w:rFonts w:asciiTheme="majorHAnsi" w:eastAsiaTheme="majorEastAsia" w:hAnsiTheme="majorHAnsi" w:cstheme="majorBidi"/>
          <w:i/>
          <w:iCs/>
          <w:color w:val="EA640D" w:themeColor="accent1"/>
          <w:spacing w:val="15"/>
          <w:sz w:val="24"/>
          <w:szCs w:val="24"/>
        </w:rPr>
        <w:t xml:space="preserve"> </w:t>
      </w:r>
      <w:proofErr w:type="gramStart"/>
      <w:r>
        <w:rPr>
          <w:rFonts w:asciiTheme="majorHAnsi" w:eastAsiaTheme="majorEastAsia" w:hAnsiTheme="majorHAnsi" w:cstheme="majorBidi"/>
          <w:i/>
          <w:iCs/>
          <w:color w:val="EA640D" w:themeColor="accent1"/>
          <w:spacing w:val="15"/>
          <w:sz w:val="24"/>
          <w:szCs w:val="24"/>
        </w:rPr>
        <w:t>na</w:t>
      </w:r>
      <w:proofErr w:type="gramEnd"/>
    </w:p>
    <w:p w:rsidR="008D4A07" w:rsidRDefault="008D4A07" w:rsidP="008D4A07">
      <w:pPr>
        <w:jc w:val="center"/>
        <w:rPr>
          <w:rFonts w:asciiTheme="majorHAnsi" w:eastAsiaTheme="majorEastAsia" w:hAnsiTheme="majorHAnsi" w:cstheme="majorBidi"/>
          <w:i/>
          <w:iCs/>
          <w:color w:val="EA640D" w:themeColor="accent1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EA640D" w:themeColor="accent1"/>
          <w:spacing w:val="15"/>
          <w:sz w:val="24"/>
          <w:szCs w:val="24"/>
        </w:rPr>
        <w:t xml:space="preserve"> dodávku a implementaci řešení pro detekci a prevenci podvodů </w:t>
      </w:r>
      <w:r w:rsidR="00926E53">
        <w:rPr>
          <w:rFonts w:asciiTheme="majorHAnsi" w:eastAsiaTheme="majorEastAsia" w:hAnsiTheme="majorHAnsi" w:cstheme="majorBidi"/>
          <w:i/>
          <w:iCs/>
          <w:color w:val="EA640D" w:themeColor="accent1"/>
          <w:spacing w:val="15"/>
          <w:sz w:val="24"/>
          <w:szCs w:val="24"/>
        </w:rPr>
        <w:br/>
      </w:r>
      <w:r>
        <w:rPr>
          <w:rFonts w:asciiTheme="majorHAnsi" w:eastAsiaTheme="majorEastAsia" w:hAnsiTheme="majorHAnsi" w:cstheme="majorBidi"/>
          <w:i/>
          <w:iCs/>
          <w:color w:val="EA640D" w:themeColor="accent1"/>
          <w:spacing w:val="15"/>
          <w:sz w:val="24"/>
          <w:szCs w:val="24"/>
        </w:rPr>
        <w:t xml:space="preserve">při distribuci PHM </w:t>
      </w:r>
    </w:p>
    <w:p w:rsidR="008D4A07" w:rsidRPr="008D4A07" w:rsidRDefault="008D4A07" w:rsidP="008D4A07">
      <w:pPr>
        <w:jc w:val="center"/>
        <w:rPr>
          <w:rFonts w:asciiTheme="majorHAnsi" w:eastAsiaTheme="majorEastAsia" w:hAnsiTheme="majorHAnsi" w:cstheme="majorBidi"/>
          <w:i/>
          <w:iCs/>
          <w:color w:val="EA640D" w:themeColor="accent1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EA640D" w:themeColor="accent1"/>
          <w:spacing w:val="15"/>
          <w:sz w:val="24"/>
          <w:szCs w:val="24"/>
        </w:rPr>
        <w:t>a optimalizaci dopravy paliva na čerpací stanice</w:t>
      </w:r>
    </w:p>
    <w:p w:rsidR="001A0B7B" w:rsidRPr="00F32A8B" w:rsidRDefault="001A0B7B" w:rsidP="001A0B7B">
      <w:pPr>
        <w:jc w:val="center"/>
      </w:pPr>
    </w:p>
    <w:p w:rsidR="001A0B7B" w:rsidRPr="00F32A8B" w:rsidRDefault="001A0B7B" w:rsidP="001A0B7B"/>
    <w:p w:rsidR="001A0B7B" w:rsidRPr="00F32A8B" w:rsidRDefault="001A0B7B" w:rsidP="001A0B7B"/>
    <w:p w:rsidR="001A0B7B" w:rsidRDefault="001A0B7B" w:rsidP="001A0B7B">
      <w:pPr>
        <w:autoSpaceDE/>
        <w:autoSpaceDN/>
        <w:adjustRightInd/>
        <w:spacing w:after="200" w:line="276" w:lineRule="auto"/>
        <w:textAlignment w:val="auto"/>
        <w:rPr>
          <w:rFonts w:asciiTheme="majorHAnsi" w:eastAsiaTheme="majorEastAsia" w:hAnsiTheme="majorHAnsi" w:cstheme="majorBidi"/>
          <w:b/>
          <w:bCs/>
          <w:color w:val="EA640D" w:themeColor="accent1"/>
          <w:sz w:val="24"/>
        </w:rPr>
      </w:pPr>
      <w:r>
        <w:br w:type="page"/>
      </w:r>
    </w:p>
    <w:p w:rsidR="001A0B7B" w:rsidRDefault="001A0B7B" w:rsidP="00226FDB">
      <w:pPr>
        <w:pStyle w:val="Nadpis1"/>
        <w:keepNext w:val="0"/>
        <w:numPr>
          <w:ilvl w:val="0"/>
          <w:numId w:val="23"/>
        </w:numPr>
        <w:autoSpaceDE w:val="0"/>
        <w:autoSpaceDN w:val="0"/>
        <w:adjustRightInd w:val="0"/>
        <w:spacing w:line="288" w:lineRule="auto"/>
        <w:textAlignment w:val="center"/>
      </w:pPr>
      <w:bookmarkStart w:id="1" w:name="_Toc381000358"/>
      <w:r>
        <w:lastRenderedPageBreak/>
        <w:t>Obsah</w:t>
      </w:r>
      <w:bookmarkEnd w:id="1"/>
    </w:p>
    <w:p w:rsidR="009C6C0B" w:rsidRDefault="00A943BB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cs-CZ"/>
        </w:rPr>
      </w:pPr>
      <w:r w:rsidRPr="00A943BB">
        <w:fldChar w:fldCharType="begin"/>
      </w:r>
      <w:r w:rsidR="001A0B7B">
        <w:instrText xml:space="preserve"> TOC \o "1-3" \h \z \u </w:instrText>
      </w:r>
      <w:r w:rsidRPr="00A943BB">
        <w:fldChar w:fldCharType="separate"/>
      </w:r>
      <w:hyperlink w:anchor="_Toc381000358" w:history="1">
        <w:r w:rsidR="009C6C0B" w:rsidRPr="001D74A9">
          <w:rPr>
            <w:rStyle w:val="Hypertextovodkaz"/>
            <w:noProof/>
          </w:rPr>
          <w:t>1.</w:t>
        </w:r>
        <w:r w:rsidR="009C6C0B">
          <w:rPr>
            <w:rFonts w:asciiTheme="minorHAnsi" w:eastAsiaTheme="minorEastAsia" w:hAnsiTheme="minorHAnsi" w:cstheme="minorBidi"/>
            <w:noProof/>
            <w:color w:val="auto"/>
            <w:szCs w:val="22"/>
            <w:lang w:eastAsia="cs-CZ"/>
          </w:rPr>
          <w:tab/>
        </w:r>
        <w:r w:rsidR="009C6C0B" w:rsidRPr="001D74A9">
          <w:rPr>
            <w:rStyle w:val="Hypertextovodkaz"/>
            <w:noProof/>
          </w:rPr>
          <w:t>Obsah</w:t>
        </w:r>
        <w:r w:rsidR="009C6C0B">
          <w:rPr>
            <w:noProof/>
            <w:webHidden/>
          </w:rPr>
          <w:tab/>
        </w:r>
        <w:r w:rsidR="009C6C0B">
          <w:rPr>
            <w:noProof/>
            <w:webHidden/>
          </w:rPr>
          <w:fldChar w:fldCharType="begin"/>
        </w:r>
        <w:r w:rsidR="009C6C0B">
          <w:rPr>
            <w:noProof/>
            <w:webHidden/>
          </w:rPr>
          <w:instrText xml:space="preserve"> PAGEREF _Toc381000358 \h </w:instrText>
        </w:r>
        <w:r w:rsidR="009C6C0B">
          <w:rPr>
            <w:noProof/>
            <w:webHidden/>
          </w:rPr>
        </w:r>
        <w:r w:rsidR="009C6C0B">
          <w:rPr>
            <w:noProof/>
            <w:webHidden/>
          </w:rPr>
          <w:fldChar w:fldCharType="separate"/>
        </w:r>
        <w:r w:rsidR="009C6C0B">
          <w:rPr>
            <w:noProof/>
            <w:webHidden/>
          </w:rPr>
          <w:t>2</w:t>
        </w:r>
        <w:r w:rsidR="009C6C0B">
          <w:rPr>
            <w:noProof/>
            <w:webHidden/>
          </w:rPr>
          <w:fldChar w:fldCharType="end"/>
        </w:r>
      </w:hyperlink>
    </w:p>
    <w:p w:rsidR="009C6C0B" w:rsidRDefault="009C6C0B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cs-CZ"/>
        </w:rPr>
      </w:pPr>
      <w:hyperlink w:anchor="_Toc381000359" w:history="1">
        <w:r w:rsidRPr="001D74A9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  <w:szCs w:val="22"/>
            <w:lang w:eastAsia="cs-CZ"/>
          </w:rPr>
          <w:tab/>
        </w:r>
        <w:r w:rsidRPr="001D74A9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_Toc381000359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C6C0B" w:rsidRDefault="009C6C0B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cs-CZ"/>
        </w:rPr>
      </w:pPr>
      <w:hyperlink w:anchor="_Toc381000360" w:history="1">
        <w:r w:rsidRPr="001D74A9">
          <w:rPr>
            <w:rStyle w:val="Hypertextovodkaz"/>
            <w:noProof/>
            <w:lang w:val="en-US"/>
          </w:rPr>
          <w:t>3.</w:t>
        </w:r>
        <w:r>
          <w:rPr>
            <w:rFonts w:asciiTheme="minorHAnsi" w:eastAsiaTheme="minorEastAsia" w:hAnsiTheme="minorHAnsi" w:cstheme="minorBidi"/>
            <w:noProof/>
            <w:color w:val="auto"/>
            <w:szCs w:val="22"/>
            <w:lang w:eastAsia="cs-CZ"/>
          </w:rPr>
          <w:tab/>
        </w:r>
        <w:r w:rsidRPr="001D74A9">
          <w:rPr>
            <w:rStyle w:val="Hypertextovodkaz"/>
            <w:noProof/>
          </w:rPr>
          <w:t>Rozbor řešené problematiky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_Toc381000360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C6C0B" w:rsidRDefault="009C6C0B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cs-CZ"/>
        </w:rPr>
      </w:pPr>
      <w:hyperlink w:anchor="_Toc381000361" w:history="1">
        <w:r w:rsidRPr="001D74A9">
          <w:rPr>
            <w:rStyle w:val="Hypertextovodkaz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color w:val="auto"/>
            <w:szCs w:val="22"/>
            <w:lang w:eastAsia="cs-CZ"/>
          </w:rPr>
          <w:tab/>
        </w:r>
        <w:r w:rsidRPr="001D74A9">
          <w:rPr>
            <w:rStyle w:val="Hypertextovodkaz"/>
            <w:noProof/>
          </w:rPr>
          <w:t>Popis modelu optimalizace dopravy a zásob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_Toc381000361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C6C0B" w:rsidRDefault="009C6C0B">
      <w:pPr>
        <w:pStyle w:val="Obsah1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cs-CZ"/>
        </w:rPr>
      </w:pPr>
      <w:hyperlink w:anchor="_Toc381000362" w:history="1">
        <w:r w:rsidRPr="001D74A9">
          <w:rPr>
            <w:rStyle w:val="Hypertextovodkaz"/>
            <w:noProof/>
          </w:rPr>
          <w:t>3.1.1.</w:t>
        </w:r>
        <w:r>
          <w:rPr>
            <w:rFonts w:asciiTheme="minorHAnsi" w:eastAsiaTheme="minorEastAsia" w:hAnsiTheme="minorHAnsi" w:cstheme="minorBidi"/>
            <w:noProof/>
            <w:color w:val="auto"/>
            <w:szCs w:val="22"/>
            <w:lang w:eastAsia="cs-CZ"/>
          </w:rPr>
          <w:tab/>
        </w:r>
        <w:r w:rsidRPr="001D74A9">
          <w:rPr>
            <w:rStyle w:val="Hypertextovodkaz"/>
            <w:noProof/>
          </w:rPr>
          <w:t>Popis situace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_Toc381000362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C6C0B" w:rsidRDefault="009C6C0B">
      <w:pPr>
        <w:pStyle w:val="Obsah1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cs-CZ"/>
        </w:rPr>
      </w:pPr>
      <w:hyperlink w:anchor="_Toc381000363" w:history="1">
        <w:r w:rsidRPr="001D74A9">
          <w:rPr>
            <w:rStyle w:val="Hypertextovodkaz"/>
            <w:noProof/>
          </w:rPr>
          <w:t>3.1.2.</w:t>
        </w:r>
        <w:r>
          <w:rPr>
            <w:rFonts w:asciiTheme="minorHAnsi" w:eastAsiaTheme="minorEastAsia" w:hAnsiTheme="minorHAnsi" w:cstheme="minorBidi"/>
            <w:noProof/>
            <w:color w:val="auto"/>
            <w:szCs w:val="22"/>
            <w:lang w:eastAsia="cs-CZ"/>
          </w:rPr>
          <w:tab/>
        </w:r>
        <w:r w:rsidRPr="001D74A9">
          <w:rPr>
            <w:rStyle w:val="Hypertextovodkaz"/>
            <w:noProof/>
          </w:rPr>
          <w:t>Cíle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_Toc381000363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C6C0B" w:rsidRDefault="009C6C0B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cs-CZ"/>
        </w:rPr>
      </w:pPr>
      <w:hyperlink w:anchor="_Toc381000364" w:history="1">
        <w:r w:rsidRPr="001D74A9">
          <w:rPr>
            <w:rStyle w:val="Hypertextovodkaz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color w:val="auto"/>
            <w:szCs w:val="22"/>
            <w:lang w:eastAsia="cs-CZ"/>
          </w:rPr>
          <w:tab/>
        </w:r>
        <w:r w:rsidRPr="001D74A9">
          <w:rPr>
            <w:rStyle w:val="Hypertextovodkaz"/>
            <w:noProof/>
          </w:rPr>
          <w:t>Popis modelu detekce a prevence podvodů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_Toc381000364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C6C0B" w:rsidRDefault="009C6C0B">
      <w:pPr>
        <w:pStyle w:val="Obsah1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cs-CZ"/>
        </w:rPr>
      </w:pPr>
      <w:hyperlink w:anchor="_Toc381000365" w:history="1">
        <w:r w:rsidRPr="001D74A9">
          <w:rPr>
            <w:rStyle w:val="Hypertextovodkaz"/>
            <w:noProof/>
          </w:rPr>
          <w:t>3.2.1.</w:t>
        </w:r>
        <w:r>
          <w:rPr>
            <w:rFonts w:asciiTheme="minorHAnsi" w:eastAsiaTheme="minorEastAsia" w:hAnsiTheme="minorHAnsi" w:cstheme="minorBidi"/>
            <w:noProof/>
            <w:color w:val="auto"/>
            <w:szCs w:val="22"/>
            <w:lang w:eastAsia="cs-CZ"/>
          </w:rPr>
          <w:tab/>
        </w:r>
        <w:r w:rsidRPr="001D74A9">
          <w:rPr>
            <w:rStyle w:val="Hypertextovodkaz"/>
            <w:noProof/>
          </w:rPr>
          <w:t>Popis situace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_Toc381000365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6C0B" w:rsidRDefault="009C6C0B">
      <w:pPr>
        <w:pStyle w:val="Obsah1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cs-CZ"/>
        </w:rPr>
      </w:pPr>
      <w:hyperlink w:anchor="_Toc381000366" w:history="1">
        <w:r w:rsidRPr="001D74A9">
          <w:rPr>
            <w:rStyle w:val="Hypertextovodkaz"/>
            <w:noProof/>
          </w:rPr>
          <w:t>3.2.2.</w:t>
        </w:r>
        <w:r>
          <w:rPr>
            <w:rFonts w:asciiTheme="minorHAnsi" w:eastAsiaTheme="minorEastAsia" w:hAnsiTheme="minorHAnsi" w:cstheme="minorBidi"/>
            <w:noProof/>
            <w:color w:val="auto"/>
            <w:szCs w:val="22"/>
            <w:lang w:eastAsia="cs-CZ"/>
          </w:rPr>
          <w:tab/>
        </w:r>
        <w:r w:rsidRPr="001D74A9">
          <w:rPr>
            <w:rStyle w:val="Hypertextovodkaz"/>
            <w:noProof/>
          </w:rPr>
          <w:t>Cíle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_Toc381000366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6FDB" w:rsidRDefault="00A943BB" w:rsidP="00226FDB">
      <w:pPr>
        <w:pStyle w:val="Nadpis1"/>
        <w:keepNext w:val="0"/>
        <w:numPr>
          <w:ilvl w:val="0"/>
          <w:numId w:val="0"/>
        </w:numPr>
        <w:autoSpaceDE w:val="0"/>
        <w:autoSpaceDN w:val="0"/>
        <w:adjustRightInd w:val="0"/>
        <w:spacing w:line="288" w:lineRule="auto"/>
        <w:ind w:left="360"/>
        <w:textAlignment w:val="center"/>
        <w:rPr>
          <w:sz w:val="22"/>
        </w:rPr>
      </w:pPr>
      <w:r>
        <w:rPr>
          <w:sz w:val="22"/>
        </w:rPr>
        <w:fldChar w:fldCharType="end"/>
      </w:r>
      <w:bookmarkStart w:id="2" w:name="_Toc352917223"/>
      <w:bookmarkStart w:id="3" w:name="_Toc353265794"/>
    </w:p>
    <w:p w:rsidR="008D4A07" w:rsidRPr="00A372FB" w:rsidRDefault="008D4A07" w:rsidP="00226FDB">
      <w:pPr>
        <w:pStyle w:val="Nadpis1"/>
        <w:keepNext w:val="0"/>
        <w:numPr>
          <w:ilvl w:val="0"/>
          <w:numId w:val="23"/>
        </w:numPr>
        <w:autoSpaceDE w:val="0"/>
        <w:autoSpaceDN w:val="0"/>
        <w:adjustRightInd w:val="0"/>
        <w:spacing w:line="288" w:lineRule="auto"/>
        <w:textAlignment w:val="center"/>
      </w:pPr>
      <w:bookmarkStart w:id="4" w:name="_Toc381000359"/>
      <w:r w:rsidRPr="00A372FB">
        <w:t>Úvod</w:t>
      </w:r>
      <w:bookmarkEnd w:id="2"/>
      <w:bookmarkEnd w:id="3"/>
      <w:bookmarkEnd w:id="4"/>
    </w:p>
    <w:p w:rsidR="0095459F" w:rsidRDefault="008D4A07" w:rsidP="008D4A07">
      <w:r>
        <w:t xml:space="preserve">Dokument se zabývá </w:t>
      </w:r>
      <w:r w:rsidR="0095459F">
        <w:t>nabídkou řešení pro dvě oblasti</w:t>
      </w:r>
      <w:r>
        <w:t xml:space="preserve"> – detekcí podvodů a optimalizací zásobování palivy pro čerpací stani</w:t>
      </w:r>
      <w:r w:rsidR="0095459F">
        <w:t xml:space="preserve">ce.  V dokumentu jsou obě oblasti popsány a navrženo řešení, které umožní pokrýt stávající požadavky a je zároveň otevřené přirozenému dalšímu rozvoji. </w:t>
      </w:r>
    </w:p>
    <w:p w:rsidR="008D4A07" w:rsidRDefault="0095459F" w:rsidP="008D4A07">
      <w:pPr>
        <w:pStyle w:val="Nadpis1"/>
        <w:keepNext w:val="0"/>
        <w:numPr>
          <w:ilvl w:val="0"/>
          <w:numId w:val="23"/>
        </w:numPr>
        <w:autoSpaceDE w:val="0"/>
        <w:autoSpaceDN w:val="0"/>
        <w:adjustRightInd w:val="0"/>
        <w:spacing w:line="288" w:lineRule="auto"/>
        <w:textAlignment w:val="center"/>
        <w:rPr>
          <w:lang w:val="en-US"/>
        </w:rPr>
      </w:pPr>
      <w:bookmarkStart w:id="5" w:name="_Toc352917224"/>
      <w:bookmarkStart w:id="6" w:name="_Toc353265795"/>
      <w:bookmarkStart w:id="7" w:name="_Toc381000360"/>
      <w:r>
        <w:t>Rozbor řešené problematiky</w:t>
      </w:r>
      <w:bookmarkEnd w:id="7"/>
    </w:p>
    <w:p w:rsidR="008C13C4" w:rsidRPr="008C13C4" w:rsidRDefault="008C13C4" w:rsidP="008C13C4">
      <w:pPr>
        <w:rPr>
          <w:lang w:val="en-US"/>
        </w:rPr>
      </w:pPr>
      <w:r>
        <w:t xml:space="preserve">Kapitola se zabývá </w:t>
      </w:r>
      <w:r w:rsidR="0095459F">
        <w:t>rozborem</w:t>
      </w:r>
      <w:r w:rsidR="00042BEE">
        <w:t xml:space="preserve"> dvou témat: </w:t>
      </w:r>
      <w:r>
        <w:t>detekc</w:t>
      </w:r>
      <w:r w:rsidR="00732691">
        <w:t>e</w:t>
      </w:r>
      <w:r>
        <w:t xml:space="preserve"> podvodů při distribuci PHM a optimalizac</w:t>
      </w:r>
      <w:r w:rsidR="00732691">
        <w:t>e</w:t>
      </w:r>
      <w:r>
        <w:t xml:space="preserve"> zásob</w:t>
      </w:r>
      <w:r>
        <w:t>o</w:t>
      </w:r>
      <w:r>
        <w:t>vání palivy pro čerpací stanice</w:t>
      </w:r>
      <w:r w:rsidR="00732691">
        <w:t xml:space="preserve"> ve společnosti </w:t>
      </w:r>
      <w:r w:rsidR="00455225">
        <w:t>XYZ</w:t>
      </w:r>
      <w:r>
        <w:t xml:space="preserve">. V kapitolách </w:t>
      </w:r>
      <w:proofErr w:type="gramStart"/>
      <w:r w:rsidR="00A943BB">
        <w:fldChar w:fldCharType="begin"/>
      </w:r>
      <w:r>
        <w:instrText xml:space="preserve"> REF _Ref355620606 \r \h </w:instrText>
      </w:r>
      <w:r w:rsidR="00A943BB">
        <w:fldChar w:fldCharType="separate"/>
      </w:r>
      <w:r w:rsidR="00CC28B0">
        <w:t>4.1</w:t>
      </w:r>
      <w:r w:rsidR="00A943BB">
        <w:fldChar w:fldCharType="end"/>
      </w:r>
      <w:proofErr w:type="gramEnd"/>
      <w:r>
        <w:t xml:space="preserve"> a </w:t>
      </w:r>
      <w:r w:rsidR="00A943BB">
        <w:fldChar w:fldCharType="begin"/>
      </w:r>
      <w:r>
        <w:instrText xml:space="preserve"> REF _Ref355620632 \r \h </w:instrText>
      </w:r>
      <w:r w:rsidR="00A943BB">
        <w:fldChar w:fldCharType="separate"/>
      </w:r>
      <w:r w:rsidR="00CC28B0">
        <w:t>4.2</w:t>
      </w:r>
      <w:r w:rsidR="00A943BB">
        <w:fldChar w:fldCharType="end"/>
      </w:r>
      <w:r>
        <w:t xml:space="preserve"> jsou popsány konceptuální modely obou oblastí</w:t>
      </w:r>
      <w:r w:rsidR="00732691">
        <w:t>, v dalších kapitolách jsou popsány cíle a požadavky zadavatele.</w:t>
      </w:r>
      <w:r>
        <w:t xml:space="preserve"> </w:t>
      </w:r>
    </w:p>
    <w:p w:rsidR="008D4A07" w:rsidRDefault="008D4A07" w:rsidP="00226FDB">
      <w:pPr>
        <w:pStyle w:val="Nadpis1"/>
        <w:keepNext w:val="0"/>
        <w:numPr>
          <w:ilvl w:val="1"/>
          <w:numId w:val="23"/>
        </w:numPr>
        <w:autoSpaceDE w:val="0"/>
        <w:autoSpaceDN w:val="0"/>
        <w:adjustRightInd w:val="0"/>
        <w:spacing w:line="288" w:lineRule="auto"/>
        <w:textAlignment w:val="center"/>
      </w:pPr>
      <w:bookmarkStart w:id="8" w:name="_Ref355620606"/>
      <w:bookmarkStart w:id="9" w:name="_Toc381000361"/>
      <w:r w:rsidRPr="004E5599">
        <w:t>Popis modelu optimalizace dopravy a zásob</w:t>
      </w:r>
      <w:bookmarkEnd w:id="5"/>
      <w:bookmarkEnd w:id="6"/>
      <w:bookmarkEnd w:id="8"/>
      <w:bookmarkEnd w:id="9"/>
    </w:p>
    <w:p w:rsidR="008D4A07" w:rsidRPr="00843024" w:rsidRDefault="008D4A07" w:rsidP="008D4A07">
      <w:r>
        <w:t>Na následujícím diagramu jsou zobrazeny klíčové pojmy a vztahy, které s optimalizací dopravy a z</w:t>
      </w:r>
      <w:r>
        <w:t>á</w:t>
      </w:r>
      <w:r>
        <w:t xml:space="preserve">sob souvisejí. Model slouží pro rozbor </w:t>
      </w:r>
      <w:r w:rsidR="00C65E38">
        <w:t xml:space="preserve">současné </w:t>
      </w:r>
      <w:r>
        <w:t>situace</w:t>
      </w:r>
      <w:r w:rsidR="00C65E38">
        <w:t xml:space="preserve">, </w:t>
      </w:r>
      <w:r>
        <w:t>navrženého řešení a pro vymezení inform</w:t>
      </w:r>
      <w:r>
        <w:t>a</w:t>
      </w:r>
      <w:r>
        <w:t xml:space="preserve">cí, které by výsledné řešení čerpalo z existujících informačních systémů společnosti </w:t>
      </w:r>
      <w:r w:rsidR="00455225">
        <w:t>XYZ</w:t>
      </w:r>
      <w:r>
        <w:t>.</w:t>
      </w:r>
    </w:p>
    <w:p w:rsidR="008D4A07" w:rsidRDefault="008D4A07" w:rsidP="008D4A07">
      <w:pPr>
        <w:rPr>
          <w:b/>
          <w:bCs/>
          <w:color w:val="E9640D"/>
          <w:sz w:val="28"/>
          <w:szCs w:val="28"/>
        </w:rPr>
      </w:pPr>
    </w:p>
    <w:p w:rsidR="008D4A07" w:rsidRDefault="008D4A07" w:rsidP="008D4A07">
      <w:pPr>
        <w:rPr>
          <w:b/>
          <w:bCs/>
          <w:color w:val="E9640D"/>
          <w:sz w:val="28"/>
          <w:szCs w:val="28"/>
        </w:rPr>
      </w:pPr>
      <w:r w:rsidRPr="004E5599">
        <w:rPr>
          <w:b/>
          <w:bCs/>
          <w:noProof/>
          <w:color w:val="E9640D"/>
          <w:sz w:val="28"/>
          <w:szCs w:val="28"/>
          <w:lang w:eastAsia="cs-CZ"/>
        </w:rPr>
        <w:lastRenderedPageBreak/>
        <w:drawing>
          <wp:inline distT="0" distB="0" distL="0" distR="0">
            <wp:extent cx="5759450" cy="4136113"/>
            <wp:effectExtent l="19050" t="0" r="0" b="0"/>
            <wp:docPr id="9" name="Obrázek 1" descr="Optimalizace dopra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malizace doprav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3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A07" w:rsidRDefault="008D4A07" w:rsidP="008D4A07">
      <w:pPr>
        <w:rPr>
          <w:b/>
          <w:bCs/>
          <w:color w:val="E9640D"/>
          <w:sz w:val="28"/>
          <w:szCs w:val="28"/>
        </w:rPr>
      </w:pPr>
    </w:p>
    <w:p w:rsidR="008D4A07" w:rsidRDefault="008D4A07" w:rsidP="008D4A07">
      <w:pPr>
        <w:rPr>
          <w:b/>
          <w:bCs/>
          <w:color w:val="E9640D"/>
          <w:sz w:val="28"/>
          <w:szCs w:val="28"/>
        </w:rPr>
      </w:pPr>
    </w:p>
    <w:p w:rsidR="008D4A07" w:rsidRDefault="008D4A07" w:rsidP="008D4A07">
      <w:r w:rsidRPr="001C13FA">
        <w:rPr>
          <w:color w:val="00B0F0"/>
        </w:rPr>
        <w:t>Modře</w:t>
      </w:r>
      <w:r>
        <w:t xml:space="preserve"> jsou znázorněny subjekty, které hrají v distribučním modelu klíčovou roli, </w:t>
      </w:r>
      <w:r w:rsidRPr="00C75DF9">
        <w:rPr>
          <w:color w:val="FFC000"/>
        </w:rPr>
        <w:t>žlutě</w:t>
      </w:r>
      <w:r>
        <w:t xml:space="preserve"> ostatní relevan</w:t>
      </w:r>
      <w:r>
        <w:t>t</w:t>
      </w:r>
      <w:r>
        <w:t xml:space="preserve">ní informace a informace a </w:t>
      </w:r>
      <w:r w:rsidRPr="00C75DF9">
        <w:rPr>
          <w:color w:val="FF0000"/>
        </w:rPr>
        <w:t>červeně</w:t>
      </w:r>
      <w:r>
        <w:t xml:space="preserve"> parametry, kterými lze v současnosti ovlivňovat efektivitu distrib</w:t>
      </w:r>
      <w:r>
        <w:t>u</w:t>
      </w:r>
      <w:r>
        <w:t>ce paliva.</w:t>
      </w:r>
    </w:p>
    <w:p w:rsidR="008D4A07" w:rsidRDefault="008D4A07" w:rsidP="008D4A07">
      <w:pPr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8D4A07" w:rsidRDefault="008D4A07" w:rsidP="008D4A07">
      <w:pPr>
        <w:autoSpaceDE/>
        <w:autoSpaceDN/>
        <w:adjustRightInd/>
        <w:spacing w:after="200" w:line="276" w:lineRule="auto"/>
        <w:textAlignment w:val="auto"/>
      </w:pPr>
    </w:p>
    <w:p w:rsidR="008D4A07" w:rsidRDefault="008D4A07" w:rsidP="00226FDB">
      <w:pPr>
        <w:pStyle w:val="Nadpis1"/>
        <w:keepNext w:val="0"/>
        <w:numPr>
          <w:ilvl w:val="2"/>
          <w:numId w:val="23"/>
        </w:numPr>
        <w:autoSpaceDE w:val="0"/>
        <w:autoSpaceDN w:val="0"/>
        <w:adjustRightInd w:val="0"/>
        <w:spacing w:line="288" w:lineRule="auto"/>
        <w:textAlignment w:val="center"/>
      </w:pPr>
      <w:bookmarkStart w:id="10" w:name="_Toc352917225"/>
      <w:bookmarkStart w:id="11" w:name="_Toc353265796"/>
      <w:bookmarkStart w:id="12" w:name="_Toc381000362"/>
      <w:r>
        <w:t>Popis situace</w:t>
      </w:r>
      <w:bookmarkEnd w:id="10"/>
      <w:bookmarkEnd w:id="11"/>
      <w:bookmarkEnd w:id="12"/>
    </w:p>
    <w:p w:rsidR="008D4A07" w:rsidRDefault="008D4A07" w:rsidP="008D4A07">
      <w:pPr>
        <w:pStyle w:val="Odstavecseseznamem"/>
        <w:numPr>
          <w:ilvl w:val="0"/>
          <w:numId w:val="18"/>
        </w:numPr>
        <w:autoSpaceDE/>
        <w:autoSpaceDN/>
        <w:adjustRightInd/>
        <w:spacing w:after="200" w:line="276" w:lineRule="auto"/>
        <w:textAlignment w:val="auto"/>
      </w:pPr>
      <w:r w:rsidRPr="00ED5624">
        <w:t>Palivo je nakupováno od dodavatelů paliva (#Dodavatel paliva) a odebíráno z terminálů (#Term</w:t>
      </w:r>
      <w:r w:rsidRPr="00ED5624">
        <w:t>i</w:t>
      </w:r>
      <w:r w:rsidRPr="00ED5624">
        <w:t xml:space="preserve">nal). </w:t>
      </w:r>
    </w:p>
    <w:p w:rsidR="008D4A07" w:rsidRDefault="008D4A07" w:rsidP="008D4A07">
      <w:pPr>
        <w:pStyle w:val="Odstavecseseznamem"/>
        <w:numPr>
          <w:ilvl w:val="0"/>
          <w:numId w:val="18"/>
        </w:numPr>
        <w:autoSpaceDE/>
        <w:autoSpaceDN/>
        <w:adjustRightInd/>
        <w:spacing w:after="200" w:line="276" w:lineRule="auto"/>
        <w:textAlignment w:val="auto"/>
      </w:pPr>
      <w:r>
        <w:t xml:space="preserve"> S dodavateli paliva jsou sjednány a uzavřeny roční kontrakty, postavené na obdobných parame</w:t>
      </w:r>
      <w:r>
        <w:t>t</w:t>
      </w:r>
      <w:r>
        <w:t xml:space="preserve">rech. </w:t>
      </w:r>
      <w:r w:rsidRPr="00ED5624">
        <w:t>(#Parametr kontraktu).</w:t>
      </w:r>
      <w:r>
        <w:t xml:space="preserve"> Plnění kontraktů s dodavatelem je sledováno (vyhodnocováno) m</w:t>
      </w:r>
      <w:r>
        <w:t>ě</w:t>
      </w:r>
      <w:r>
        <w:t>síčně, nicméně bonifikace za dodržení deklarovaného odběru paliva případně penalizace za n</w:t>
      </w:r>
      <w:r>
        <w:t>e</w:t>
      </w:r>
      <w:r>
        <w:t>dodržení nejsou uplatňovány.</w:t>
      </w:r>
    </w:p>
    <w:p w:rsidR="008D4A07" w:rsidRDefault="008D4A07" w:rsidP="008D4A07">
      <w:pPr>
        <w:pStyle w:val="Odstavecseseznamem"/>
        <w:numPr>
          <w:ilvl w:val="0"/>
          <w:numId w:val="18"/>
        </w:numPr>
        <w:autoSpaceDE/>
        <w:autoSpaceDN/>
        <w:adjustRightInd/>
        <w:spacing w:after="200" w:line="276" w:lineRule="auto"/>
        <w:textAlignment w:val="auto"/>
      </w:pPr>
      <w:r w:rsidRPr="00ED5624">
        <w:t>Dodavatel paliva dopředu deklaruje ceny jednotlivých produktů na následující týden (#</w:t>
      </w:r>
      <w:proofErr w:type="spellStart"/>
      <w:r w:rsidRPr="00ED5624">
        <w:t>Deklarov</w:t>
      </w:r>
      <w:r w:rsidRPr="00ED5624">
        <w:t>a</w:t>
      </w:r>
      <w:r w:rsidRPr="00ED5624">
        <w:t>na</w:t>
      </w:r>
      <w:proofErr w:type="spellEnd"/>
      <w:r w:rsidRPr="00ED5624">
        <w:t xml:space="preserve"> cena produktu). </w:t>
      </w:r>
      <w:r>
        <w:t>Tato informace je k dispozici v pondělí každý týden (ceny platí od úterý do pondělí následujícího týdne).</w:t>
      </w:r>
    </w:p>
    <w:p w:rsidR="008D4A07" w:rsidRDefault="008D4A07" w:rsidP="008D4A07">
      <w:pPr>
        <w:pStyle w:val="Odstavecseseznamem"/>
        <w:numPr>
          <w:ilvl w:val="0"/>
          <w:numId w:val="18"/>
        </w:numPr>
        <w:autoSpaceDE/>
        <w:autoSpaceDN/>
        <w:adjustRightInd/>
        <w:spacing w:after="200" w:line="276" w:lineRule="auto"/>
        <w:textAlignment w:val="auto"/>
      </w:pPr>
      <w:r w:rsidRPr="00ED5624" w:rsidDel="00A20E4E">
        <w:t xml:space="preserve"> </w:t>
      </w:r>
      <w:r>
        <w:t>(#</w:t>
      </w:r>
      <w:proofErr w:type="spellStart"/>
      <w:r>
        <w:t>Cerpaci</w:t>
      </w:r>
      <w:proofErr w:type="spellEnd"/>
      <w:r>
        <w:t xml:space="preserve"> stanice) je zá</w:t>
      </w:r>
      <w:r w:rsidRPr="00ED5624">
        <w:t xml:space="preserve">sobována jedním smluvně určeným dopravcem (#Dopravce). </w:t>
      </w:r>
      <w:r>
        <w:t xml:space="preserve"> V průběhu roku se smluvní dopravce může změnit.</w:t>
      </w:r>
    </w:p>
    <w:p w:rsidR="008D4A07" w:rsidRDefault="008D4A07" w:rsidP="008D4A07">
      <w:pPr>
        <w:pStyle w:val="Odstavecseseznamem"/>
        <w:numPr>
          <w:ilvl w:val="0"/>
          <w:numId w:val="18"/>
        </w:numPr>
        <w:autoSpaceDE/>
        <w:autoSpaceDN/>
        <w:adjustRightInd/>
        <w:spacing w:after="200" w:line="276" w:lineRule="auto"/>
        <w:textAlignment w:val="auto"/>
      </w:pPr>
      <w:r w:rsidRPr="00ED5624">
        <w:t>(#Dopravce) zásobuje stanice pomocí svých cisteren (#Cisterna) a řidičů (#</w:t>
      </w:r>
      <w:proofErr w:type="spellStart"/>
      <w:r w:rsidRPr="00ED5624">
        <w:t>Ridic</w:t>
      </w:r>
      <w:proofErr w:type="spellEnd"/>
      <w:r w:rsidRPr="00ED5624">
        <w:t xml:space="preserve">). </w:t>
      </w:r>
      <w:r w:rsidR="00455225">
        <w:t>XYZ</w:t>
      </w:r>
      <w:r>
        <w:t xml:space="preserve"> neovlivň</w:t>
      </w:r>
      <w:r>
        <w:t>u</w:t>
      </w:r>
      <w:r>
        <w:t>je, jakým způsobem dopravce dopravu zajistí.</w:t>
      </w:r>
    </w:p>
    <w:p w:rsidR="008D4A07" w:rsidRPr="003920BF" w:rsidRDefault="008D4A07" w:rsidP="008D4A07">
      <w:pPr>
        <w:pStyle w:val="Odstavecseseznamem"/>
        <w:numPr>
          <w:ilvl w:val="0"/>
          <w:numId w:val="18"/>
        </w:numPr>
        <w:autoSpaceDE/>
        <w:autoSpaceDN/>
        <w:adjustRightInd/>
        <w:spacing w:after="200" w:line="276" w:lineRule="auto"/>
        <w:textAlignment w:val="auto"/>
      </w:pPr>
      <w:r>
        <w:t>Cesta cisterny od naplnění na lávce v terminálu po dodání paliva na čerpací stanici je evidována jako (</w:t>
      </w:r>
      <w:r w:rsidRPr="008F01DC">
        <w:t>#Zavoz).</w:t>
      </w:r>
    </w:p>
    <w:p w:rsidR="008D4A07" w:rsidRDefault="008D4A07" w:rsidP="008D4A07">
      <w:pPr>
        <w:pStyle w:val="Odstavecseseznamem"/>
        <w:numPr>
          <w:ilvl w:val="0"/>
          <w:numId w:val="18"/>
        </w:numPr>
        <w:autoSpaceDE/>
        <w:autoSpaceDN/>
        <w:adjustRightInd/>
        <w:spacing w:after="200" w:line="276" w:lineRule="auto"/>
        <w:textAlignment w:val="auto"/>
      </w:pPr>
      <w:r w:rsidRPr="008F01DC">
        <w:t>V r</w:t>
      </w:r>
      <w:r>
        <w:t>ámci závozu může být na čerpací stanici dopraveno více produktů (cisterny jsou vícekomor</w:t>
      </w:r>
      <w:r>
        <w:t>o</w:t>
      </w:r>
      <w:r>
        <w:t>vé). Každý takový závoz produktu (</w:t>
      </w:r>
      <w:r w:rsidRPr="008F01DC">
        <w:t>#zavoz produktu) je samostatně evidov</w:t>
      </w:r>
      <w:r>
        <w:t>án.</w:t>
      </w:r>
    </w:p>
    <w:p w:rsidR="008D4A07" w:rsidRPr="009437A8" w:rsidRDefault="00455225" w:rsidP="008D4A07">
      <w:pPr>
        <w:pStyle w:val="Odstavecseseznamem"/>
        <w:numPr>
          <w:ilvl w:val="0"/>
          <w:numId w:val="18"/>
        </w:numPr>
        <w:autoSpaceDE/>
        <w:autoSpaceDN/>
        <w:adjustRightInd/>
        <w:spacing w:after="200" w:line="276" w:lineRule="auto"/>
        <w:textAlignment w:val="auto"/>
      </w:pPr>
      <w:r>
        <w:t>XYZ</w:t>
      </w:r>
      <w:r w:rsidR="008D4A07">
        <w:t xml:space="preserve"> dle svého rozhodnutí předepisuje dopravcům na následující týden dodavatele paliva, od kt</w:t>
      </w:r>
      <w:r w:rsidR="008D4A07">
        <w:t>e</w:t>
      </w:r>
      <w:r w:rsidR="008D4A07">
        <w:t>rého mají být jednotlivé čerpací stanice zásobovány (</w:t>
      </w:r>
      <w:r w:rsidR="008D4A07" w:rsidRPr="008F01DC">
        <w:t>#</w:t>
      </w:r>
      <w:proofErr w:type="spellStart"/>
      <w:r w:rsidR="008D4A07">
        <w:t>Predepsany</w:t>
      </w:r>
      <w:proofErr w:type="spellEnd"/>
      <w:r w:rsidR="008D4A07">
        <w:t xml:space="preserve"> zdroj paliva). Z</w:t>
      </w:r>
      <w:r w:rsidR="008D4A07" w:rsidRPr="009437A8">
        <w:t>drojem pal</w:t>
      </w:r>
      <w:r w:rsidR="008D4A07">
        <w:t xml:space="preserve">iva pro konkrétní závoz je momentálně právě jeden terminál. Teoreticky je možné, aby </w:t>
      </w:r>
      <w:r w:rsidR="008D4A07" w:rsidRPr="009437A8">
        <w:t>dopravce j</w:t>
      </w:r>
      <w:r w:rsidR="008D4A07" w:rsidRPr="009437A8">
        <w:t>e</w:t>
      </w:r>
      <w:r w:rsidR="008D4A07" w:rsidRPr="009437A8">
        <w:t xml:space="preserve">den </w:t>
      </w:r>
      <w:r w:rsidR="008D4A07">
        <w:t xml:space="preserve">produkt (např. diesel) načerpal </w:t>
      </w:r>
      <w:r w:rsidR="008D4A07" w:rsidRPr="009437A8">
        <w:t>u jednoho terminálu a do jiné komory stejné cisterny u jiného termin</w:t>
      </w:r>
      <w:r w:rsidR="008D4A07">
        <w:t xml:space="preserve">álu načerpal např. natural 95, </w:t>
      </w:r>
      <w:r w:rsidR="008D4A07" w:rsidRPr="009437A8">
        <w:t>s touto cisternou přije</w:t>
      </w:r>
      <w:r w:rsidR="008D4A07">
        <w:t>l</w:t>
      </w:r>
      <w:r w:rsidR="008D4A07" w:rsidRPr="009437A8">
        <w:t xml:space="preserve"> na čerpací stanici, </w:t>
      </w:r>
      <w:r w:rsidR="008D4A07">
        <w:t>a zde oba produkty vyčerpal, nicméně se to v praxi takto nedělá.</w:t>
      </w:r>
    </w:p>
    <w:p w:rsidR="008D4A07" w:rsidRDefault="008D4A07" w:rsidP="008D4A07">
      <w:pPr>
        <w:pStyle w:val="Odstavecseseznamem"/>
        <w:numPr>
          <w:ilvl w:val="0"/>
          <w:numId w:val="18"/>
        </w:numPr>
        <w:autoSpaceDE/>
        <w:autoSpaceDN/>
        <w:adjustRightInd/>
        <w:spacing w:after="200" w:line="276" w:lineRule="auto"/>
        <w:textAlignment w:val="auto"/>
      </w:pPr>
      <w:r w:rsidRPr="00ED5624">
        <w:t>Cena za konkrétní dopravu vychází z objemu dopraveného paliva a vzdálenos</w:t>
      </w:r>
      <w:r>
        <w:t>ti, na jakou bylo pravidlo dopra</w:t>
      </w:r>
      <w:r w:rsidRPr="00ED5624">
        <w:t>veno. Pro každou dvojici čerpací stanice, terminál je tak známa cena za dopravu jednoho litru</w:t>
      </w:r>
      <w:r>
        <w:t xml:space="preserve"> z terminálu na čerpací stanici</w:t>
      </w:r>
      <w:r w:rsidRPr="00ED5624">
        <w:t xml:space="preserve"> (</w:t>
      </w:r>
      <w:r w:rsidRPr="008F01DC">
        <w:t>#</w:t>
      </w:r>
      <w:r>
        <w:t xml:space="preserve">Cena za dopravu). </w:t>
      </w:r>
    </w:p>
    <w:p w:rsidR="008D4A07" w:rsidRDefault="00455225" w:rsidP="008D4A07">
      <w:pPr>
        <w:pStyle w:val="Odstavecseseznamem"/>
        <w:numPr>
          <w:ilvl w:val="0"/>
          <w:numId w:val="18"/>
        </w:numPr>
        <w:autoSpaceDE/>
        <w:autoSpaceDN/>
        <w:adjustRightInd/>
        <w:spacing w:after="200" w:line="276" w:lineRule="auto"/>
        <w:textAlignment w:val="auto"/>
      </w:pPr>
      <w:r>
        <w:t>XYZ</w:t>
      </w:r>
      <w:r w:rsidR="008D4A07">
        <w:t xml:space="preserve"> stanovil </w:t>
      </w:r>
      <w:r w:rsidR="008D4A07" w:rsidRPr="008F01DC">
        <w:t xml:space="preserve">(#Limit </w:t>
      </w:r>
      <w:proofErr w:type="spellStart"/>
      <w:r w:rsidR="008D4A07" w:rsidRPr="008F01DC">
        <w:t>zasobenosti</w:t>
      </w:r>
      <w:proofErr w:type="spellEnd"/>
      <w:r w:rsidR="008D4A07" w:rsidRPr="008F01DC">
        <w:t xml:space="preserve">), </w:t>
      </w:r>
      <w:r w:rsidR="008D4A07">
        <w:t>který určuje maximální velikost zásob produktů na čerpacích stanicích. Nyní je tento limit stanoven na 3dny pro benzin a 3,5dne pro motorovou naftu a platí stejně pro všechny čerpací stanice. Dodržování limitu se sleduje, ale jeho plnění se 100</w:t>
      </w:r>
      <w:r w:rsidR="008D4A07">
        <w:rPr>
          <w:lang w:val="en-US"/>
        </w:rPr>
        <w:t xml:space="preserve">% </w:t>
      </w:r>
      <w:proofErr w:type="spellStart"/>
      <w:r w:rsidR="008D4A07">
        <w:rPr>
          <w:lang w:val="en-US"/>
        </w:rPr>
        <w:t>ne</w:t>
      </w:r>
      <w:r w:rsidR="008D4A07">
        <w:rPr>
          <w:lang w:val="en-US"/>
        </w:rPr>
        <w:t>u</w:t>
      </w:r>
      <w:r w:rsidR="008D4A07">
        <w:rPr>
          <w:lang w:val="en-US"/>
        </w:rPr>
        <w:t>plat</w:t>
      </w:r>
      <w:r w:rsidR="008D4A07">
        <w:t>ňuje</w:t>
      </w:r>
      <w:proofErr w:type="spellEnd"/>
      <w:r w:rsidR="008D4A07">
        <w:t xml:space="preserve"> během měsíce. Výjimkou je konec kalendářního měsíce, kdy se plnění limitů striktně </w:t>
      </w:r>
      <w:proofErr w:type="gramStart"/>
      <w:r w:rsidR="008D4A07">
        <w:t>v</w:t>
      </w:r>
      <w:r w:rsidR="008D4A07">
        <w:t>y</w:t>
      </w:r>
      <w:r w:rsidR="008D4A07">
        <w:t>žaduje..</w:t>
      </w:r>
      <w:proofErr w:type="gramEnd"/>
    </w:p>
    <w:p w:rsidR="008D4A07" w:rsidRDefault="008D4A07" w:rsidP="008D4A07">
      <w:pPr>
        <w:pStyle w:val="Odstavecseseznamem"/>
        <w:numPr>
          <w:ilvl w:val="0"/>
          <w:numId w:val="18"/>
        </w:numPr>
        <w:autoSpaceDE/>
        <w:autoSpaceDN/>
        <w:adjustRightInd/>
        <w:spacing w:after="200" w:line="276" w:lineRule="auto"/>
        <w:textAlignment w:val="auto"/>
      </w:pPr>
      <w:r>
        <w:t>Je znám denní objem zásob jednotlivých produktů na čerpací stanici (</w:t>
      </w:r>
      <w:r w:rsidRPr="008F01DC">
        <w:t>#</w:t>
      </w:r>
      <w:r>
        <w:t xml:space="preserve">Objem </w:t>
      </w:r>
      <w:proofErr w:type="spellStart"/>
      <w:r>
        <w:t>zasob</w:t>
      </w:r>
      <w:proofErr w:type="spellEnd"/>
      <w:r>
        <w:t>).</w:t>
      </w:r>
    </w:p>
    <w:p w:rsidR="008D4A07" w:rsidRPr="009701AA" w:rsidRDefault="008D4A07" w:rsidP="008D4A07">
      <w:pPr>
        <w:pStyle w:val="Odstavecseseznamem"/>
        <w:numPr>
          <w:ilvl w:val="0"/>
          <w:numId w:val="18"/>
        </w:numPr>
        <w:autoSpaceDE/>
        <w:autoSpaceDN/>
        <w:adjustRightInd/>
        <w:spacing w:after="200" w:line="276" w:lineRule="auto"/>
        <w:textAlignment w:val="auto"/>
      </w:pPr>
      <w:r>
        <w:t xml:space="preserve">Je známa denní výtoč jednotlivých produktů na čerpací stanici </w:t>
      </w:r>
      <w:r w:rsidRPr="008F01DC">
        <w:t>(#</w:t>
      </w:r>
      <w:proofErr w:type="spellStart"/>
      <w:r w:rsidRPr="008F01DC">
        <w:t>Denni</w:t>
      </w:r>
      <w:proofErr w:type="spellEnd"/>
      <w:r w:rsidRPr="008F01DC">
        <w:t xml:space="preserve"> </w:t>
      </w:r>
      <w:proofErr w:type="spellStart"/>
      <w:r w:rsidRPr="008F01DC">
        <w:t>vytoc</w:t>
      </w:r>
      <w:proofErr w:type="spellEnd"/>
      <w:r w:rsidRPr="008F01DC">
        <w:t>).</w:t>
      </w:r>
    </w:p>
    <w:p w:rsidR="008D4A07" w:rsidRDefault="008D4A07" w:rsidP="00226FDB">
      <w:pPr>
        <w:pStyle w:val="Nadpis1"/>
        <w:keepNext w:val="0"/>
        <w:numPr>
          <w:ilvl w:val="2"/>
          <w:numId w:val="23"/>
        </w:numPr>
        <w:autoSpaceDE w:val="0"/>
        <w:autoSpaceDN w:val="0"/>
        <w:adjustRightInd w:val="0"/>
        <w:spacing w:line="288" w:lineRule="auto"/>
        <w:textAlignment w:val="center"/>
      </w:pPr>
      <w:bookmarkStart w:id="13" w:name="_Toc352917226"/>
      <w:bookmarkStart w:id="14" w:name="_Toc353265797"/>
      <w:bookmarkStart w:id="15" w:name="_Toc381000363"/>
      <w:r>
        <w:t>Cíle</w:t>
      </w:r>
      <w:bookmarkEnd w:id="13"/>
      <w:bookmarkEnd w:id="14"/>
      <w:bookmarkEnd w:id="15"/>
    </w:p>
    <w:p w:rsidR="008D4A07" w:rsidRDefault="008D4A07" w:rsidP="008D4A07">
      <w:pPr>
        <w:pStyle w:val="Odstavecseseznamem"/>
        <w:numPr>
          <w:ilvl w:val="0"/>
          <w:numId w:val="19"/>
        </w:numPr>
        <w:autoSpaceDE/>
        <w:autoSpaceDN/>
        <w:adjustRightInd/>
        <w:spacing w:after="200" w:line="276" w:lineRule="auto"/>
        <w:textAlignment w:val="auto"/>
      </w:pPr>
      <w:r>
        <w:t>Optimalizovat náklady na zásobování čerpacích stanic</w:t>
      </w:r>
    </w:p>
    <w:p w:rsidR="008D4A07" w:rsidRDefault="008D4A07" w:rsidP="008D4A07">
      <w:pPr>
        <w:pStyle w:val="Odstavecseseznamem"/>
        <w:numPr>
          <w:ilvl w:val="1"/>
          <w:numId w:val="19"/>
        </w:numPr>
        <w:autoSpaceDE/>
        <w:autoSpaceDN/>
        <w:adjustRightInd/>
        <w:spacing w:after="200" w:line="276" w:lineRule="auto"/>
        <w:textAlignment w:val="auto"/>
      </w:pPr>
      <w:r>
        <w:t>Nastavovat dopravcům pravidla (</w:t>
      </w:r>
      <w:r>
        <w:rPr>
          <w:lang w:val="en-US"/>
        </w:rPr>
        <w:t>#</w:t>
      </w:r>
      <w:proofErr w:type="spellStart"/>
      <w:r>
        <w:t>Predepsany</w:t>
      </w:r>
      <w:proofErr w:type="spellEnd"/>
      <w:r>
        <w:t xml:space="preserve"> zdroj paliva) tak, aby byl minimalizován součet </w:t>
      </w:r>
    </w:p>
    <w:p w:rsidR="008D4A07" w:rsidRDefault="008D4A07" w:rsidP="008D4A07">
      <w:pPr>
        <w:pStyle w:val="Odstavecseseznamem"/>
        <w:numPr>
          <w:ilvl w:val="2"/>
          <w:numId w:val="19"/>
        </w:numPr>
        <w:autoSpaceDE/>
        <w:autoSpaceDN/>
        <w:adjustRightInd/>
        <w:spacing w:after="200" w:line="276" w:lineRule="auto"/>
        <w:textAlignment w:val="auto"/>
      </w:pPr>
      <w:r>
        <w:t xml:space="preserve">ceny za dopravu </w:t>
      </w:r>
    </w:p>
    <w:p w:rsidR="008D4A07" w:rsidRDefault="008D4A07" w:rsidP="008D4A07">
      <w:pPr>
        <w:pStyle w:val="Odstavecseseznamem"/>
        <w:numPr>
          <w:ilvl w:val="2"/>
          <w:numId w:val="19"/>
        </w:numPr>
        <w:autoSpaceDE/>
        <w:autoSpaceDN/>
        <w:adjustRightInd/>
        <w:spacing w:after="200" w:line="276" w:lineRule="auto"/>
        <w:textAlignment w:val="auto"/>
      </w:pPr>
      <w:r>
        <w:t xml:space="preserve">ceny za palivo </w:t>
      </w:r>
    </w:p>
    <w:p w:rsidR="008D4A07" w:rsidRDefault="008D4A07" w:rsidP="008D4A07">
      <w:pPr>
        <w:pStyle w:val="Odstavecseseznamem"/>
        <w:numPr>
          <w:ilvl w:val="2"/>
          <w:numId w:val="19"/>
        </w:numPr>
        <w:autoSpaceDE/>
        <w:autoSpaceDN/>
        <w:adjustRightInd/>
        <w:spacing w:after="200" w:line="276" w:lineRule="auto"/>
        <w:textAlignment w:val="auto"/>
      </w:pPr>
      <w:r>
        <w:t>penále za nedodržení parametrů smlouvy v případě, že bude sjednáno</w:t>
      </w:r>
    </w:p>
    <w:p w:rsidR="008D4A07" w:rsidRDefault="008D4A07" w:rsidP="008D4A07">
      <w:pPr>
        <w:pStyle w:val="Odstavecseseznamem"/>
        <w:numPr>
          <w:ilvl w:val="0"/>
          <w:numId w:val="19"/>
        </w:numPr>
        <w:autoSpaceDE/>
        <w:autoSpaceDN/>
        <w:adjustRightInd/>
        <w:spacing w:after="200" w:line="276" w:lineRule="auto"/>
        <w:textAlignment w:val="auto"/>
      </w:pPr>
      <w:r>
        <w:t>Minimalizovat objem skladových zásob, tak, aby nebyl ohrožen provoz jednotlivých stanic a zár</w:t>
      </w:r>
      <w:r>
        <w:t>o</w:t>
      </w:r>
      <w:r>
        <w:t>veň byly minimalizovány náklady na dopravu.</w:t>
      </w:r>
    </w:p>
    <w:p w:rsidR="008D4A07" w:rsidRDefault="008D4A07" w:rsidP="008D4A07">
      <w:pPr>
        <w:autoSpaceDE/>
        <w:autoSpaceDN/>
        <w:adjustRightInd/>
        <w:spacing w:after="200" w:line="276" w:lineRule="auto"/>
        <w:textAlignment w:val="auto"/>
      </w:pPr>
    </w:p>
    <w:p w:rsidR="008D4A07" w:rsidRDefault="008D4A07" w:rsidP="008D4A07">
      <w:pPr>
        <w:autoSpaceDE/>
        <w:autoSpaceDN/>
        <w:adjustRightInd/>
        <w:spacing w:after="200" w:line="276" w:lineRule="auto"/>
        <w:textAlignment w:val="auto"/>
      </w:pPr>
    </w:p>
    <w:p w:rsidR="008D4A07" w:rsidRDefault="008D4A07" w:rsidP="008D4A07">
      <w:pPr>
        <w:autoSpaceDE/>
        <w:autoSpaceDN/>
        <w:adjustRightInd/>
        <w:spacing w:after="200" w:line="276" w:lineRule="auto"/>
        <w:textAlignment w:val="auto"/>
      </w:pPr>
    </w:p>
    <w:p w:rsidR="008D4A07" w:rsidRPr="00A372FB" w:rsidRDefault="008D4A07" w:rsidP="00226FDB">
      <w:pPr>
        <w:pStyle w:val="Nadpis1"/>
        <w:keepNext w:val="0"/>
        <w:numPr>
          <w:ilvl w:val="1"/>
          <w:numId w:val="23"/>
        </w:numPr>
        <w:autoSpaceDE w:val="0"/>
        <w:autoSpaceDN w:val="0"/>
        <w:adjustRightInd w:val="0"/>
        <w:spacing w:line="288" w:lineRule="auto"/>
        <w:textAlignment w:val="center"/>
      </w:pPr>
      <w:bookmarkStart w:id="16" w:name="_Toc352917228"/>
      <w:bookmarkStart w:id="17" w:name="_Toc353265798"/>
      <w:bookmarkStart w:id="18" w:name="_Ref355620632"/>
      <w:bookmarkStart w:id="19" w:name="_Toc381000364"/>
      <w:r w:rsidRPr="004E5599">
        <w:t xml:space="preserve">Popis modelu </w:t>
      </w:r>
      <w:r w:rsidRPr="00A372FB">
        <w:t>detekce a prevence podvodů</w:t>
      </w:r>
      <w:bookmarkEnd w:id="16"/>
      <w:bookmarkEnd w:id="17"/>
      <w:bookmarkEnd w:id="18"/>
      <w:bookmarkEnd w:id="19"/>
    </w:p>
    <w:p w:rsidR="008D4A07" w:rsidRDefault="008D4A07" w:rsidP="008D4A07">
      <w:pPr>
        <w:rPr>
          <w:b/>
          <w:bCs/>
          <w:color w:val="E9640D"/>
          <w:sz w:val="28"/>
          <w:szCs w:val="28"/>
        </w:rPr>
      </w:pPr>
    </w:p>
    <w:p w:rsidR="008D4A07" w:rsidRDefault="008D4A07" w:rsidP="008D4A07">
      <w:pPr>
        <w:rPr>
          <w:b/>
          <w:bCs/>
          <w:color w:val="E9640D"/>
          <w:sz w:val="28"/>
          <w:szCs w:val="28"/>
        </w:rPr>
      </w:pPr>
      <w:r w:rsidRPr="004E5599">
        <w:rPr>
          <w:b/>
          <w:bCs/>
          <w:noProof/>
          <w:color w:val="E9640D"/>
          <w:sz w:val="28"/>
          <w:szCs w:val="28"/>
          <w:lang w:eastAsia="cs-CZ"/>
        </w:rPr>
        <w:drawing>
          <wp:inline distT="0" distB="0" distL="0" distR="0">
            <wp:extent cx="5759450" cy="6110528"/>
            <wp:effectExtent l="19050" t="0" r="0" b="0"/>
            <wp:docPr id="11" name="Obrázek 0" descr="Detekce podvo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ekce podvodu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A07" w:rsidRDefault="008D4A07" w:rsidP="008D4A07">
      <w:pPr>
        <w:rPr>
          <w:color w:val="00B0F0"/>
        </w:rPr>
      </w:pPr>
    </w:p>
    <w:p w:rsidR="008D4A07" w:rsidRDefault="008D4A07" w:rsidP="008D4A07">
      <w:r w:rsidRPr="001C13FA">
        <w:rPr>
          <w:color w:val="00B0F0"/>
        </w:rPr>
        <w:t>Modře</w:t>
      </w:r>
      <w:r>
        <w:t xml:space="preserve"> jsou znázorněny subjekty, které hrají v distribučním modelu klíčovou roli, </w:t>
      </w:r>
      <w:r w:rsidRPr="00C75DF9">
        <w:rPr>
          <w:color w:val="FFC000"/>
        </w:rPr>
        <w:t>žlutě</w:t>
      </w:r>
      <w:r>
        <w:t xml:space="preserve"> ostatní relevan</w:t>
      </w:r>
      <w:r>
        <w:t>t</w:t>
      </w:r>
      <w:r>
        <w:t xml:space="preserve">ní informace a informace a </w:t>
      </w:r>
      <w:r w:rsidRPr="00C75DF9">
        <w:rPr>
          <w:color w:val="FF0000"/>
        </w:rPr>
        <w:t>červeně</w:t>
      </w:r>
      <w:r>
        <w:t xml:space="preserve"> informace, které bude počítat modul detekce podvodů.</w:t>
      </w:r>
    </w:p>
    <w:p w:rsidR="00831AFE" w:rsidRDefault="00831AFE">
      <w:pPr>
        <w:autoSpaceDE/>
        <w:autoSpaceDN/>
        <w:adjustRightInd/>
        <w:spacing w:after="200" w:line="276" w:lineRule="auto"/>
        <w:textAlignment w:val="auto"/>
        <w:rPr>
          <w:b/>
          <w:bCs/>
          <w:color w:val="E9640D"/>
          <w:sz w:val="28"/>
          <w:szCs w:val="28"/>
        </w:rPr>
      </w:pPr>
      <w:bookmarkStart w:id="20" w:name="_Toc352917229"/>
      <w:bookmarkStart w:id="21" w:name="_Toc353265799"/>
      <w:r>
        <w:br w:type="page"/>
      </w:r>
    </w:p>
    <w:p w:rsidR="008D4A07" w:rsidRDefault="008D4A07" w:rsidP="00226FDB">
      <w:pPr>
        <w:pStyle w:val="Nadpis1"/>
        <w:keepNext w:val="0"/>
        <w:numPr>
          <w:ilvl w:val="2"/>
          <w:numId w:val="23"/>
        </w:numPr>
        <w:autoSpaceDE w:val="0"/>
        <w:autoSpaceDN w:val="0"/>
        <w:adjustRightInd w:val="0"/>
        <w:spacing w:line="288" w:lineRule="auto"/>
        <w:textAlignment w:val="center"/>
      </w:pPr>
      <w:bookmarkStart w:id="22" w:name="_Toc381000365"/>
      <w:r>
        <w:lastRenderedPageBreak/>
        <w:t>Popis situace</w:t>
      </w:r>
      <w:bookmarkEnd w:id="20"/>
      <w:bookmarkEnd w:id="21"/>
      <w:bookmarkEnd w:id="22"/>
    </w:p>
    <w:p w:rsidR="008D4A07" w:rsidRDefault="008D4A07" w:rsidP="008D4A07">
      <w:pPr>
        <w:pStyle w:val="Odstavecseseznamem"/>
        <w:numPr>
          <w:ilvl w:val="0"/>
          <w:numId w:val="20"/>
        </w:numPr>
        <w:autoSpaceDE/>
        <w:autoSpaceDN/>
        <w:adjustRightInd/>
        <w:spacing w:after="200" w:line="276" w:lineRule="auto"/>
        <w:textAlignment w:val="auto"/>
      </w:pPr>
      <w:r>
        <w:t>V rámci procesu závozu (</w:t>
      </w:r>
      <w:r w:rsidRPr="008606A3">
        <w:t>#</w:t>
      </w:r>
      <w:r>
        <w:t>zavoz) probíhají měření, která měří objem přepravovaných komodit a také slouží minimalizaci prostoru pro podvody. Při odjezdu z terminálu rafinérie je dodávka z</w:t>
      </w:r>
      <w:r>
        <w:t>a</w:t>
      </w:r>
      <w:r>
        <w:t>plombována a tato skutečnost je zaznamenána v dokumentu „</w:t>
      </w:r>
      <w:proofErr w:type="spellStart"/>
      <w:r>
        <w:t>plombový</w:t>
      </w:r>
      <w:proofErr w:type="spellEnd"/>
      <w:r>
        <w:t xml:space="preserve"> list“.</w:t>
      </w:r>
    </w:p>
    <w:p w:rsidR="008D4A07" w:rsidRDefault="008D4A07" w:rsidP="008D4A07">
      <w:pPr>
        <w:pStyle w:val="Odstavecseseznamem"/>
        <w:numPr>
          <w:ilvl w:val="0"/>
          <w:numId w:val="20"/>
        </w:numPr>
        <w:autoSpaceDE/>
        <w:autoSpaceDN/>
        <w:adjustRightInd/>
        <w:spacing w:after="200" w:line="276" w:lineRule="auto"/>
        <w:textAlignment w:val="auto"/>
      </w:pPr>
      <w:r>
        <w:t>Při plnění cisterny na terminálu je měřen objem vydaného paliva (</w:t>
      </w:r>
      <w:r w:rsidRPr="008606A3">
        <w:t>#</w:t>
      </w:r>
      <w:proofErr w:type="spellStart"/>
      <w:r>
        <w:t>Mereni</w:t>
      </w:r>
      <w:proofErr w:type="spellEnd"/>
      <w:r>
        <w:t xml:space="preserve"> z </w:t>
      </w:r>
      <w:proofErr w:type="spellStart"/>
      <w:r>
        <w:t>terminalu</w:t>
      </w:r>
      <w:proofErr w:type="spellEnd"/>
      <w:r>
        <w:t>).  Toto m</w:t>
      </w:r>
      <w:r>
        <w:t>ě</w:t>
      </w:r>
      <w:r>
        <w:t>ření provádí a poskytuje dodavatel paliva. Načerpané palivo je určeno pouze pro jednu konkrétní ČS. Jeden druh paliva může být uložen ve více komorách cisterny.</w:t>
      </w:r>
    </w:p>
    <w:p w:rsidR="008D4A07" w:rsidRPr="00EF5CC1" w:rsidRDefault="008D4A07" w:rsidP="008D4A07">
      <w:pPr>
        <w:pStyle w:val="Odstavecseseznamem"/>
        <w:numPr>
          <w:ilvl w:val="0"/>
          <w:numId w:val="20"/>
        </w:numPr>
        <w:autoSpaceDE/>
        <w:autoSpaceDN/>
        <w:adjustRightInd/>
        <w:spacing w:after="200" w:line="276" w:lineRule="auto"/>
        <w:textAlignment w:val="auto"/>
      </w:pPr>
      <w:r>
        <w:t>Po naplnění cisterny řidič pořídí měření (</w:t>
      </w:r>
      <w:r w:rsidRPr="008606A3">
        <w:t>#</w:t>
      </w:r>
      <w:proofErr w:type="spellStart"/>
      <w:r w:rsidRPr="008606A3">
        <w:t>Mereni</w:t>
      </w:r>
      <w:proofErr w:type="spellEnd"/>
      <w:r w:rsidRPr="008606A3">
        <w:t xml:space="preserve"> po </w:t>
      </w:r>
      <w:proofErr w:type="spellStart"/>
      <w:r w:rsidRPr="008606A3">
        <w:t>naplneni</w:t>
      </w:r>
      <w:proofErr w:type="spellEnd"/>
      <w:r w:rsidRPr="008606A3">
        <w:t xml:space="preserve"> cisterny)</w:t>
      </w:r>
      <w:r>
        <w:t xml:space="preserve">. </w:t>
      </w:r>
    </w:p>
    <w:p w:rsidR="008D4A07" w:rsidRDefault="008D4A07" w:rsidP="008D4A07">
      <w:pPr>
        <w:pStyle w:val="Odstavecseseznamem"/>
        <w:numPr>
          <w:ilvl w:val="0"/>
          <w:numId w:val="20"/>
        </w:numPr>
        <w:autoSpaceDE/>
        <w:autoSpaceDN/>
        <w:adjustRightInd/>
        <w:spacing w:after="200" w:line="276" w:lineRule="auto"/>
        <w:textAlignment w:val="auto"/>
      </w:pPr>
      <w:r w:rsidRPr="008606A3">
        <w:t>P</w:t>
      </w:r>
      <w:r>
        <w:t>řed dodávkou na čerpací stanici změří obsluha objem hladiny v nádrži (</w:t>
      </w:r>
      <w:r w:rsidRPr="008606A3">
        <w:t>#</w:t>
      </w:r>
      <w:proofErr w:type="spellStart"/>
      <w:r w:rsidRPr="008606A3">
        <w:t>M</w:t>
      </w:r>
      <w:r>
        <w:t>ereni</w:t>
      </w:r>
      <w:proofErr w:type="spellEnd"/>
      <w:r>
        <w:t xml:space="preserve"> hladiny v </w:t>
      </w:r>
      <w:proofErr w:type="spellStart"/>
      <w:r>
        <w:t>nadrzi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plnenim</w:t>
      </w:r>
      <w:proofErr w:type="spellEnd"/>
      <w:r>
        <w:t>).</w:t>
      </w:r>
    </w:p>
    <w:p w:rsidR="008D4A07" w:rsidRDefault="008D4A07" w:rsidP="008D4A07">
      <w:pPr>
        <w:pStyle w:val="Odstavecseseznamem"/>
        <w:numPr>
          <w:ilvl w:val="0"/>
          <w:numId w:val="20"/>
        </w:numPr>
        <w:autoSpaceDE/>
        <w:autoSpaceDN/>
        <w:adjustRightInd/>
        <w:spacing w:after="200" w:line="276" w:lineRule="auto"/>
        <w:textAlignment w:val="auto"/>
      </w:pPr>
      <w:r>
        <w:t>Po přečerpání paliva z cisterny do nádrže řidič pořídí (</w:t>
      </w:r>
      <w:r w:rsidRPr="008606A3">
        <w:t>#</w:t>
      </w:r>
      <w:proofErr w:type="spellStart"/>
      <w:r>
        <w:t>Mereni</w:t>
      </w:r>
      <w:proofErr w:type="spellEnd"/>
      <w:r>
        <w:t xml:space="preserve"> z cisterny o </w:t>
      </w:r>
      <w:proofErr w:type="spellStart"/>
      <w:r>
        <w:t>dodanem</w:t>
      </w:r>
      <w:proofErr w:type="spellEnd"/>
      <w:r>
        <w:t xml:space="preserve"> objemu) a vystaví doklad – tzv. „stáčecí lístek“ a to zvlášť pro každé palivo a každou komoru cisterny.</w:t>
      </w:r>
    </w:p>
    <w:p w:rsidR="008D4A07" w:rsidRDefault="008D4A07" w:rsidP="008D4A07">
      <w:pPr>
        <w:pStyle w:val="Odstavecseseznamem"/>
        <w:numPr>
          <w:ilvl w:val="0"/>
          <w:numId w:val="20"/>
        </w:numPr>
        <w:autoSpaceDE/>
        <w:autoSpaceDN/>
        <w:adjustRightInd/>
        <w:spacing w:after="200" w:line="276" w:lineRule="auto"/>
        <w:textAlignment w:val="auto"/>
      </w:pPr>
      <w:r>
        <w:t>Před dodávkou obsluha čerpací stanice provede (</w:t>
      </w:r>
      <w:r>
        <w:rPr>
          <w:lang w:val="en-US"/>
        </w:rPr>
        <w:t>#</w:t>
      </w:r>
      <w:proofErr w:type="spellStart"/>
      <w:r>
        <w:rPr>
          <w:lang w:val="en-US"/>
        </w:rPr>
        <w:t>Zaznam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kontrole</w:t>
      </w:r>
      <w:proofErr w:type="spellEnd"/>
      <w:r>
        <w:t>) kontrolu neporušenosti plomb cisterny. Záznam je součástí dodacích listů dodavatele.</w:t>
      </w:r>
    </w:p>
    <w:p w:rsidR="008D4A07" w:rsidRPr="00B53822" w:rsidRDefault="008D4A07" w:rsidP="008D4A07">
      <w:pPr>
        <w:pStyle w:val="Odstavecseseznamem"/>
        <w:numPr>
          <w:ilvl w:val="0"/>
          <w:numId w:val="20"/>
        </w:numPr>
        <w:autoSpaceDE/>
        <w:autoSpaceDN/>
        <w:adjustRightInd/>
        <w:spacing w:after="200" w:line="276" w:lineRule="auto"/>
        <w:textAlignment w:val="auto"/>
      </w:pPr>
      <w:r>
        <w:t>Po dodávce obsluha čerpací stanice pořídí (</w:t>
      </w:r>
      <w:r w:rsidRPr="008606A3">
        <w:t>#</w:t>
      </w:r>
      <w:proofErr w:type="spellStart"/>
      <w:r w:rsidRPr="008606A3">
        <w:t>Mereni</w:t>
      </w:r>
      <w:proofErr w:type="spellEnd"/>
      <w:r w:rsidRPr="008606A3">
        <w:t xml:space="preserve"> hladiny v </w:t>
      </w:r>
      <w:proofErr w:type="spellStart"/>
      <w:r w:rsidRPr="008606A3">
        <w:t>nadrzi</w:t>
      </w:r>
      <w:proofErr w:type="spellEnd"/>
      <w:r w:rsidRPr="008606A3">
        <w:t xml:space="preserve"> po </w:t>
      </w:r>
      <w:proofErr w:type="spellStart"/>
      <w:r w:rsidRPr="008606A3">
        <w:t>naplneni</w:t>
      </w:r>
      <w:proofErr w:type="spellEnd"/>
      <w:r w:rsidRPr="008606A3">
        <w:t>).</w:t>
      </w:r>
      <w:r w:rsidRPr="004C3770">
        <w:t xml:space="preserve"> </w:t>
      </w:r>
      <w:r>
        <w:t>Měření probíhá na základě požadavku obsluhy a zobrazuje se na monitoru nebo na vytištěném lístku. Transakce, realizované během doplňování paliva (prodejní transakce), jsou při měření zohledňovány.</w:t>
      </w:r>
    </w:p>
    <w:p w:rsidR="008D4A07" w:rsidRDefault="008D4A07" w:rsidP="00226FDB">
      <w:pPr>
        <w:pStyle w:val="Nadpis1"/>
        <w:keepNext w:val="0"/>
        <w:numPr>
          <w:ilvl w:val="2"/>
          <w:numId w:val="23"/>
        </w:numPr>
        <w:autoSpaceDE w:val="0"/>
        <w:autoSpaceDN w:val="0"/>
        <w:adjustRightInd w:val="0"/>
        <w:spacing w:line="288" w:lineRule="auto"/>
        <w:textAlignment w:val="center"/>
      </w:pPr>
      <w:bookmarkStart w:id="23" w:name="_Toc352917230"/>
      <w:bookmarkStart w:id="24" w:name="_Toc353265800"/>
      <w:bookmarkStart w:id="25" w:name="_Toc381000366"/>
      <w:r>
        <w:t>Cíle</w:t>
      </w:r>
      <w:bookmarkEnd w:id="23"/>
      <w:bookmarkEnd w:id="24"/>
      <w:bookmarkEnd w:id="25"/>
    </w:p>
    <w:p w:rsidR="008D4A07" w:rsidRDefault="008D4A07" w:rsidP="008D4A07">
      <w:pPr>
        <w:pStyle w:val="Odstavecseseznamem"/>
        <w:numPr>
          <w:ilvl w:val="0"/>
          <w:numId w:val="22"/>
        </w:numPr>
        <w:autoSpaceDE/>
        <w:autoSpaceDN/>
        <w:adjustRightInd/>
        <w:spacing w:after="200" w:line="276" w:lineRule="auto"/>
        <w:textAlignment w:val="auto"/>
      </w:pPr>
      <w:r>
        <w:t xml:space="preserve">Hlavním cílem je schopnost společnosti spolehlivě automaticky identifikovat situace, kdy s vysokou pravděpodobností dochází ke krádeži paliva a identifikovat původce (spolčení obsluhy a řidiče, vlastní aktivita řidiče, technický problém měřidel </w:t>
      </w:r>
      <w:proofErr w:type="spellStart"/>
      <w:r>
        <w:t>atd</w:t>
      </w:r>
      <w:proofErr w:type="spellEnd"/>
      <w:r>
        <w:t>).</w:t>
      </w:r>
    </w:p>
    <w:p w:rsidR="00226FDB" w:rsidRDefault="008D4A07" w:rsidP="008D4A07">
      <w:pPr>
        <w:pStyle w:val="Odstavecseseznamem"/>
        <w:numPr>
          <w:ilvl w:val="0"/>
          <w:numId w:val="22"/>
        </w:numPr>
        <w:autoSpaceDE/>
        <w:autoSpaceDN/>
        <w:adjustRightInd/>
        <w:spacing w:after="200" w:line="276" w:lineRule="auto"/>
        <w:textAlignment w:val="auto"/>
      </w:pPr>
      <w:r>
        <w:t>Vedlejším cílem je schopnost mít tato data průběžně dostupná a používat je pro analýzu a zlepš</w:t>
      </w:r>
      <w:r>
        <w:t>o</w:t>
      </w:r>
      <w:r>
        <w:t>vání procesů prevence.</w:t>
      </w:r>
    </w:p>
    <w:p w:rsidR="00226FDB" w:rsidRDefault="00226FDB">
      <w:pPr>
        <w:autoSpaceDE/>
        <w:autoSpaceDN/>
        <w:adjustRightInd/>
        <w:spacing w:after="200" w:line="276" w:lineRule="auto"/>
        <w:textAlignment w:val="auto"/>
      </w:pPr>
    </w:p>
    <w:sectPr w:rsidR="00226FDB" w:rsidSect="002853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257" w:rsidRDefault="008E1257" w:rsidP="00AF7222">
      <w:r>
        <w:separator/>
      </w:r>
    </w:p>
  </w:endnote>
  <w:endnote w:type="continuationSeparator" w:id="0">
    <w:p w:rsidR="008E1257" w:rsidRDefault="008E1257" w:rsidP="00AF7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B0" w:rsidRDefault="00A943BB" w:rsidP="00AF7222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3pt;margin-top:-11.9pt;width:73.6pt;height:17.55pt;z-index:251666432;mso-height-percent:200;mso-height-percent:200;mso-width-relative:margin;mso-height-relative:margin" filled="f" stroked="f">
          <v:textbox style="mso-next-textbox:#_x0000_s2052;mso-fit-shape-to-text:t">
            <w:txbxContent>
              <w:sdt>
                <w:sdtPr>
                  <w:id w:val="1011151368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sz w:val="18"/>
                        <w:szCs w:val="18"/>
                      </w:rPr>
                      <w:id w:val="1011151369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CC28B0" w:rsidRPr="001E7258" w:rsidRDefault="00A943BB" w:rsidP="001E7258">
                        <w:pPr>
                          <w:pStyle w:val="Zpat"/>
                          <w:jc w:val="right"/>
                        </w:pPr>
                        <w:r w:rsidRPr="001E725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CC28B0" w:rsidRPr="001E7258">
                          <w:rPr>
                            <w:sz w:val="18"/>
                            <w:szCs w:val="18"/>
                          </w:rPr>
                          <w:instrText>PAGE</w:instrText>
                        </w:r>
                        <w:r w:rsidRPr="001E725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59411F">
                          <w:rPr>
                            <w:noProof/>
                            <w:sz w:val="18"/>
                            <w:szCs w:val="18"/>
                          </w:rPr>
                          <w:t>6</w:t>
                        </w:r>
                        <w:r w:rsidRPr="001E725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CC28B0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CC28B0">
                          <w:rPr>
                            <w:sz w:val="18"/>
                            <w:szCs w:val="18"/>
                          </w:rPr>
                          <w:t>/</w:t>
                        </w:r>
                        <w:r w:rsidR="00CC28B0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1E725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CC28B0" w:rsidRPr="001E7258">
                          <w:rPr>
                            <w:sz w:val="18"/>
                            <w:szCs w:val="18"/>
                          </w:rPr>
                          <w:instrText>NUMPAGES</w:instrText>
                        </w:r>
                        <w:r w:rsidRPr="001E7258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59411F">
                          <w:rPr>
                            <w:noProof/>
                            <w:sz w:val="18"/>
                            <w:szCs w:val="18"/>
                          </w:rPr>
                          <w:t>6</w:t>
                        </w:r>
                        <w:r w:rsidRPr="001E725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txbxContent>
          </v:textbox>
        </v:shape>
      </w:pict>
    </w:r>
    <w:r w:rsidRPr="00A943BB">
      <w:rPr>
        <w:noProof/>
        <w:lang w:val="en-US" w:eastAsia="zh-TW"/>
      </w:rPr>
      <w:pict>
        <v:shape id="_x0000_s2049" type="#_x0000_t202" style="position:absolute;margin-left:120.65pt;margin-top:-10.85pt;width:297.6pt;height:56.9pt;z-index:251663360;mso-height-percent:200;mso-height-percent:200;mso-width-relative:margin;mso-height-relative:margin" filled="f" stroked="f">
          <v:textbox style="mso-next-textbox:#_x0000_s2049;mso-fit-shape-to-text:t">
            <w:txbxContent>
              <w:p w:rsidR="00CC28B0" w:rsidRPr="006D6BCE" w:rsidRDefault="00CC28B0" w:rsidP="00AF7222">
                <w:pPr>
                  <w:rPr>
                    <w:b/>
                    <w:color w:val="E36C0A" w:themeColor="accent6" w:themeShade="BF"/>
                    <w:sz w:val="18"/>
                    <w:szCs w:val="18"/>
                  </w:rPr>
                </w:pPr>
                <w:proofErr w:type="spellStart"/>
                <w:r w:rsidRPr="006D6BCE">
                  <w:rPr>
                    <w:b/>
                    <w:color w:val="E36C0A" w:themeColor="accent6" w:themeShade="BF"/>
                    <w:sz w:val="18"/>
                    <w:szCs w:val="18"/>
                  </w:rPr>
                  <w:t>Mycroft</w:t>
                </w:r>
                <w:proofErr w:type="spellEnd"/>
                <w:r w:rsidRPr="006D6BCE">
                  <w:rPr>
                    <w:b/>
                    <w:color w:val="E36C0A" w:themeColor="accent6" w:themeShade="BF"/>
                    <w:sz w:val="18"/>
                    <w:szCs w:val="18"/>
                  </w:rPr>
                  <w:t xml:space="preserve"> </w:t>
                </w:r>
                <w:proofErr w:type="spellStart"/>
                <w:r w:rsidRPr="006D6BCE">
                  <w:rPr>
                    <w:b/>
                    <w:color w:val="E36C0A" w:themeColor="accent6" w:themeShade="BF"/>
                    <w:sz w:val="18"/>
                    <w:szCs w:val="18"/>
                  </w:rPr>
                  <w:t>Mind</w:t>
                </w:r>
                <w:proofErr w:type="spellEnd"/>
                <w:r w:rsidRPr="006D6BCE">
                  <w:rPr>
                    <w:b/>
                    <w:color w:val="E36C0A" w:themeColor="accent6" w:themeShade="BF"/>
                    <w:sz w:val="18"/>
                    <w:szCs w:val="18"/>
                  </w:rPr>
                  <w:t>, a.s.</w:t>
                </w:r>
              </w:p>
              <w:p w:rsidR="00CC28B0" w:rsidRPr="006D6BCE" w:rsidRDefault="00CC28B0" w:rsidP="00AF7222">
                <w:pPr>
                  <w:rPr>
                    <w:color w:val="575858" w:themeColor="text1" w:themeShade="BF"/>
                    <w:sz w:val="18"/>
                    <w:szCs w:val="18"/>
                  </w:rPr>
                </w:pPr>
                <w:r w:rsidRPr="006D6BCE">
                  <w:rPr>
                    <w:color w:val="575858" w:themeColor="text1" w:themeShade="BF"/>
                    <w:sz w:val="18"/>
                    <w:szCs w:val="18"/>
                  </w:rPr>
                  <w:t>Jundrovská 618/31, 624 00 Brno, Česká republika</w:t>
                </w:r>
              </w:p>
              <w:p w:rsidR="00CC28B0" w:rsidRPr="006D6BCE" w:rsidRDefault="00CC28B0" w:rsidP="00AF7222">
                <w:pPr>
                  <w:rPr>
                    <w:color w:val="575858" w:themeColor="text1" w:themeShade="BF"/>
                    <w:sz w:val="18"/>
                    <w:szCs w:val="18"/>
                  </w:rPr>
                </w:pPr>
                <w:r w:rsidRPr="006D6BCE">
                  <w:rPr>
                    <w:color w:val="575858" w:themeColor="text1" w:themeShade="BF"/>
                    <w:sz w:val="18"/>
                    <w:szCs w:val="18"/>
                  </w:rPr>
                  <w:t xml:space="preserve">+420 511 112 170, </w:t>
                </w:r>
                <w:r>
                  <w:rPr>
                    <w:color w:val="575858" w:themeColor="text1" w:themeShade="BF"/>
                    <w:sz w:val="18"/>
                    <w:szCs w:val="18"/>
                  </w:rPr>
                  <w:t>i</w:t>
                </w:r>
                <w:r w:rsidRPr="006A136B">
                  <w:rPr>
                    <w:color w:val="575858" w:themeColor="text1" w:themeShade="BF"/>
                    <w:sz w:val="18"/>
                    <w:szCs w:val="18"/>
                  </w:rPr>
                  <w:t>nfo@mycroftmind.com, www.mycroftmind.com</w:t>
                </w:r>
              </w:p>
              <w:p w:rsidR="00CC28B0" w:rsidRPr="00E95784" w:rsidRDefault="00CC28B0" w:rsidP="00AF7222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C28B0"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9789795</wp:posOffset>
          </wp:positionV>
          <wp:extent cx="7553325" cy="1076325"/>
          <wp:effectExtent l="19050" t="0" r="9525" b="0"/>
          <wp:wrapNone/>
          <wp:docPr id="2" name="Picture 1" descr="paticka_sve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_svet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B0" w:rsidRDefault="00A943BB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1.95pt;margin-top:-16.85pt;width:297.6pt;height:56.9pt;z-index:251671552;mso-height-percent:200;mso-height-percent:200;mso-width-relative:margin;mso-height-relative:margin" filled="f" stroked="f">
          <v:textbox style="mso-next-textbox:#_x0000_s2053;mso-fit-shape-to-text:t">
            <w:txbxContent>
              <w:p w:rsidR="00CC28B0" w:rsidRPr="006D6BCE" w:rsidRDefault="00CC28B0" w:rsidP="00A41189">
                <w:pPr>
                  <w:rPr>
                    <w:b/>
                    <w:color w:val="E36C0A" w:themeColor="accent6" w:themeShade="BF"/>
                    <w:sz w:val="18"/>
                    <w:szCs w:val="18"/>
                  </w:rPr>
                </w:pPr>
                <w:proofErr w:type="spellStart"/>
                <w:r w:rsidRPr="006D6BCE">
                  <w:rPr>
                    <w:b/>
                    <w:color w:val="E36C0A" w:themeColor="accent6" w:themeShade="BF"/>
                    <w:sz w:val="18"/>
                    <w:szCs w:val="18"/>
                  </w:rPr>
                  <w:t>Mycroft</w:t>
                </w:r>
                <w:proofErr w:type="spellEnd"/>
                <w:r w:rsidRPr="006D6BCE">
                  <w:rPr>
                    <w:b/>
                    <w:color w:val="E36C0A" w:themeColor="accent6" w:themeShade="BF"/>
                    <w:sz w:val="18"/>
                    <w:szCs w:val="18"/>
                  </w:rPr>
                  <w:t xml:space="preserve"> </w:t>
                </w:r>
                <w:proofErr w:type="spellStart"/>
                <w:r w:rsidRPr="006D6BCE">
                  <w:rPr>
                    <w:b/>
                    <w:color w:val="E36C0A" w:themeColor="accent6" w:themeShade="BF"/>
                    <w:sz w:val="18"/>
                    <w:szCs w:val="18"/>
                  </w:rPr>
                  <w:t>Mind</w:t>
                </w:r>
                <w:proofErr w:type="spellEnd"/>
                <w:r w:rsidRPr="006D6BCE">
                  <w:rPr>
                    <w:b/>
                    <w:color w:val="E36C0A" w:themeColor="accent6" w:themeShade="BF"/>
                    <w:sz w:val="18"/>
                    <w:szCs w:val="18"/>
                  </w:rPr>
                  <w:t>, a.s.</w:t>
                </w:r>
              </w:p>
              <w:p w:rsidR="00CC28B0" w:rsidRPr="006D6BCE" w:rsidRDefault="00CC28B0" w:rsidP="00A41189">
                <w:pPr>
                  <w:rPr>
                    <w:color w:val="575858" w:themeColor="text1" w:themeShade="BF"/>
                    <w:sz w:val="18"/>
                    <w:szCs w:val="18"/>
                  </w:rPr>
                </w:pPr>
                <w:r w:rsidRPr="006D6BCE">
                  <w:rPr>
                    <w:color w:val="575858" w:themeColor="text1" w:themeShade="BF"/>
                    <w:sz w:val="18"/>
                    <w:szCs w:val="18"/>
                  </w:rPr>
                  <w:t>Jundrovská 618/31, 624 00 Brno, Česká republika</w:t>
                </w:r>
              </w:p>
              <w:p w:rsidR="00CC28B0" w:rsidRPr="006D6BCE" w:rsidRDefault="00CC28B0" w:rsidP="00A41189">
                <w:pPr>
                  <w:rPr>
                    <w:color w:val="575858" w:themeColor="text1" w:themeShade="BF"/>
                    <w:sz w:val="18"/>
                    <w:szCs w:val="18"/>
                  </w:rPr>
                </w:pPr>
                <w:r w:rsidRPr="006D6BCE">
                  <w:rPr>
                    <w:color w:val="575858" w:themeColor="text1" w:themeShade="BF"/>
                    <w:sz w:val="18"/>
                    <w:szCs w:val="18"/>
                  </w:rPr>
                  <w:t xml:space="preserve">+420 511 112 170, </w:t>
                </w:r>
                <w:r>
                  <w:rPr>
                    <w:color w:val="575858" w:themeColor="text1" w:themeShade="BF"/>
                    <w:sz w:val="18"/>
                    <w:szCs w:val="18"/>
                  </w:rPr>
                  <w:t>i</w:t>
                </w:r>
                <w:r w:rsidRPr="006A136B">
                  <w:rPr>
                    <w:color w:val="575858" w:themeColor="text1" w:themeShade="BF"/>
                    <w:sz w:val="18"/>
                    <w:szCs w:val="18"/>
                  </w:rPr>
                  <w:t>nfo@mycroftmind.com, www.mycroftmind.com</w:t>
                </w:r>
              </w:p>
              <w:p w:rsidR="00CC28B0" w:rsidRPr="00E95784" w:rsidRDefault="00CC28B0" w:rsidP="00A41189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C28B0" w:rsidRPr="00A41189">
      <w:rPr>
        <w:noProof/>
        <w:lang w:eastAsia="cs-CZ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leftMargin">
            <wp:posOffset>-2215</wp:posOffset>
          </wp:positionH>
          <wp:positionV relativeFrom="bottomMargin">
            <wp:posOffset>-137338</wp:posOffset>
          </wp:positionV>
          <wp:extent cx="7551331" cy="1073889"/>
          <wp:effectExtent l="19050" t="0" r="0" b="0"/>
          <wp:wrapNone/>
          <wp:docPr id="4" name="Picture 1" descr="paticka_sve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_svet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331" cy="1073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257" w:rsidRDefault="008E1257" w:rsidP="00AF7222">
      <w:r>
        <w:separator/>
      </w:r>
    </w:p>
  </w:footnote>
  <w:footnote w:type="continuationSeparator" w:id="0">
    <w:p w:rsidR="008E1257" w:rsidRDefault="008E1257" w:rsidP="00AF7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B0" w:rsidRDefault="00CC28B0" w:rsidP="00AF72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1" layoutInCell="1" allowOverlap="1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638415" cy="666750"/>
          <wp:effectExtent l="19050" t="0" r="635" b="0"/>
          <wp:wrapNone/>
          <wp:docPr id="1" name="Picture 0" descr="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41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B0" w:rsidRDefault="00CC28B0">
    <w:pPr>
      <w:pStyle w:val="Zhlav"/>
    </w:pPr>
    <w:r w:rsidRPr="001E7258">
      <w:rPr>
        <w:noProof/>
        <w:lang w:eastAsia="cs-CZ"/>
      </w:rPr>
      <w:drawing>
        <wp:anchor distT="0" distB="0" distL="114300" distR="114300" simplePos="0" relativeHeight="251668480" behindDoc="0" locked="1" layoutInCell="1" allowOverlap="1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638415" cy="666750"/>
          <wp:effectExtent l="19050" t="0" r="635" b="0"/>
          <wp:wrapNone/>
          <wp:docPr id="3" name="Picture 0" descr="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41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.45pt;height:4.9pt" o:bullet="t">
        <v:imagedata r:id="rId1" o:title="sipka_orange"/>
      </v:shape>
    </w:pict>
  </w:numPicBullet>
  <w:numPicBullet w:numPicBulletId="1">
    <w:pict>
      <v:shape id="_x0000_i1033" type="#_x0000_t75" style="width:5.45pt;height:4.9pt" o:bullet="t">
        <v:imagedata r:id="rId2" o:title="sipka"/>
      </v:shape>
    </w:pict>
  </w:numPicBullet>
  <w:abstractNum w:abstractNumId="0">
    <w:nsid w:val="041D01EA"/>
    <w:multiLevelType w:val="hybridMultilevel"/>
    <w:tmpl w:val="4B28C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10E"/>
    <w:multiLevelType w:val="hybridMultilevel"/>
    <w:tmpl w:val="4924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F778F"/>
    <w:multiLevelType w:val="hybridMultilevel"/>
    <w:tmpl w:val="F06C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C45D8"/>
    <w:multiLevelType w:val="hybridMultilevel"/>
    <w:tmpl w:val="F79A9738"/>
    <w:lvl w:ilvl="0" w:tplc="BF70AABC">
      <w:start w:val="1"/>
      <w:numFmt w:val="bullet"/>
      <w:pStyle w:val="Seznam2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650BF"/>
    <w:multiLevelType w:val="hybridMultilevel"/>
    <w:tmpl w:val="2A820EB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EF8043B"/>
    <w:multiLevelType w:val="hybridMultilevel"/>
    <w:tmpl w:val="F1F87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B5205"/>
    <w:multiLevelType w:val="hybridMultilevel"/>
    <w:tmpl w:val="C2DE5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62391"/>
    <w:multiLevelType w:val="hybridMultilevel"/>
    <w:tmpl w:val="4A7019D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E560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C9B27A4"/>
    <w:multiLevelType w:val="multilevel"/>
    <w:tmpl w:val="0809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E014E0D"/>
    <w:multiLevelType w:val="multilevel"/>
    <w:tmpl w:val="EF78656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>
    <w:nsid w:val="1E055A31"/>
    <w:multiLevelType w:val="multilevel"/>
    <w:tmpl w:val="81E6F83E"/>
    <w:styleLink w:val="MMsezna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79646" w:themeColor="accent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79646" w:themeColor="accent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79646" w:themeColor="accent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02B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21717E1"/>
    <w:multiLevelType w:val="hybridMultilevel"/>
    <w:tmpl w:val="82A47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F767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97A7164"/>
    <w:multiLevelType w:val="hybridMultilevel"/>
    <w:tmpl w:val="A61C2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E3A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D5F1E14"/>
    <w:multiLevelType w:val="hybridMultilevel"/>
    <w:tmpl w:val="1DB88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544BB"/>
    <w:multiLevelType w:val="hybridMultilevel"/>
    <w:tmpl w:val="E224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93E61"/>
    <w:multiLevelType w:val="hybridMultilevel"/>
    <w:tmpl w:val="880C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E6B38"/>
    <w:multiLevelType w:val="hybridMultilevel"/>
    <w:tmpl w:val="20D0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F4B02"/>
    <w:multiLevelType w:val="hybridMultilevel"/>
    <w:tmpl w:val="B646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80EA7"/>
    <w:multiLevelType w:val="hybridMultilevel"/>
    <w:tmpl w:val="9D3CB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91BE7"/>
    <w:multiLevelType w:val="hybridMultilevel"/>
    <w:tmpl w:val="52620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C3C81"/>
    <w:multiLevelType w:val="hybridMultilevel"/>
    <w:tmpl w:val="D518A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86E5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F427E38"/>
    <w:multiLevelType w:val="hybridMultilevel"/>
    <w:tmpl w:val="13CCB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44A47"/>
    <w:multiLevelType w:val="hybridMultilevel"/>
    <w:tmpl w:val="9E08F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1103EE"/>
    <w:multiLevelType w:val="hybridMultilevel"/>
    <w:tmpl w:val="CC3A778A"/>
    <w:lvl w:ilvl="0" w:tplc="1D84C360">
      <w:start w:val="1"/>
      <w:numFmt w:val="bullet"/>
      <w:pStyle w:val="list1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922CB9"/>
    <w:multiLevelType w:val="hybridMultilevel"/>
    <w:tmpl w:val="DEEEF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B55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23"/>
  </w:num>
  <w:num w:numId="7">
    <w:abstractNumId w:val="22"/>
  </w:num>
  <w:num w:numId="8">
    <w:abstractNumId w:val="2"/>
  </w:num>
  <w:num w:numId="9">
    <w:abstractNumId w:val="18"/>
  </w:num>
  <w:num w:numId="10">
    <w:abstractNumId w:val="20"/>
  </w:num>
  <w:num w:numId="11">
    <w:abstractNumId w:val="19"/>
  </w:num>
  <w:num w:numId="12">
    <w:abstractNumId w:val="9"/>
  </w:num>
  <w:num w:numId="13">
    <w:abstractNumId w:val="5"/>
  </w:num>
  <w:num w:numId="14">
    <w:abstractNumId w:val="1"/>
  </w:num>
  <w:num w:numId="15">
    <w:abstractNumId w:val="7"/>
  </w:num>
  <w:num w:numId="16">
    <w:abstractNumId w:val="17"/>
  </w:num>
  <w:num w:numId="17">
    <w:abstractNumId w:val="24"/>
  </w:num>
  <w:num w:numId="18">
    <w:abstractNumId w:val="8"/>
  </w:num>
  <w:num w:numId="19">
    <w:abstractNumId w:val="25"/>
  </w:num>
  <w:num w:numId="20">
    <w:abstractNumId w:val="30"/>
  </w:num>
  <w:num w:numId="21">
    <w:abstractNumId w:val="14"/>
  </w:num>
  <w:num w:numId="22">
    <w:abstractNumId w:val="12"/>
  </w:num>
  <w:num w:numId="23">
    <w:abstractNumId w:val="16"/>
  </w:num>
  <w:num w:numId="24">
    <w:abstractNumId w:val="15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4"/>
  </w:num>
  <w:num w:numId="30">
    <w:abstractNumId w:val="13"/>
  </w:num>
  <w:num w:numId="31">
    <w:abstractNumId w:val="6"/>
  </w:num>
  <w:num w:numId="32">
    <w:abstractNumId w:val="29"/>
  </w:num>
  <w:num w:numId="33">
    <w:abstractNumId w:val="27"/>
  </w:num>
  <w:num w:numId="34">
    <w:abstractNumId w:val="26"/>
  </w:num>
  <w:num w:numId="35">
    <w:abstractNumId w:val="2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8" style="mso-width-percent:400;mso-width-relative:margin;mso-height-relative:margin" fillcolor="none [1310]" strokecolor="none [1950]">
      <v:fill color="none [1310]"/>
      <v:stroke color="none [1950]" weight=".5pt"/>
      <v:shadow on="t" color="none [1310]" opacity=".5"/>
      <v:textbox inset=",14.3mm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28AB"/>
    <w:rsid w:val="00003BEF"/>
    <w:rsid w:val="0001323A"/>
    <w:rsid w:val="000157D6"/>
    <w:rsid w:val="00021CF8"/>
    <w:rsid w:val="000350DA"/>
    <w:rsid w:val="0003713C"/>
    <w:rsid w:val="00041D50"/>
    <w:rsid w:val="00042BEE"/>
    <w:rsid w:val="0004379F"/>
    <w:rsid w:val="000441A6"/>
    <w:rsid w:val="00045C4F"/>
    <w:rsid w:val="00052E63"/>
    <w:rsid w:val="000561B7"/>
    <w:rsid w:val="00056F2B"/>
    <w:rsid w:val="000609F0"/>
    <w:rsid w:val="000611D8"/>
    <w:rsid w:val="0006345A"/>
    <w:rsid w:val="00074A76"/>
    <w:rsid w:val="00075490"/>
    <w:rsid w:val="00085DD1"/>
    <w:rsid w:val="00095354"/>
    <w:rsid w:val="000B1E8A"/>
    <w:rsid w:val="000B47E8"/>
    <w:rsid w:val="000B5105"/>
    <w:rsid w:val="000C0331"/>
    <w:rsid w:val="000C788D"/>
    <w:rsid w:val="000C7BFA"/>
    <w:rsid w:val="000D4114"/>
    <w:rsid w:val="000D5377"/>
    <w:rsid w:val="000F5B73"/>
    <w:rsid w:val="000F6D24"/>
    <w:rsid w:val="00105F2A"/>
    <w:rsid w:val="00115C3D"/>
    <w:rsid w:val="00115F84"/>
    <w:rsid w:val="00121749"/>
    <w:rsid w:val="001241FB"/>
    <w:rsid w:val="00124B38"/>
    <w:rsid w:val="00132916"/>
    <w:rsid w:val="00141552"/>
    <w:rsid w:val="00143124"/>
    <w:rsid w:val="00144322"/>
    <w:rsid w:val="00156242"/>
    <w:rsid w:val="00166E18"/>
    <w:rsid w:val="0017394F"/>
    <w:rsid w:val="00184FC4"/>
    <w:rsid w:val="00187251"/>
    <w:rsid w:val="00187D07"/>
    <w:rsid w:val="00193C77"/>
    <w:rsid w:val="0019724F"/>
    <w:rsid w:val="001A0B7B"/>
    <w:rsid w:val="001A4185"/>
    <w:rsid w:val="001A5F21"/>
    <w:rsid w:val="001B559B"/>
    <w:rsid w:val="001B7878"/>
    <w:rsid w:val="001D0B4D"/>
    <w:rsid w:val="001D2B7A"/>
    <w:rsid w:val="001D4686"/>
    <w:rsid w:val="001D6648"/>
    <w:rsid w:val="001E15BC"/>
    <w:rsid w:val="001E3BFC"/>
    <w:rsid w:val="001E7258"/>
    <w:rsid w:val="001F6282"/>
    <w:rsid w:val="001F6877"/>
    <w:rsid w:val="00206586"/>
    <w:rsid w:val="00206D8F"/>
    <w:rsid w:val="002070E0"/>
    <w:rsid w:val="00222EE2"/>
    <w:rsid w:val="00226FDB"/>
    <w:rsid w:val="00230463"/>
    <w:rsid w:val="002322A0"/>
    <w:rsid w:val="00235A88"/>
    <w:rsid w:val="002365F9"/>
    <w:rsid w:val="002426C6"/>
    <w:rsid w:val="002668E0"/>
    <w:rsid w:val="002722E7"/>
    <w:rsid w:val="002853FC"/>
    <w:rsid w:val="00290553"/>
    <w:rsid w:val="00295664"/>
    <w:rsid w:val="002B1A4F"/>
    <w:rsid w:val="002B444D"/>
    <w:rsid w:val="002C1DD8"/>
    <w:rsid w:val="002C2719"/>
    <w:rsid w:val="002C281E"/>
    <w:rsid w:val="002C2A52"/>
    <w:rsid w:val="002C6940"/>
    <w:rsid w:val="002D1D33"/>
    <w:rsid w:val="002D6225"/>
    <w:rsid w:val="002D7579"/>
    <w:rsid w:val="002E57D3"/>
    <w:rsid w:val="002F0844"/>
    <w:rsid w:val="002F326D"/>
    <w:rsid w:val="00312B3E"/>
    <w:rsid w:val="00314144"/>
    <w:rsid w:val="00325D69"/>
    <w:rsid w:val="00331366"/>
    <w:rsid w:val="003432DD"/>
    <w:rsid w:val="00356B2B"/>
    <w:rsid w:val="003631B2"/>
    <w:rsid w:val="0036765B"/>
    <w:rsid w:val="00382E16"/>
    <w:rsid w:val="00384FEE"/>
    <w:rsid w:val="00385C9F"/>
    <w:rsid w:val="003873F9"/>
    <w:rsid w:val="0039143D"/>
    <w:rsid w:val="00393D30"/>
    <w:rsid w:val="00397D5C"/>
    <w:rsid w:val="003A2934"/>
    <w:rsid w:val="003B3326"/>
    <w:rsid w:val="003B671E"/>
    <w:rsid w:val="003C05A7"/>
    <w:rsid w:val="003C076A"/>
    <w:rsid w:val="003C2D0B"/>
    <w:rsid w:val="003C4E1C"/>
    <w:rsid w:val="003C5AAA"/>
    <w:rsid w:val="003D433C"/>
    <w:rsid w:val="003D66E0"/>
    <w:rsid w:val="003F0A89"/>
    <w:rsid w:val="003F786C"/>
    <w:rsid w:val="00404C4B"/>
    <w:rsid w:val="004109F8"/>
    <w:rsid w:val="0042446D"/>
    <w:rsid w:val="00424B5F"/>
    <w:rsid w:val="004275CE"/>
    <w:rsid w:val="00427754"/>
    <w:rsid w:val="00433838"/>
    <w:rsid w:val="0043403A"/>
    <w:rsid w:val="00436E80"/>
    <w:rsid w:val="0044704E"/>
    <w:rsid w:val="004479AE"/>
    <w:rsid w:val="004511C5"/>
    <w:rsid w:val="004518AE"/>
    <w:rsid w:val="00454138"/>
    <w:rsid w:val="00455225"/>
    <w:rsid w:val="004566A0"/>
    <w:rsid w:val="00456E70"/>
    <w:rsid w:val="004613B4"/>
    <w:rsid w:val="00462906"/>
    <w:rsid w:val="004A0C23"/>
    <w:rsid w:val="004A1910"/>
    <w:rsid w:val="004A4CF5"/>
    <w:rsid w:val="004B54AF"/>
    <w:rsid w:val="004B6676"/>
    <w:rsid w:val="004C0BEC"/>
    <w:rsid w:val="004D7075"/>
    <w:rsid w:val="004E4471"/>
    <w:rsid w:val="004E57D7"/>
    <w:rsid w:val="004E69CD"/>
    <w:rsid w:val="00503E26"/>
    <w:rsid w:val="00505DE1"/>
    <w:rsid w:val="0051029C"/>
    <w:rsid w:val="005124B8"/>
    <w:rsid w:val="005134E7"/>
    <w:rsid w:val="00513885"/>
    <w:rsid w:val="00520B26"/>
    <w:rsid w:val="00526D95"/>
    <w:rsid w:val="00531C4D"/>
    <w:rsid w:val="005401B6"/>
    <w:rsid w:val="005405EA"/>
    <w:rsid w:val="00540916"/>
    <w:rsid w:val="00542B0A"/>
    <w:rsid w:val="00543FE3"/>
    <w:rsid w:val="005516B4"/>
    <w:rsid w:val="00551A21"/>
    <w:rsid w:val="00554BDA"/>
    <w:rsid w:val="00560C68"/>
    <w:rsid w:val="005651BE"/>
    <w:rsid w:val="00572CAC"/>
    <w:rsid w:val="005752A5"/>
    <w:rsid w:val="00582402"/>
    <w:rsid w:val="0058416F"/>
    <w:rsid w:val="00585C6D"/>
    <w:rsid w:val="0058721C"/>
    <w:rsid w:val="005900DA"/>
    <w:rsid w:val="00593D76"/>
    <w:rsid w:val="0059411F"/>
    <w:rsid w:val="005A10A9"/>
    <w:rsid w:val="005A2D7A"/>
    <w:rsid w:val="005B08E9"/>
    <w:rsid w:val="005B0B95"/>
    <w:rsid w:val="005B2271"/>
    <w:rsid w:val="005B768D"/>
    <w:rsid w:val="005C59FC"/>
    <w:rsid w:val="005D2044"/>
    <w:rsid w:val="005D5DDD"/>
    <w:rsid w:val="005E16B4"/>
    <w:rsid w:val="005F18D6"/>
    <w:rsid w:val="005F29E4"/>
    <w:rsid w:val="005F2A28"/>
    <w:rsid w:val="005F46FA"/>
    <w:rsid w:val="005F78B5"/>
    <w:rsid w:val="0060749F"/>
    <w:rsid w:val="0061161C"/>
    <w:rsid w:val="0061255A"/>
    <w:rsid w:val="0061275C"/>
    <w:rsid w:val="00615C6C"/>
    <w:rsid w:val="006208EE"/>
    <w:rsid w:val="00627072"/>
    <w:rsid w:val="00635F01"/>
    <w:rsid w:val="00637351"/>
    <w:rsid w:val="006374A7"/>
    <w:rsid w:val="00637A88"/>
    <w:rsid w:val="00642F62"/>
    <w:rsid w:val="00643932"/>
    <w:rsid w:val="00666E64"/>
    <w:rsid w:val="0066714A"/>
    <w:rsid w:val="00671C10"/>
    <w:rsid w:val="006723D9"/>
    <w:rsid w:val="006768FF"/>
    <w:rsid w:val="00697F85"/>
    <w:rsid w:val="006A136B"/>
    <w:rsid w:val="006B0121"/>
    <w:rsid w:val="006C1644"/>
    <w:rsid w:val="006D6BCE"/>
    <w:rsid w:val="006D6DF0"/>
    <w:rsid w:val="006E7FE7"/>
    <w:rsid w:val="007009B8"/>
    <w:rsid w:val="007014CE"/>
    <w:rsid w:val="007050C6"/>
    <w:rsid w:val="0071062A"/>
    <w:rsid w:val="00711BCE"/>
    <w:rsid w:val="0071231B"/>
    <w:rsid w:val="00713B5F"/>
    <w:rsid w:val="00723585"/>
    <w:rsid w:val="00732217"/>
    <w:rsid w:val="00732691"/>
    <w:rsid w:val="00756327"/>
    <w:rsid w:val="00772A28"/>
    <w:rsid w:val="00775232"/>
    <w:rsid w:val="0078591E"/>
    <w:rsid w:val="00787364"/>
    <w:rsid w:val="007905A9"/>
    <w:rsid w:val="00794DBC"/>
    <w:rsid w:val="007A53EB"/>
    <w:rsid w:val="007A556A"/>
    <w:rsid w:val="007A5E74"/>
    <w:rsid w:val="007A6974"/>
    <w:rsid w:val="007C2D81"/>
    <w:rsid w:val="007C6B21"/>
    <w:rsid w:val="007C7186"/>
    <w:rsid w:val="007E60C0"/>
    <w:rsid w:val="007E6B49"/>
    <w:rsid w:val="007E6BAF"/>
    <w:rsid w:val="008071D6"/>
    <w:rsid w:val="00815A4A"/>
    <w:rsid w:val="00820157"/>
    <w:rsid w:val="008305AB"/>
    <w:rsid w:val="00830C23"/>
    <w:rsid w:val="00831AFE"/>
    <w:rsid w:val="008428AB"/>
    <w:rsid w:val="00842E95"/>
    <w:rsid w:val="00847246"/>
    <w:rsid w:val="008511FC"/>
    <w:rsid w:val="0085647D"/>
    <w:rsid w:val="008606AD"/>
    <w:rsid w:val="00870AB7"/>
    <w:rsid w:val="00874ABB"/>
    <w:rsid w:val="008761A5"/>
    <w:rsid w:val="00880042"/>
    <w:rsid w:val="00882018"/>
    <w:rsid w:val="00896072"/>
    <w:rsid w:val="008976E1"/>
    <w:rsid w:val="008C13C4"/>
    <w:rsid w:val="008C20D2"/>
    <w:rsid w:val="008D4A07"/>
    <w:rsid w:val="008E0FC9"/>
    <w:rsid w:val="008E1257"/>
    <w:rsid w:val="008E1ED3"/>
    <w:rsid w:val="008E2DEA"/>
    <w:rsid w:val="008E5B23"/>
    <w:rsid w:val="008E611D"/>
    <w:rsid w:val="008F1215"/>
    <w:rsid w:val="008F68A8"/>
    <w:rsid w:val="00901F76"/>
    <w:rsid w:val="00903911"/>
    <w:rsid w:val="009226BD"/>
    <w:rsid w:val="009240E4"/>
    <w:rsid w:val="00926E53"/>
    <w:rsid w:val="009317FA"/>
    <w:rsid w:val="00941DFC"/>
    <w:rsid w:val="00942624"/>
    <w:rsid w:val="00945F37"/>
    <w:rsid w:val="00952FDC"/>
    <w:rsid w:val="0095459F"/>
    <w:rsid w:val="0096127F"/>
    <w:rsid w:val="0096515E"/>
    <w:rsid w:val="00967A0B"/>
    <w:rsid w:val="00970AF6"/>
    <w:rsid w:val="00982DE7"/>
    <w:rsid w:val="00983542"/>
    <w:rsid w:val="009879AD"/>
    <w:rsid w:val="00997978"/>
    <w:rsid w:val="009A28B3"/>
    <w:rsid w:val="009A373C"/>
    <w:rsid w:val="009A707B"/>
    <w:rsid w:val="009C0485"/>
    <w:rsid w:val="009C2B6C"/>
    <w:rsid w:val="009C3021"/>
    <w:rsid w:val="009C504B"/>
    <w:rsid w:val="009C6C0B"/>
    <w:rsid w:val="009D10C9"/>
    <w:rsid w:val="009D7094"/>
    <w:rsid w:val="009E597A"/>
    <w:rsid w:val="009F0044"/>
    <w:rsid w:val="009F6BF1"/>
    <w:rsid w:val="00A13C20"/>
    <w:rsid w:val="00A2332D"/>
    <w:rsid w:val="00A23665"/>
    <w:rsid w:val="00A2518B"/>
    <w:rsid w:val="00A25554"/>
    <w:rsid w:val="00A279C6"/>
    <w:rsid w:val="00A3107C"/>
    <w:rsid w:val="00A35BDC"/>
    <w:rsid w:val="00A41189"/>
    <w:rsid w:val="00A42E75"/>
    <w:rsid w:val="00A5144E"/>
    <w:rsid w:val="00A5763A"/>
    <w:rsid w:val="00A609E1"/>
    <w:rsid w:val="00A74894"/>
    <w:rsid w:val="00A943BB"/>
    <w:rsid w:val="00A94FCD"/>
    <w:rsid w:val="00A962B5"/>
    <w:rsid w:val="00AA0EAE"/>
    <w:rsid w:val="00AB211F"/>
    <w:rsid w:val="00AC1FF4"/>
    <w:rsid w:val="00AC2CC0"/>
    <w:rsid w:val="00AC421E"/>
    <w:rsid w:val="00AC7F52"/>
    <w:rsid w:val="00AD0D10"/>
    <w:rsid w:val="00AD130D"/>
    <w:rsid w:val="00AD265F"/>
    <w:rsid w:val="00AD5493"/>
    <w:rsid w:val="00AD7982"/>
    <w:rsid w:val="00AE71AD"/>
    <w:rsid w:val="00AF3519"/>
    <w:rsid w:val="00AF7222"/>
    <w:rsid w:val="00B003B7"/>
    <w:rsid w:val="00B0230D"/>
    <w:rsid w:val="00B16C74"/>
    <w:rsid w:val="00B21967"/>
    <w:rsid w:val="00B3551C"/>
    <w:rsid w:val="00B36A81"/>
    <w:rsid w:val="00B44481"/>
    <w:rsid w:val="00B47A53"/>
    <w:rsid w:val="00B51528"/>
    <w:rsid w:val="00B5663A"/>
    <w:rsid w:val="00B61675"/>
    <w:rsid w:val="00B746A6"/>
    <w:rsid w:val="00B7712C"/>
    <w:rsid w:val="00B80FB0"/>
    <w:rsid w:val="00B82B24"/>
    <w:rsid w:val="00B910B5"/>
    <w:rsid w:val="00B91F8D"/>
    <w:rsid w:val="00B9252F"/>
    <w:rsid w:val="00B95B05"/>
    <w:rsid w:val="00BA25C8"/>
    <w:rsid w:val="00BA43C3"/>
    <w:rsid w:val="00BB0CDF"/>
    <w:rsid w:val="00BB70D4"/>
    <w:rsid w:val="00BC4DEA"/>
    <w:rsid w:val="00BC7301"/>
    <w:rsid w:val="00BD1D68"/>
    <w:rsid w:val="00BD6C89"/>
    <w:rsid w:val="00BE6663"/>
    <w:rsid w:val="00BF2E2B"/>
    <w:rsid w:val="00BF4366"/>
    <w:rsid w:val="00BF5D1C"/>
    <w:rsid w:val="00C1185F"/>
    <w:rsid w:val="00C2084C"/>
    <w:rsid w:val="00C24799"/>
    <w:rsid w:val="00C27A7B"/>
    <w:rsid w:val="00C418D4"/>
    <w:rsid w:val="00C536FA"/>
    <w:rsid w:val="00C5481C"/>
    <w:rsid w:val="00C60809"/>
    <w:rsid w:val="00C61A35"/>
    <w:rsid w:val="00C640A8"/>
    <w:rsid w:val="00C65E38"/>
    <w:rsid w:val="00C70B7E"/>
    <w:rsid w:val="00C71C09"/>
    <w:rsid w:val="00C72C42"/>
    <w:rsid w:val="00C77464"/>
    <w:rsid w:val="00C864EF"/>
    <w:rsid w:val="00C91CC7"/>
    <w:rsid w:val="00C92D5F"/>
    <w:rsid w:val="00C96A3C"/>
    <w:rsid w:val="00CA39DC"/>
    <w:rsid w:val="00CA3D87"/>
    <w:rsid w:val="00CB0D4C"/>
    <w:rsid w:val="00CB5981"/>
    <w:rsid w:val="00CC28B0"/>
    <w:rsid w:val="00CC60E0"/>
    <w:rsid w:val="00CD3853"/>
    <w:rsid w:val="00CE496B"/>
    <w:rsid w:val="00CE545A"/>
    <w:rsid w:val="00CE70CE"/>
    <w:rsid w:val="00CF3718"/>
    <w:rsid w:val="00CF6813"/>
    <w:rsid w:val="00D01F5B"/>
    <w:rsid w:val="00D128D4"/>
    <w:rsid w:val="00D1392F"/>
    <w:rsid w:val="00D2152E"/>
    <w:rsid w:val="00D228AC"/>
    <w:rsid w:val="00D36511"/>
    <w:rsid w:val="00D53534"/>
    <w:rsid w:val="00D539FE"/>
    <w:rsid w:val="00D53F4F"/>
    <w:rsid w:val="00D677B6"/>
    <w:rsid w:val="00D677CC"/>
    <w:rsid w:val="00D7106B"/>
    <w:rsid w:val="00D72616"/>
    <w:rsid w:val="00D9304D"/>
    <w:rsid w:val="00D97F36"/>
    <w:rsid w:val="00DB3CDD"/>
    <w:rsid w:val="00DB563E"/>
    <w:rsid w:val="00DC2EAD"/>
    <w:rsid w:val="00DD6A8A"/>
    <w:rsid w:val="00DE235F"/>
    <w:rsid w:val="00DF2353"/>
    <w:rsid w:val="00DF28FD"/>
    <w:rsid w:val="00E01B76"/>
    <w:rsid w:val="00E01D4A"/>
    <w:rsid w:val="00E04299"/>
    <w:rsid w:val="00E14475"/>
    <w:rsid w:val="00E213DA"/>
    <w:rsid w:val="00E236E3"/>
    <w:rsid w:val="00E27355"/>
    <w:rsid w:val="00E40E7B"/>
    <w:rsid w:val="00E45096"/>
    <w:rsid w:val="00E53F34"/>
    <w:rsid w:val="00E547AC"/>
    <w:rsid w:val="00E60D76"/>
    <w:rsid w:val="00E76295"/>
    <w:rsid w:val="00E848AF"/>
    <w:rsid w:val="00E85626"/>
    <w:rsid w:val="00E90BF8"/>
    <w:rsid w:val="00E9344E"/>
    <w:rsid w:val="00E937E1"/>
    <w:rsid w:val="00E93A62"/>
    <w:rsid w:val="00E94A13"/>
    <w:rsid w:val="00E95784"/>
    <w:rsid w:val="00EA173F"/>
    <w:rsid w:val="00EA2D3E"/>
    <w:rsid w:val="00EA5C21"/>
    <w:rsid w:val="00EB47F2"/>
    <w:rsid w:val="00EB4C51"/>
    <w:rsid w:val="00EB5E3E"/>
    <w:rsid w:val="00ED3749"/>
    <w:rsid w:val="00EE1D92"/>
    <w:rsid w:val="00EF0F4A"/>
    <w:rsid w:val="00F00EEC"/>
    <w:rsid w:val="00F12FC1"/>
    <w:rsid w:val="00F241D7"/>
    <w:rsid w:val="00F25AB5"/>
    <w:rsid w:val="00F32A8B"/>
    <w:rsid w:val="00F36EB4"/>
    <w:rsid w:val="00F36F2A"/>
    <w:rsid w:val="00F61344"/>
    <w:rsid w:val="00F6709B"/>
    <w:rsid w:val="00F724C3"/>
    <w:rsid w:val="00F80A43"/>
    <w:rsid w:val="00F81D49"/>
    <w:rsid w:val="00F83A5C"/>
    <w:rsid w:val="00F841A8"/>
    <w:rsid w:val="00F937FA"/>
    <w:rsid w:val="00F93913"/>
    <w:rsid w:val="00FA7250"/>
    <w:rsid w:val="00FB08BB"/>
    <w:rsid w:val="00FB12E1"/>
    <w:rsid w:val="00FB6FA8"/>
    <w:rsid w:val="00FC115E"/>
    <w:rsid w:val="00FC6001"/>
    <w:rsid w:val="00FD41AA"/>
    <w:rsid w:val="00FD44EB"/>
    <w:rsid w:val="00FD5494"/>
    <w:rsid w:val="00FE35C7"/>
    <w:rsid w:val="00FE7F8F"/>
    <w:rsid w:val="00FF0946"/>
    <w:rsid w:val="00FF3337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width-percent:400;mso-width-relative:margin;mso-height-relative:margin" fillcolor="none [1310]" strokecolor="none [1950]">
      <v:fill color="none [1310]"/>
      <v:stroke color="none [1950]" weight=".5pt"/>
      <v:shadow on="t" color="none [1310]" opacity=".5"/>
      <v:textbox inset=",14.3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A8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eastAsia="Arial" w:hAnsi="Arial" w:cs="Arial"/>
      <w:color w:val="333333"/>
      <w:sz w:val="20"/>
      <w:szCs w:val="20"/>
    </w:rPr>
  </w:style>
  <w:style w:type="paragraph" w:styleId="Nadpis1">
    <w:name w:val="heading 1"/>
    <w:next w:val="Normln"/>
    <w:link w:val="Nadpis1Char"/>
    <w:autoRedefine/>
    <w:uiPriority w:val="9"/>
    <w:qFormat/>
    <w:rsid w:val="00A42E75"/>
    <w:pPr>
      <w:keepNext/>
      <w:numPr>
        <w:numId w:val="3"/>
      </w:numPr>
      <w:spacing w:before="360" w:after="113"/>
      <w:outlineLvl w:val="0"/>
    </w:pPr>
    <w:rPr>
      <w:rFonts w:ascii="Arial" w:eastAsia="Arial" w:hAnsi="Arial" w:cs="Arial"/>
      <w:b/>
      <w:bCs/>
      <w:color w:val="E9640D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71C10"/>
    <w:pPr>
      <w:numPr>
        <w:ilvl w:val="1"/>
      </w:numPr>
      <w:spacing w:before="240" w:after="60"/>
      <w:outlineLvl w:val="1"/>
    </w:pPr>
    <w:rPr>
      <w:sz w:val="24"/>
      <w:szCs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71C10"/>
    <w:pPr>
      <w:keepLines/>
      <w:numPr>
        <w:ilvl w:val="2"/>
      </w:numPr>
      <w:spacing w:before="200"/>
      <w:outlineLvl w:val="2"/>
    </w:pPr>
    <w:rPr>
      <w:rFonts w:asciiTheme="majorHAnsi" w:eastAsiaTheme="majorEastAsia" w:hAnsiTheme="majorHAnsi" w:cstheme="majorBidi"/>
      <w:bCs w:val="0"/>
      <w:color w:val="EA640D" w:themeColor="accent1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2A8B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A640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2A8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743106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2A8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43106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2A8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979898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2A8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979898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2A8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979898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28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8D4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D128D4"/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3383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838"/>
  </w:style>
  <w:style w:type="paragraph" w:styleId="Zpat">
    <w:name w:val="footer"/>
    <w:basedOn w:val="Normln"/>
    <w:link w:val="ZpatChar"/>
    <w:uiPriority w:val="99"/>
    <w:unhideWhenUsed/>
    <w:rsid w:val="0043383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838"/>
  </w:style>
  <w:style w:type="paragraph" w:styleId="Nzev">
    <w:name w:val="Title"/>
    <w:basedOn w:val="Zkladnodstavec"/>
    <w:next w:val="Normln"/>
    <w:link w:val="NzevChar"/>
    <w:uiPriority w:val="10"/>
    <w:qFormat/>
    <w:rsid w:val="00842E95"/>
    <w:pPr>
      <w:spacing w:after="113"/>
    </w:pPr>
    <w:rPr>
      <w:rFonts w:ascii="Arial" w:hAnsi="Arial" w:cs="Arial"/>
      <w:color w:val="E9640D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842E95"/>
    <w:rPr>
      <w:rFonts w:ascii="Arial" w:hAnsi="Arial" w:cs="Arial"/>
      <w:color w:val="E9640D"/>
      <w:sz w:val="44"/>
      <w:szCs w:val="44"/>
    </w:rPr>
  </w:style>
  <w:style w:type="character" w:customStyle="1" w:styleId="Nadpis1Char">
    <w:name w:val="Nadpis 1 Char"/>
    <w:basedOn w:val="Standardnpsmoodstavce"/>
    <w:link w:val="Nadpis1"/>
    <w:uiPriority w:val="9"/>
    <w:rsid w:val="00A42E75"/>
    <w:rPr>
      <w:rFonts w:ascii="Arial" w:eastAsia="Arial" w:hAnsi="Arial" w:cs="Arial"/>
      <w:b/>
      <w:bCs/>
      <w:color w:val="E9640D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71C10"/>
    <w:rPr>
      <w:rFonts w:ascii="Arial" w:eastAsia="Arial" w:hAnsi="Arial" w:cs="Arial"/>
      <w:b/>
      <w:bCs/>
      <w:color w:val="E9640D"/>
      <w:sz w:val="24"/>
    </w:rPr>
  </w:style>
  <w:style w:type="character" w:styleId="Siln">
    <w:name w:val="Strong"/>
    <w:uiPriority w:val="22"/>
    <w:qFormat/>
    <w:rsid w:val="0058721C"/>
    <w:rPr>
      <w:b/>
      <w:color w:val="333333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671C10"/>
    <w:rPr>
      <w:rFonts w:asciiTheme="majorHAnsi" w:eastAsiaTheme="majorEastAsia" w:hAnsiTheme="majorHAnsi" w:cstheme="majorBidi"/>
      <w:b/>
      <w:color w:val="EA640D" w:themeColor="accent1"/>
    </w:rPr>
  </w:style>
  <w:style w:type="paragraph" w:customStyle="1" w:styleId="boxnadpis">
    <w:name w:val="box nadpis"/>
    <w:link w:val="boxnadpisChar"/>
    <w:qFormat/>
    <w:rsid w:val="005A2D7A"/>
    <w:pPr>
      <w:spacing w:before="60"/>
    </w:pPr>
    <w:rPr>
      <w:rFonts w:asciiTheme="majorHAnsi" w:eastAsiaTheme="majorEastAsia" w:hAnsiTheme="majorHAnsi" w:cstheme="majorBidi"/>
      <w:b/>
      <w:bCs/>
      <w:color w:val="EA640D" w:themeColor="accent1"/>
      <w:sz w:val="24"/>
      <w:szCs w:val="20"/>
    </w:rPr>
  </w:style>
  <w:style w:type="paragraph" w:customStyle="1" w:styleId="boxtext">
    <w:name w:val="box text"/>
    <w:basedOn w:val="Normln"/>
    <w:link w:val="boxtextChar"/>
    <w:qFormat/>
    <w:rsid w:val="00F36EB4"/>
    <w:rPr>
      <w:i/>
      <w:sz w:val="16"/>
      <w:szCs w:val="16"/>
    </w:rPr>
  </w:style>
  <w:style w:type="character" w:customStyle="1" w:styleId="boxnadpisChar">
    <w:name w:val="box nadpis Char"/>
    <w:basedOn w:val="Nadpis3Char"/>
    <w:link w:val="boxnadpis"/>
    <w:rsid w:val="005A2D7A"/>
    <w:rPr>
      <w:rFonts w:asciiTheme="majorHAnsi" w:eastAsiaTheme="majorEastAsia" w:hAnsiTheme="majorHAnsi" w:cstheme="majorBidi"/>
      <w:b/>
      <w:color w:val="EA640D" w:themeColor="accent1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D1D33"/>
    <w:pPr>
      <w:ind w:left="720"/>
      <w:contextualSpacing/>
    </w:pPr>
  </w:style>
  <w:style w:type="character" w:customStyle="1" w:styleId="boxtextChar">
    <w:name w:val="box text Char"/>
    <w:basedOn w:val="Standardnpsmoodstavce"/>
    <w:link w:val="boxtext"/>
    <w:rsid w:val="00F36EB4"/>
    <w:rPr>
      <w:rFonts w:ascii="Arial" w:hAnsi="Arial" w:cs="Arial"/>
      <w:i/>
      <w:color w:val="747575"/>
      <w:sz w:val="16"/>
      <w:szCs w:val="16"/>
    </w:rPr>
  </w:style>
  <w:style w:type="paragraph" w:customStyle="1" w:styleId="list1">
    <w:name w:val="list 1"/>
    <w:basedOn w:val="Zkladnodstavec"/>
    <w:link w:val="list1Char"/>
    <w:qFormat/>
    <w:rsid w:val="002D1D33"/>
    <w:pPr>
      <w:numPr>
        <w:numId w:val="1"/>
      </w:numPr>
    </w:pPr>
    <w:rPr>
      <w:rFonts w:ascii="Arial" w:hAnsi="Arial" w:cs="Arial"/>
      <w:b/>
      <w:bCs/>
      <w:color w:val="757676"/>
      <w:sz w:val="20"/>
      <w:szCs w:val="20"/>
    </w:rPr>
  </w:style>
  <w:style w:type="paragraph" w:customStyle="1" w:styleId="Seznam21">
    <w:name w:val="Seznam 21"/>
    <w:basedOn w:val="Odstavecseseznamem"/>
    <w:link w:val="list2Char"/>
    <w:qFormat/>
    <w:rsid w:val="002D1D33"/>
    <w:pPr>
      <w:numPr>
        <w:numId w:val="2"/>
      </w:numPr>
    </w:p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2D1D33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1Char">
    <w:name w:val="list 1 Char"/>
    <w:basedOn w:val="ZkladnodstavecChar"/>
    <w:link w:val="list1"/>
    <w:rsid w:val="002D1D33"/>
    <w:rPr>
      <w:rFonts w:ascii="Arial" w:eastAsia="Arial" w:hAnsi="Arial" w:cs="Arial"/>
      <w:b/>
      <w:bCs/>
      <w:color w:val="757676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D1D33"/>
    <w:rPr>
      <w:color w:val="CD4614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D1D33"/>
    <w:rPr>
      <w:rFonts w:ascii="Arial" w:hAnsi="Arial" w:cs="Arial"/>
      <w:color w:val="747575"/>
      <w:sz w:val="20"/>
      <w:szCs w:val="20"/>
    </w:rPr>
  </w:style>
  <w:style w:type="character" w:customStyle="1" w:styleId="list2Char">
    <w:name w:val="list 2 Char"/>
    <w:basedOn w:val="OdstavecseseznamemChar"/>
    <w:link w:val="Seznam21"/>
    <w:rsid w:val="002D1D33"/>
    <w:rPr>
      <w:rFonts w:ascii="Arial" w:eastAsia="Arial" w:hAnsi="Arial" w:cs="Arial"/>
      <w:color w:val="333333"/>
      <w:sz w:val="20"/>
      <w:szCs w:val="20"/>
    </w:rPr>
  </w:style>
  <w:style w:type="character" w:styleId="Zdraznnjemn">
    <w:name w:val="Subtle Emphasis"/>
    <w:basedOn w:val="Standardnpsmoodstavce"/>
    <w:uiPriority w:val="19"/>
    <w:qFormat/>
    <w:rsid w:val="00572CAC"/>
    <w:rPr>
      <w:i/>
      <w:iCs/>
      <w:color w:val="BABABA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72CAC"/>
    <w:rPr>
      <w:b/>
      <w:bCs/>
      <w:i/>
      <w:iCs/>
      <w:color w:val="EA640D" w:themeColor="accent1"/>
    </w:rPr>
  </w:style>
  <w:style w:type="character" w:styleId="Zvraznn">
    <w:name w:val="Emphasis"/>
    <w:basedOn w:val="Standardnpsmoodstavce"/>
    <w:uiPriority w:val="20"/>
    <w:qFormat/>
    <w:rsid w:val="00572CAC"/>
    <w:rPr>
      <w:i/>
      <w:iCs/>
    </w:rPr>
  </w:style>
  <w:style w:type="paragraph" w:styleId="Podtitul">
    <w:name w:val="Subtitle"/>
    <w:basedOn w:val="Normln"/>
    <w:next w:val="Normln"/>
    <w:link w:val="PodtitulChar"/>
    <w:uiPriority w:val="11"/>
    <w:qFormat/>
    <w:rsid w:val="00572CAC"/>
    <w:pPr>
      <w:numPr>
        <w:ilvl w:val="1"/>
      </w:numPr>
    </w:pPr>
    <w:rPr>
      <w:rFonts w:asciiTheme="majorHAnsi" w:eastAsiaTheme="majorEastAsia" w:hAnsiTheme="majorHAnsi" w:cstheme="majorBidi"/>
      <w:i/>
      <w:iCs/>
      <w:color w:val="EA640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72CAC"/>
    <w:rPr>
      <w:rFonts w:asciiTheme="majorHAnsi" w:eastAsiaTheme="majorEastAsia" w:hAnsiTheme="majorHAnsi" w:cstheme="majorBidi"/>
      <w:i/>
      <w:iCs/>
      <w:color w:val="EA640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428AB"/>
    <w:rPr>
      <w:color w:val="808080"/>
    </w:rPr>
  </w:style>
  <w:style w:type="character" w:styleId="Nzevknihy">
    <w:name w:val="Book Title"/>
    <w:basedOn w:val="Standardnpsmoodstavce"/>
    <w:uiPriority w:val="33"/>
    <w:qFormat/>
    <w:rsid w:val="002C6940"/>
    <w:rPr>
      <w:b/>
      <w:bCs/>
      <w:smallCaps/>
      <w:spacing w:val="5"/>
    </w:rPr>
  </w:style>
  <w:style w:type="paragraph" w:styleId="Citace">
    <w:name w:val="Quote"/>
    <w:basedOn w:val="Normln"/>
    <w:next w:val="Normln"/>
    <w:link w:val="CitaceChar"/>
    <w:uiPriority w:val="29"/>
    <w:qFormat/>
    <w:rsid w:val="002C6940"/>
    <w:rPr>
      <w:i/>
      <w:iCs/>
      <w:color w:val="757676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2C6940"/>
    <w:rPr>
      <w:rFonts w:ascii="Arial" w:eastAsia="Arial" w:hAnsi="Arial" w:cs="Arial"/>
      <w:i/>
      <w:iCs/>
      <w:color w:val="757676" w:themeColor="text1"/>
      <w:sz w:val="20"/>
      <w:szCs w:val="20"/>
    </w:rPr>
  </w:style>
  <w:style w:type="paragraph" w:styleId="Bezmezer">
    <w:name w:val="No Spacing"/>
    <w:uiPriority w:val="1"/>
    <w:qFormat/>
    <w:rsid w:val="002C6940"/>
    <w:pPr>
      <w:autoSpaceDE w:val="0"/>
      <w:autoSpaceDN w:val="0"/>
      <w:adjustRightInd w:val="0"/>
      <w:spacing w:after="0" w:line="240" w:lineRule="auto"/>
      <w:textAlignment w:val="center"/>
    </w:pPr>
    <w:rPr>
      <w:rFonts w:ascii="Arial" w:eastAsia="Arial" w:hAnsi="Arial" w:cs="Arial"/>
      <w:color w:val="747575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2A8B"/>
    <w:rPr>
      <w:rFonts w:asciiTheme="majorHAnsi" w:eastAsiaTheme="majorEastAsia" w:hAnsiTheme="majorHAnsi" w:cstheme="majorBidi"/>
      <w:b/>
      <w:bCs/>
      <w:i/>
      <w:iCs/>
      <w:color w:val="EA640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2A8B"/>
    <w:rPr>
      <w:rFonts w:asciiTheme="majorHAnsi" w:eastAsiaTheme="majorEastAsia" w:hAnsiTheme="majorHAnsi" w:cstheme="majorBidi"/>
      <w:color w:val="743106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2A8B"/>
    <w:rPr>
      <w:rFonts w:asciiTheme="majorHAnsi" w:eastAsiaTheme="majorEastAsia" w:hAnsiTheme="majorHAnsi" w:cstheme="majorBidi"/>
      <w:i/>
      <w:iCs/>
      <w:color w:val="743106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2A8B"/>
    <w:rPr>
      <w:rFonts w:asciiTheme="majorHAnsi" w:eastAsiaTheme="majorEastAsia" w:hAnsiTheme="majorHAnsi" w:cstheme="majorBidi"/>
      <w:i/>
      <w:iCs/>
      <w:color w:val="979898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2A8B"/>
    <w:rPr>
      <w:rFonts w:asciiTheme="majorHAnsi" w:eastAsiaTheme="majorEastAsia" w:hAnsiTheme="majorHAnsi" w:cstheme="majorBidi"/>
      <w:color w:val="979898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2A8B"/>
    <w:rPr>
      <w:rFonts w:asciiTheme="majorHAnsi" w:eastAsiaTheme="majorEastAsia" w:hAnsiTheme="majorHAnsi" w:cstheme="majorBidi"/>
      <w:i/>
      <w:iCs/>
      <w:color w:val="979898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2D7A"/>
    <w:pPr>
      <w:keepLines/>
      <w:numPr>
        <w:numId w:val="0"/>
      </w:numPr>
      <w:spacing w:before="480" w:after="360"/>
      <w:outlineLvl w:val="9"/>
    </w:pPr>
    <w:rPr>
      <w:rFonts w:eastAsia="Times New Roman" w:cs="Times New Roman"/>
      <w:color w:val="AF4A09"/>
    </w:rPr>
  </w:style>
  <w:style w:type="paragraph" w:styleId="Obsah1">
    <w:name w:val="toc 1"/>
    <w:basedOn w:val="Normln"/>
    <w:next w:val="Normln"/>
    <w:uiPriority w:val="39"/>
    <w:unhideWhenUsed/>
    <w:qFormat/>
    <w:rsid w:val="009879AD"/>
    <w:pPr>
      <w:spacing w:after="100"/>
    </w:pPr>
    <w:rPr>
      <w:sz w:val="22"/>
    </w:rPr>
  </w:style>
  <w:style w:type="paragraph" w:styleId="Obsah3">
    <w:name w:val="toc 3"/>
    <w:basedOn w:val="Normln"/>
    <w:next w:val="Normln"/>
    <w:autoRedefine/>
    <w:uiPriority w:val="39"/>
    <w:unhideWhenUsed/>
    <w:rsid w:val="00671C10"/>
    <w:pPr>
      <w:spacing w:after="100"/>
      <w:ind w:left="400"/>
    </w:pPr>
  </w:style>
  <w:style w:type="paragraph" w:styleId="Obsah2">
    <w:name w:val="toc 2"/>
    <w:basedOn w:val="Normln"/>
    <w:next w:val="Normln"/>
    <w:uiPriority w:val="39"/>
    <w:unhideWhenUsed/>
    <w:qFormat/>
    <w:rsid w:val="009879AD"/>
    <w:pPr>
      <w:autoSpaceDE/>
      <w:autoSpaceDN/>
      <w:adjustRightInd/>
      <w:spacing w:after="100" w:line="276" w:lineRule="auto"/>
      <w:ind w:left="220"/>
      <w:textAlignment w:val="auto"/>
    </w:pPr>
    <w:rPr>
      <w:rFonts w:eastAsia="Times New Roman" w:cs="Times New Roman"/>
      <w:szCs w:val="22"/>
    </w:rPr>
  </w:style>
  <w:style w:type="numbering" w:customStyle="1" w:styleId="MMseznam">
    <w:name w:val="MM seznam"/>
    <w:uiPriority w:val="99"/>
    <w:rsid w:val="00B910B5"/>
    <w:pPr>
      <w:numPr>
        <w:numId w:val="4"/>
      </w:numPr>
    </w:pPr>
  </w:style>
  <w:style w:type="paragraph" w:styleId="Normlnweb">
    <w:name w:val="Normal (Web)"/>
    <w:basedOn w:val="Normln"/>
    <w:uiPriority w:val="99"/>
    <w:semiHidden/>
    <w:unhideWhenUsed/>
    <w:rsid w:val="002E57D3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D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5">
    <w:name w:val="Light List Accent 5"/>
    <w:basedOn w:val="Normlntabulka"/>
    <w:uiPriority w:val="61"/>
    <w:rsid w:val="00A42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A6A0" w:themeColor="accent5"/>
        <w:left w:val="single" w:sz="8" w:space="0" w:color="A2A6A0" w:themeColor="accent5"/>
        <w:bottom w:val="single" w:sz="8" w:space="0" w:color="A2A6A0" w:themeColor="accent5"/>
        <w:right w:val="single" w:sz="8" w:space="0" w:color="A2A6A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A6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6A0" w:themeColor="accent5"/>
          <w:left w:val="single" w:sz="8" w:space="0" w:color="A2A6A0" w:themeColor="accent5"/>
          <w:bottom w:val="single" w:sz="8" w:space="0" w:color="A2A6A0" w:themeColor="accent5"/>
          <w:right w:val="single" w:sz="8" w:space="0" w:color="A2A6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A6A0" w:themeColor="accent5"/>
          <w:left w:val="single" w:sz="8" w:space="0" w:color="A2A6A0" w:themeColor="accent5"/>
          <w:bottom w:val="single" w:sz="8" w:space="0" w:color="A2A6A0" w:themeColor="accent5"/>
          <w:right w:val="single" w:sz="8" w:space="0" w:color="A2A6A0" w:themeColor="accent5"/>
        </w:tcBorders>
      </w:tcPr>
    </w:tblStylePr>
    <w:tblStylePr w:type="band1Horz">
      <w:tblPr/>
      <w:tcPr>
        <w:tcBorders>
          <w:top w:val="single" w:sz="8" w:space="0" w:color="A2A6A0" w:themeColor="accent5"/>
          <w:left w:val="single" w:sz="8" w:space="0" w:color="A2A6A0" w:themeColor="accent5"/>
          <w:bottom w:val="single" w:sz="8" w:space="0" w:color="A2A6A0" w:themeColor="accent5"/>
          <w:right w:val="single" w:sz="8" w:space="0" w:color="A2A6A0" w:themeColor="accent5"/>
        </w:tcBorders>
      </w:tcPr>
    </w:tblStylePr>
  </w:style>
  <w:style w:type="table" w:customStyle="1" w:styleId="Svtlmka1">
    <w:name w:val="Světlá mřížka1"/>
    <w:basedOn w:val="Normlntabulka"/>
    <w:uiPriority w:val="62"/>
    <w:rsid w:val="00F25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57676" w:themeColor="text1"/>
        <w:left w:val="single" w:sz="8" w:space="0" w:color="757676" w:themeColor="text1"/>
        <w:bottom w:val="single" w:sz="8" w:space="0" w:color="757676" w:themeColor="text1"/>
        <w:right w:val="single" w:sz="8" w:space="0" w:color="757676" w:themeColor="text1"/>
        <w:insideH w:val="single" w:sz="8" w:space="0" w:color="757676" w:themeColor="text1"/>
        <w:insideV w:val="single" w:sz="8" w:space="0" w:color="757676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7676" w:themeColor="text1"/>
          <w:left w:val="single" w:sz="8" w:space="0" w:color="757676" w:themeColor="text1"/>
          <w:bottom w:val="single" w:sz="18" w:space="0" w:color="757676" w:themeColor="text1"/>
          <w:right w:val="single" w:sz="8" w:space="0" w:color="757676" w:themeColor="text1"/>
          <w:insideH w:val="nil"/>
          <w:insideV w:val="single" w:sz="8" w:space="0" w:color="75767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7676" w:themeColor="text1"/>
          <w:left w:val="single" w:sz="8" w:space="0" w:color="757676" w:themeColor="text1"/>
          <w:bottom w:val="single" w:sz="8" w:space="0" w:color="757676" w:themeColor="text1"/>
          <w:right w:val="single" w:sz="8" w:space="0" w:color="757676" w:themeColor="text1"/>
          <w:insideH w:val="nil"/>
          <w:insideV w:val="single" w:sz="8" w:space="0" w:color="75767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7676" w:themeColor="text1"/>
          <w:left w:val="single" w:sz="8" w:space="0" w:color="757676" w:themeColor="text1"/>
          <w:bottom w:val="single" w:sz="8" w:space="0" w:color="757676" w:themeColor="text1"/>
          <w:right w:val="single" w:sz="8" w:space="0" w:color="757676" w:themeColor="text1"/>
        </w:tcBorders>
      </w:tcPr>
    </w:tblStylePr>
    <w:tblStylePr w:type="band1Vert">
      <w:tblPr/>
      <w:tcPr>
        <w:tcBorders>
          <w:top w:val="single" w:sz="8" w:space="0" w:color="757676" w:themeColor="text1"/>
          <w:left w:val="single" w:sz="8" w:space="0" w:color="757676" w:themeColor="text1"/>
          <w:bottom w:val="single" w:sz="8" w:space="0" w:color="757676" w:themeColor="text1"/>
          <w:right w:val="single" w:sz="8" w:space="0" w:color="757676" w:themeColor="text1"/>
        </w:tcBorders>
        <w:shd w:val="clear" w:color="auto" w:fill="DCDDDD" w:themeFill="text1" w:themeFillTint="3F"/>
      </w:tcPr>
    </w:tblStylePr>
    <w:tblStylePr w:type="band1Horz">
      <w:tblPr/>
      <w:tcPr>
        <w:tcBorders>
          <w:top w:val="single" w:sz="8" w:space="0" w:color="757676" w:themeColor="text1"/>
          <w:left w:val="single" w:sz="8" w:space="0" w:color="757676" w:themeColor="text1"/>
          <w:bottom w:val="single" w:sz="8" w:space="0" w:color="757676" w:themeColor="text1"/>
          <w:right w:val="single" w:sz="8" w:space="0" w:color="757676" w:themeColor="text1"/>
          <w:insideV w:val="single" w:sz="8" w:space="0" w:color="757676" w:themeColor="text1"/>
        </w:tcBorders>
        <w:shd w:val="clear" w:color="auto" w:fill="DCDDDD" w:themeFill="text1" w:themeFillTint="3F"/>
      </w:tcPr>
    </w:tblStylePr>
    <w:tblStylePr w:type="band2Horz">
      <w:tblPr/>
      <w:tcPr>
        <w:tcBorders>
          <w:top w:val="single" w:sz="8" w:space="0" w:color="757676" w:themeColor="text1"/>
          <w:left w:val="single" w:sz="8" w:space="0" w:color="757676" w:themeColor="text1"/>
          <w:bottom w:val="single" w:sz="8" w:space="0" w:color="757676" w:themeColor="text1"/>
          <w:right w:val="single" w:sz="8" w:space="0" w:color="757676" w:themeColor="text1"/>
          <w:insideV w:val="single" w:sz="8" w:space="0" w:color="757676" w:themeColor="text1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C2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81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281E"/>
    <w:rPr>
      <w:rFonts w:ascii="Arial" w:eastAsia="Arial" w:hAnsi="Arial" w:cs="Arial"/>
      <w:color w:val="33333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2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281E"/>
    <w:rPr>
      <w:rFonts w:ascii="Arial" w:eastAsia="Arial" w:hAnsi="Arial" w:cs="Arial"/>
      <w:b/>
      <w:bCs/>
      <w:color w:val="333333"/>
      <w:sz w:val="20"/>
      <w:szCs w:val="20"/>
    </w:rPr>
  </w:style>
  <w:style w:type="table" w:styleId="Svtlmkazvraznn4">
    <w:name w:val="Light Grid Accent 4"/>
    <w:basedOn w:val="Normlntabulka"/>
    <w:uiPriority w:val="62"/>
    <w:rsid w:val="006374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200" w:themeColor="accent4"/>
        <w:left w:val="single" w:sz="8" w:space="0" w:color="F9B200" w:themeColor="accent4"/>
        <w:bottom w:val="single" w:sz="8" w:space="0" w:color="F9B200" w:themeColor="accent4"/>
        <w:right w:val="single" w:sz="8" w:space="0" w:color="F9B200" w:themeColor="accent4"/>
        <w:insideH w:val="single" w:sz="8" w:space="0" w:color="F9B200" w:themeColor="accent4"/>
        <w:insideV w:val="single" w:sz="8" w:space="0" w:color="F9B2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00" w:themeColor="accent4"/>
          <w:left w:val="single" w:sz="8" w:space="0" w:color="F9B200" w:themeColor="accent4"/>
          <w:bottom w:val="single" w:sz="18" w:space="0" w:color="F9B200" w:themeColor="accent4"/>
          <w:right w:val="single" w:sz="8" w:space="0" w:color="F9B200" w:themeColor="accent4"/>
          <w:insideH w:val="nil"/>
          <w:insideV w:val="single" w:sz="8" w:space="0" w:color="F9B2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200" w:themeColor="accent4"/>
          <w:left w:val="single" w:sz="8" w:space="0" w:color="F9B200" w:themeColor="accent4"/>
          <w:bottom w:val="single" w:sz="8" w:space="0" w:color="F9B200" w:themeColor="accent4"/>
          <w:right w:val="single" w:sz="8" w:space="0" w:color="F9B200" w:themeColor="accent4"/>
          <w:insideH w:val="nil"/>
          <w:insideV w:val="single" w:sz="8" w:space="0" w:color="F9B2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00" w:themeColor="accent4"/>
          <w:left w:val="single" w:sz="8" w:space="0" w:color="F9B200" w:themeColor="accent4"/>
          <w:bottom w:val="single" w:sz="8" w:space="0" w:color="F9B200" w:themeColor="accent4"/>
          <w:right w:val="single" w:sz="8" w:space="0" w:color="F9B200" w:themeColor="accent4"/>
        </w:tcBorders>
      </w:tcPr>
    </w:tblStylePr>
    <w:tblStylePr w:type="band1Vert">
      <w:tblPr/>
      <w:tcPr>
        <w:tcBorders>
          <w:top w:val="single" w:sz="8" w:space="0" w:color="F9B200" w:themeColor="accent4"/>
          <w:left w:val="single" w:sz="8" w:space="0" w:color="F9B200" w:themeColor="accent4"/>
          <w:bottom w:val="single" w:sz="8" w:space="0" w:color="F9B200" w:themeColor="accent4"/>
          <w:right w:val="single" w:sz="8" w:space="0" w:color="F9B200" w:themeColor="accent4"/>
        </w:tcBorders>
        <w:shd w:val="clear" w:color="auto" w:fill="FFECBE" w:themeFill="accent4" w:themeFillTint="3F"/>
      </w:tcPr>
    </w:tblStylePr>
    <w:tblStylePr w:type="band1Horz">
      <w:tblPr/>
      <w:tcPr>
        <w:tcBorders>
          <w:top w:val="single" w:sz="8" w:space="0" w:color="F9B200" w:themeColor="accent4"/>
          <w:left w:val="single" w:sz="8" w:space="0" w:color="F9B200" w:themeColor="accent4"/>
          <w:bottom w:val="single" w:sz="8" w:space="0" w:color="F9B200" w:themeColor="accent4"/>
          <w:right w:val="single" w:sz="8" w:space="0" w:color="F9B200" w:themeColor="accent4"/>
          <w:insideV w:val="single" w:sz="8" w:space="0" w:color="F9B200" w:themeColor="accent4"/>
        </w:tcBorders>
        <w:shd w:val="clear" w:color="auto" w:fill="FFECBE" w:themeFill="accent4" w:themeFillTint="3F"/>
      </w:tcPr>
    </w:tblStylePr>
    <w:tblStylePr w:type="band2Horz">
      <w:tblPr/>
      <w:tcPr>
        <w:tcBorders>
          <w:top w:val="single" w:sz="8" w:space="0" w:color="F9B200" w:themeColor="accent4"/>
          <w:left w:val="single" w:sz="8" w:space="0" w:color="F9B200" w:themeColor="accent4"/>
          <w:bottom w:val="single" w:sz="8" w:space="0" w:color="F9B200" w:themeColor="accent4"/>
          <w:right w:val="single" w:sz="8" w:space="0" w:color="F9B200" w:themeColor="accent4"/>
          <w:insideV w:val="single" w:sz="8" w:space="0" w:color="F9B200" w:themeColor="accent4"/>
        </w:tcBorders>
      </w:tcPr>
    </w:tblStylePr>
  </w:style>
  <w:style w:type="character" w:customStyle="1" w:styleId="hps">
    <w:name w:val="hps"/>
    <w:basedOn w:val="Standardnpsmoodstavce"/>
    <w:rsid w:val="009C2B6C"/>
  </w:style>
  <w:style w:type="numbering" w:styleId="lnekoddl">
    <w:name w:val="Outline List 3"/>
    <w:basedOn w:val="Bezseznamu"/>
    <w:uiPriority w:val="99"/>
    <w:semiHidden/>
    <w:rsid w:val="002F0844"/>
    <w:pPr>
      <w:numPr>
        <w:numId w:val="12"/>
      </w:numPr>
    </w:pPr>
  </w:style>
  <w:style w:type="paragraph" w:customStyle="1" w:styleId="polozkacena">
    <w:name w:val="polozka_cena"/>
    <w:basedOn w:val="Normln"/>
    <w:rsid w:val="00AD7982"/>
    <w:pPr>
      <w:autoSpaceDE/>
      <w:autoSpaceDN/>
      <w:adjustRightInd/>
      <w:spacing w:before="120" w:after="120" w:line="240" w:lineRule="auto"/>
      <w:jc w:val="both"/>
      <w:textAlignment w:val="auto"/>
    </w:pPr>
    <w:rPr>
      <w:rFonts w:eastAsia="Times New Roman" w:cs="Times New Roman"/>
      <w:b/>
      <w:snapToGrid w:val="0"/>
      <w:color w:val="auto"/>
      <w:sz w:val="22"/>
      <w:lang w:eastAsia="cs-CZ"/>
    </w:rPr>
  </w:style>
  <w:style w:type="character" w:customStyle="1" w:styleId="apple-converted-space">
    <w:name w:val="apple-converted-space"/>
    <w:basedOn w:val="Standardnpsmoodstavce"/>
    <w:rsid w:val="00F36F2A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65E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65E38"/>
    <w:rPr>
      <w:rFonts w:ascii="Tahoma" w:eastAsia="Arial" w:hAnsi="Tahoma" w:cs="Tahoma"/>
      <w:color w:val="33333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alloonText">
    <w:name w:val="lnekoddl"/>
  </w:style>
  <w:style w:type="numbering" w:customStyle="1" w:styleId="BalloonTextChar">
    <w:name w:val="MMseznam"/>
    <w:pPr>
      <w:numPr>
        <w:numId w:val="4"/>
      </w:numPr>
    </w:pPr>
  </w:style>
  <w:style w:type="numbering" w:customStyle="1" w:styleId="Zkladnodstavec">
    <w:name w:val="ArticleSection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9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\Data%20aplikac&#237;\Microsoft\&#352;ablony\MM_DOC_sablona_prazdna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757676"/>
      </a:dk1>
      <a:lt1>
        <a:sysClr val="window" lastClr="FFFFFF"/>
      </a:lt1>
      <a:dk2>
        <a:srgbClr val="EA640D"/>
      </a:dk2>
      <a:lt2>
        <a:srgbClr val="BFC2B5"/>
      </a:lt2>
      <a:accent1>
        <a:srgbClr val="EA640D"/>
      </a:accent1>
      <a:accent2>
        <a:srgbClr val="BFC254"/>
      </a:accent2>
      <a:accent3>
        <a:srgbClr val="F29400"/>
      </a:accent3>
      <a:accent4>
        <a:srgbClr val="F9B200"/>
      </a:accent4>
      <a:accent5>
        <a:srgbClr val="A2A6A0"/>
      </a:accent5>
      <a:accent6>
        <a:srgbClr val="F79646"/>
      </a:accent6>
      <a:hlink>
        <a:srgbClr val="CD4614"/>
      </a:hlink>
      <a:folHlink>
        <a:srgbClr val="660033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692F-D501-420B-9317-F7F403B6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MM_DOC_sablona_prazdna.dotx</Template>
  <TotalTime>754</TotalTime>
  <Pages>6</Pages>
  <Words>1032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Mycroft Mind a.s.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WPP AMM – Simulační testy</dc:subject>
  <dc:creator>Zdenek Hejna</dc:creator>
  <cp:lastModifiedBy>Filip</cp:lastModifiedBy>
  <cp:revision>6</cp:revision>
  <cp:lastPrinted>2013-12-10T11:41:00Z</cp:lastPrinted>
  <dcterms:created xsi:type="dcterms:W3CDTF">2014-02-23T17:25:00Z</dcterms:created>
  <dcterms:modified xsi:type="dcterms:W3CDTF">2014-02-24T09:17:00Z</dcterms:modified>
</cp:coreProperties>
</file>