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F90" w:rsidRDefault="00005F90" w:rsidP="00005F90">
      <w:pPr>
        <w:spacing w:after="919" w:line="259" w:lineRule="auto"/>
        <w:ind w:left="357" w:firstLine="0"/>
      </w:pPr>
    </w:p>
    <w:p w:rsidR="00005F90" w:rsidRDefault="00005F90" w:rsidP="00005F90">
      <w:pPr>
        <w:spacing w:after="27" w:line="259" w:lineRule="auto"/>
        <w:ind w:left="413" w:firstLine="0"/>
        <w:jc w:val="center"/>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161" w:line="259" w:lineRule="auto"/>
        <w:ind w:left="357" w:firstLine="0"/>
      </w:pPr>
      <w:r>
        <w:t xml:space="preserve"> </w:t>
      </w:r>
    </w:p>
    <w:p w:rsidR="00005F90" w:rsidRDefault="00005F90" w:rsidP="00005F90">
      <w:pPr>
        <w:pStyle w:val="Heading1"/>
        <w:spacing w:after="48"/>
      </w:pPr>
      <w:r>
        <w:t xml:space="preserve">SERVICE LEVEL AGREEMENT </w:t>
      </w:r>
    </w:p>
    <w:p w:rsidR="00005F90" w:rsidRDefault="00005F90" w:rsidP="00005F90">
      <w:pPr>
        <w:spacing w:after="0" w:line="259" w:lineRule="auto"/>
        <w:ind w:left="451" w:firstLine="0"/>
        <w:jc w:val="center"/>
      </w:pPr>
      <w:r>
        <w:rPr>
          <w:sz w:val="36"/>
        </w:rPr>
        <w:t xml:space="preserve"> </w:t>
      </w:r>
    </w:p>
    <w:p w:rsidR="00005F90" w:rsidRDefault="00005F90" w:rsidP="00005F90">
      <w:pPr>
        <w:spacing w:after="42" w:line="259" w:lineRule="auto"/>
        <w:ind w:left="429" w:firstLine="0"/>
        <w:jc w:val="center"/>
      </w:pPr>
      <w:r>
        <w:rPr>
          <w:sz w:val="28"/>
        </w:rPr>
        <w:t xml:space="preserve"> </w:t>
      </w:r>
    </w:p>
    <w:p w:rsidR="00005F90" w:rsidRDefault="00005F90" w:rsidP="00005F90">
      <w:pPr>
        <w:spacing w:after="39" w:line="259" w:lineRule="auto"/>
        <w:ind w:left="3034" w:right="2489" w:firstLine="0"/>
      </w:pPr>
      <w:r>
        <w:rPr>
          <w:sz w:val="28"/>
        </w:rPr>
        <w:t xml:space="preserve">CUIT Converged Infrastructure:  </w:t>
      </w:r>
    </w:p>
    <w:p w:rsidR="00005F90" w:rsidRDefault="00005F90" w:rsidP="00005F90">
      <w:pPr>
        <w:spacing w:after="39" w:line="259" w:lineRule="auto"/>
        <w:ind w:left="4279" w:right="2489" w:hanging="873"/>
      </w:pPr>
      <w:r>
        <w:rPr>
          <w:sz w:val="28"/>
        </w:rPr>
        <w:t xml:space="preserve">Infrastructure Services for  VM Hosting </w:t>
      </w:r>
    </w:p>
    <w:p w:rsidR="00005F90" w:rsidRDefault="00005F90" w:rsidP="00005F90">
      <w:pPr>
        <w:spacing w:after="27" w:line="259" w:lineRule="auto"/>
        <w:ind w:left="1126" w:firstLine="0"/>
        <w:jc w:val="center"/>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rPr>
          <w:color w:val="FF0000"/>
        </w:rPr>
        <w:t xml:space="preserve"> </w:t>
      </w:r>
    </w:p>
    <w:p w:rsidR="00005F90" w:rsidRDefault="00005F90" w:rsidP="00005F90">
      <w:pPr>
        <w:spacing w:after="136" w:line="259" w:lineRule="auto"/>
        <w:ind w:left="357" w:firstLine="0"/>
      </w:pPr>
      <w:r>
        <w:rPr>
          <w:color w:val="FF0000"/>
        </w:rPr>
        <w:t xml:space="preserve"> </w:t>
      </w:r>
    </w:p>
    <w:p w:rsidR="00005F90" w:rsidRDefault="00005F90" w:rsidP="00005F90">
      <w:pPr>
        <w:spacing w:after="0" w:line="259" w:lineRule="auto"/>
        <w:ind w:left="0" w:right="1404" w:firstLine="0"/>
        <w:jc w:val="right"/>
      </w:pPr>
      <w:r>
        <w:rPr>
          <w:noProof/>
        </w:rPr>
        <w:drawing>
          <wp:inline distT="0" distB="0" distL="0" distR="0" wp14:anchorId="41F60A14" wp14:editId="16ED788F">
            <wp:extent cx="3966474" cy="717743"/>
            <wp:effectExtent l="0" t="0" r="0" b="0"/>
            <wp:docPr id="33" name="Picture 3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3" name="Picture 33" descr="Text&#10;&#10;Description automatically generated"/>
                    <pic:cNvPicPr/>
                  </pic:nvPicPr>
                  <pic:blipFill>
                    <a:blip r:embed="rId5"/>
                    <a:stretch>
                      <a:fillRect/>
                    </a:stretch>
                  </pic:blipFill>
                  <pic:spPr>
                    <a:xfrm>
                      <a:off x="0" y="0"/>
                      <a:ext cx="3966474" cy="717743"/>
                    </a:xfrm>
                    <a:prstGeom prst="rect">
                      <a:avLst/>
                    </a:prstGeom>
                  </pic:spPr>
                </pic:pic>
              </a:graphicData>
            </a:graphic>
          </wp:inline>
        </w:drawing>
      </w:r>
      <w:r>
        <w:rPr>
          <w:sz w:val="32"/>
        </w:rP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rPr>
          <w:color w:val="FF0000"/>
        </w:rP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tabs>
          <w:tab w:val="center" w:pos="1465"/>
          <w:tab w:val="center" w:pos="2678"/>
        </w:tabs>
        <w:ind w:left="0" w:firstLine="0"/>
      </w:pPr>
      <w:r>
        <w:rPr>
          <w:rFonts w:ascii="Calibri" w:eastAsia="Calibri" w:hAnsi="Calibri" w:cs="Calibri"/>
        </w:rPr>
        <w:tab/>
      </w:r>
      <w:r>
        <w:t xml:space="preserve">Version: </w:t>
      </w:r>
      <w:r>
        <w:tab/>
        <w:t xml:space="preserve"> 1.0  </w:t>
      </w:r>
    </w:p>
    <w:p w:rsidR="00005F90" w:rsidRDefault="00005F90" w:rsidP="00005F90">
      <w:pPr>
        <w:tabs>
          <w:tab w:val="center" w:pos="1064"/>
          <w:tab w:val="center" w:pos="2788"/>
        </w:tabs>
        <w:ind w:left="0" w:firstLine="0"/>
      </w:pPr>
      <w:r>
        <w:rPr>
          <w:rFonts w:ascii="Calibri" w:eastAsia="Calibri" w:hAnsi="Calibri" w:cs="Calibri"/>
        </w:rPr>
        <w:tab/>
      </w:r>
      <w:r>
        <w:t xml:space="preserve">            Author: </w:t>
      </w:r>
      <w:r>
        <w:tab/>
        <w:t xml:space="preserve"> CUIT </w:t>
      </w:r>
    </w:p>
    <w:p w:rsidR="00005F90" w:rsidRDefault="00005F90" w:rsidP="00005F90">
      <w:pPr>
        <w:tabs>
          <w:tab w:val="center" w:pos="975"/>
          <w:tab w:val="center" w:pos="3132"/>
          <w:tab w:val="center" w:pos="5354"/>
        </w:tabs>
        <w:ind w:left="0" w:firstLine="0"/>
      </w:pPr>
      <w:r>
        <w:rPr>
          <w:rFonts w:ascii="Calibri" w:eastAsia="Calibri" w:hAnsi="Calibri" w:cs="Calibri"/>
        </w:rPr>
        <w:tab/>
      </w:r>
      <w:r>
        <w:t xml:space="preserve">            Date:</w:t>
      </w:r>
      <w:r>
        <w:tab/>
        <w:t>August, 2015</w:t>
      </w:r>
      <w:r>
        <w:tab/>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280" w:line="259" w:lineRule="auto"/>
        <w:ind w:left="357" w:firstLine="0"/>
      </w:pPr>
      <w:r>
        <w:t xml:space="preserve"> </w:t>
      </w:r>
    </w:p>
    <w:p w:rsidR="00005F90" w:rsidRDefault="00005F90" w:rsidP="00005F90">
      <w:pPr>
        <w:spacing w:after="0" w:line="259" w:lineRule="auto"/>
        <w:ind w:left="357" w:firstLine="0"/>
      </w:pPr>
      <w:r>
        <w:t xml:space="preserve"> </w:t>
      </w:r>
    </w:p>
    <w:p w:rsidR="00005F90" w:rsidRDefault="00005F90" w:rsidP="00005F90">
      <w:pPr>
        <w:spacing w:after="161" w:line="259" w:lineRule="auto"/>
        <w:ind w:left="357" w:firstLine="0"/>
      </w:pPr>
      <w:r>
        <w:t xml:space="preserve"> </w:t>
      </w:r>
    </w:p>
    <w:p w:rsidR="00005F90" w:rsidRDefault="00005F90" w:rsidP="00005F90">
      <w:pPr>
        <w:spacing w:after="122" w:line="259" w:lineRule="auto"/>
        <w:ind w:left="344" w:firstLine="0"/>
        <w:jc w:val="center"/>
      </w:pPr>
      <w:r>
        <w:rPr>
          <w:sz w:val="36"/>
        </w:rPr>
        <w:t xml:space="preserve">Table of Contents </w:t>
      </w:r>
    </w:p>
    <w:p w:rsidR="00005F90" w:rsidRDefault="00005F90" w:rsidP="00005F90">
      <w:pPr>
        <w:spacing w:after="32" w:line="259" w:lineRule="auto"/>
        <w:ind w:left="724"/>
      </w:pPr>
      <w:r>
        <w:rPr>
          <w:color w:val="1155CC"/>
          <w:sz w:val="24"/>
          <w:u w:val="single" w:color="1155CC"/>
        </w:rPr>
        <w:t>1.0Document Change History</w:t>
      </w:r>
      <w:r>
        <w:rPr>
          <w:color w:val="1155CC"/>
          <w:sz w:val="24"/>
        </w:rPr>
        <w:t xml:space="preserve"> </w:t>
      </w:r>
    </w:p>
    <w:p w:rsidR="00005F90" w:rsidRDefault="00005F90" w:rsidP="00005F90">
      <w:pPr>
        <w:spacing w:after="32" w:line="259" w:lineRule="auto"/>
        <w:ind w:left="724"/>
      </w:pPr>
      <w:r>
        <w:rPr>
          <w:color w:val="1155CC"/>
          <w:sz w:val="24"/>
          <w:u w:val="single" w:color="1155CC"/>
        </w:rPr>
        <w:t>2.0 Overview</w:t>
      </w:r>
      <w:r>
        <w:rPr>
          <w:color w:val="1155CC"/>
          <w:sz w:val="24"/>
        </w:rPr>
        <w:t xml:space="preserve"> </w:t>
      </w:r>
    </w:p>
    <w:p w:rsidR="00005F90" w:rsidRDefault="00005F90" w:rsidP="00005F90">
      <w:pPr>
        <w:spacing w:after="32" w:line="259" w:lineRule="auto"/>
        <w:ind w:left="1066"/>
      </w:pPr>
      <w:r>
        <w:rPr>
          <w:color w:val="1155CC"/>
          <w:sz w:val="24"/>
          <w:u w:val="single" w:color="1155CC"/>
        </w:rPr>
        <w:t>2.1  SLA Introduction</w:t>
      </w:r>
      <w:r>
        <w:rPr>
          <w:color w:val="1155CC"/>
          <w:sz w:val="24"/>
        </w:rPr>
        <w:t xml:space="preserve"> </w:t>
      </w:r>
    </w:p>
    <w:p w:rsidR="00005F90" w:rsidRDefault="00005F90" w:rsidP="00005F90">
      <w:pPr>
        <w:spacing w:after="32" w:line="259" w:lineRule="auto"/>
        <w:ind w:left="1066"/>
      </w:pPr>
      <w:r>
        <w:rPr>
          <w:color w:val="1155CC"/>
          <w:sz w:val="24"/>
          <w:u w:val="single" w:color="1155CC"/>
        </w:rPr>
        <w:t>2.2 SLA Purpose</w:t>
      </w:r>
      <w:r>
        <w:rPr>
          <w:color w:val="1155CC"/>
          <w:sz w:val="24"/>
        </w:rPr>
        <w:t xml:space="preserve"> </w:t>
      </w:r>
    </w:p>
    <w:p w:rsidR="00005F90" w:rsidRDefault="00005F90" w:rsidP="00005F90">
      <w:pPr>
        <w:spacing w:after="32" w:line="259" w:lineRule="auto"/>
        <w:ind w:left="1066"/>
      </w:pPr>
      <w:r>
        <w:rPr>
          <w:color w:val="1155CC"/>
          <w:sz w:val="24"/>
          <w:u w:val="single" w:color="1155CC"/>
        </w:rPr>
        <w:t>2.3 SLA Duration &amp; Parameters</w:t>
      </w:r>
      <w:r>
        <w:rPr>
          <w:color w:val="1155CC"/>
          <w:sz w:val="24"/>
        </w:rPr>
        <w:t xml:space="preserve"> </w:t>
      </w:r>
    </w:p>
    <w:p w:rsidR="00005F90" w:rsidRDefault="00005F90" w:rsidP="00005F90">
      <w:pPr>
        <w:spacing w:after="32" w:line="259" w:lineRule="auto"/>
        <w:ind w:left="724"/>
      </w:pPr>
      <w:r>
        <w:rPr>
          <w:color w:val="1155CC"/>
          <w:sz w:val="24"/>
          <w:u w:val="single" w:color="1155CC"/>
        </w:rPr>
        <w:t>3.0 Service Description, Tier &amp; Targets</w:t>
      </w:r>
      <w:r>
        <w:rPr>
          <w:color w:val="1155CC"/>
          <w:sz w:val="24"/>
        </w:rPr>
        <w:t xml:space="preserve"> </w:t>
      </w:r>
    </w:p>
    <w:p w:rsidR="00005F90" w:rsidRDefault="00005F90" w:rsidP="00005F90">
      <w:pPr>
        <w:spacing w:after="32" w:line="259" w:lineRule="auto"/>
        <w:ind w:left="1066"/>
      </w:pPr>
      <w:r>
        <w:rPr>
          <w:color w:val="1155CC"/>
          <w:sz w:val="24"/>
          <w:u w:val="single" w:color="1155CC"/>
        </w:rPr>
        <w:t>3.1 Service Description</w:t>
      </w:r>
      <w:r>
        <w:rPr>
          <w:color w:val="1155CC"/>
          <w:sz w:val="24"/>
        </w:rPr>
        <w:t xml:space="preserve"> </w:t>
      </w:r>
    </w:p>
    <w:p w:rsidR="00005F90" w:rsidRDefault="00005F90" w:rsidP="00005F90">
      <w:pPr>
        <w:spacing w:after="32" w:line="259" w:lineRule="auto"/>
        <w:ind w:left="1066"/>
      </w:pPr>
      <w:r>
        <w:rPr>
          <w:color w:val="1155CC"/>
          <w:sz w:val="24"/>
          <w:u w:val="single" w:color="1155CC"/>
        </w:rPr>
        <w:t>3.2 Service Availability Targets</w:t>
      </w:r>
      <w:r>
        <w:rPr>
          <w:color w:val="1155CC"/>
          <w:sz w:val="24"/>
        </w:rPr>
        <w:t xml:space="preserve"> </w:t>
      </w:r>
    </w:p>
    <w:p w:rsidR="00005F90" w:rsidRDefault="00005F90" w:rsidP="00005F90">
      <w:pPr>
        <w:spacing w:after="32" w:line="259" w:lineRule="auto"/>
        <w:ind w:left="1066"/>
      </w:pPr>
      <w:r>
        <w:rPr>
          <w:color w:val="1155CC"/>
          <w:sz w:val="24"/>
          <w:u w:val="single" w:color="1155CC"/>
        </w:rPr>
        <w:t>3.3 Service Maintenance</w:t>
      </w:r>
      <w:r>
        <w:rPr>
          <w:color w:val="1155CC"/>
          <w:sz w:val="24"/>
        </w:rPr>
        <w:t xml:space="preserve"> </w:t>
      </w:r>
    </w:p>
    <w:p w:rsidR="00005F90" w:rsidRDefault="00005F90" w:rsidP="00005F90">
      <w:pPr>
        <w:spacing w:after="32" w:line="259" w:lineRule="auto"/>
        <w:ind w:left="10" w:right="1758"/>
        <w:jc w:val="right"/>
      </w:pPr>
      <w:r>
        <w:rPr>
          <w:color w:val="1155CC"/>
          <w:sz w:val="24"/>
          <w:u w:val="single" w:color="1155CC"/>
        </w:rPr>
        <w:t>Maintenance Windows: Standard, Non­Standard, Emergency</w:t>
      </w:r>
      <w:r>
        <w:rPr>
          <w:color w:val="1155CC"/>
          <w:sz w:val="24"/>
        </w:rPr>
        <w:t xml:space="preserve"> </w:t>
      </w:r>
    </w:p>
    <w:p w:rsidR="00005F90" w:rsidRDefault="00005F90" w:rsidP="00005F90">
      <w:pPr>
        <w:spacing w:after="32" w:line="259" w:lineRule="auto"/>
        <w:ind w:left="1438"/>
      </w:pPr>
      <w:r>
        <w:rPr>
          <w:color w:val="1155CC"/>
          <w:sz w:val="24"/>
          <w:u w:val="single" w:color="1155CC"/>
        </w:rPr>
        <w:t>Maintenance Notifications/Announcements</w:t>
      </w:r>
      <w:r>
        <w:rPr>
          <w:color w:val="1155CC"/>
          <w:sz w:val="24"/>
        </w:rPr>
        <w:t xml:space="preserve"> </w:t>
      </w:r>
    </w:p>
    <w:p w:rsidR="00005F90" w:rsidRDefault="00005F90" w:rsidP="00005F90">
      <w:pPr>
        <w:spacing w:after="32" w:line="259" w:lineRule="auto"/>
        <w:ind w:left="1066"/>
      </w:pPr>
      <w:r>
        <w:rPr>
          <w:color w:val="1155CC"/>
          <w:sz w:val="24"/>
          <w:u w:val="single" w:color="1155CC"/>
        </w:rPr>
        <w:t>3.4 Service Continuity</w:t>
      </w:r>
      <w:r>
        <w:rPr>
          <w:color w:val="1155CC"/>
          <w:sz w:val="24"/>
        </w:rPr>
        <w:t xml:space="preserve"> </w:t>
      </w:r>
    </w:p>
    <w:p w:rsidR="00005F90" w:rsidRDefault="00005F90" w:rsidP="00005F90">
      <w:pPr>
        <w:spacing w:after="32" w:line="259" w:lineRule="auto"/>
        <w:ind w:left="1066"/>
      </w:pPr>
      <w:r>
        <w:rPr>
          <w:color w:val="1155CC"/>
          <w:sz w:val="24"/>
          <w:u w:val="single" w:color="1155CC"/>
        </w:rPr>
        <w:t>3.5 Service Scalability</w:t>
      </w:r>
      <w:r>
        <w:rPr>
          <w:color w:val="1155CC"/>
          <w:sz w:val="24"/>
        </w:rPr>
        <w:t xml:space="preserve"> </w:t>
      </w:r>
    </w:p>
    <w:p w:rsidR="00005F90" w:rsidRDefault="00005F90" w:rsidP="00005F90">
      <w:pPr>
        <w:spacing w:after="32" w:line="259" w:lineRule="auto"/>
        <w:ind w:left="1066"/>
      </w:pPr>
      <w:r>
        <w:rPr>
          <w:color w:val="1155CC"/>
          <w:sz w:val="24"/>
          <w:u w:val="single" w:color="1155CC"/>
        </w:rPr>
        <w:t>3.6 Service Security</w:t>
      </w:r>
      <w:r>
        <w:rPr>
          <w:color w:val="1155CC"/>
          <w:sz w:val="24"/>
        </w:rPr>
        <w:t xml:space="preserve"> </w:t>
      </w:r>
    </w:p>
    <w:p w:rsidR="00005F90" w:rsidRDefault="00005F90" w:rsidP="00005F90">
      <w:pPr>
        <w:numPr>
          <w:ilvl w:val="0"/>
          <w:numId w:val="1"/>
        </w:numPr>
        <w:spacing w:after="32" w:line="259" w:lineRule="auto"/>
        <w:ind w:hanging="331"/>
      </w:pPr>
      <w:r>
        <w:rPr>
          <w:color w:val="1155CC"/>
          <w:sz w:val="24"/>
          <w:u w:val="single" w:color="1155CC"/>
        </w:rPr>
        <w:t>Service Management, Support &amp; Escalation</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Support Hours</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Support Phone Contact</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Service Desk</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Incident and Major Incident Management</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Change Management</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Handling and Response times</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Escalation Requests and Procedures</w:t>
      </w:r>
      <w:r>
        <w:rPr>
          <w:color w:val="1155CC"/>
          <w:sz w:val="24"/>
        </w:rPr>
        <w:t xml:space="preserve"> </w:t>
      </w:r>
    </w:p>
    <w:p w:rsidR="00005F90" w:rsidRDefault="00005F90" w:rsidP="00005F90">
      <w:pPr>
        <w:numPr>
          <w:ilvl w:val="0"/>
          <w:numId w:val="1"/>
        </w:numPr>
        <w:spacing w:after="32" w:line="259" w:lineRule="auto"/>
        <w:ind w:hanging="331"/>
      </w:pPr>
      <w:r>
        <w:rPr>
          <w:color w:val="1155CC"/>
          <w:sz w:val="24"/>
          <w:u w:val="single" w:color="1155CC"/>
        </w:rPr>
        <w:t>Monitoring Service Performance</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Process &amp; Procedural Responsibilities</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Service Reporting</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Performance Review</w:t>
      </w:r>
      <w:r>
        <w:rPr>
          <w:color w:val="1155CC"/>
          <w:sz w:val="24"/>
        </w:rPr>
        <w:t xml:space="preserve"> </w:t>
      </w:r>
    </w:p>
    <w:p w:rsidR="00005F90" w:rsidRDefault="00005F90" w:rsidP="00005F90">
      <w:pPr>
        <w:numPr>
          <w:ilvl w:val="0"/>
          <w:numId w:val="1"/>
        </w:numPr>
        <w:spacing w:after="32" w:line="259" w:lineRule="auto"/>
        <w:ind w:hanging="331"/>
      </w:pPr>
      <w:r>
        <w:rPr>
          <w:color w:val="1155CC"/>
          <w:sz w:val="24"/>
          <w:u w:val="single" w:color="1155CC"/>
        </w:rPr>
        <w:t>Conditions of Services Provided</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Standards and Policies</w:t>
      </w:r>
      <w:r>
        <w:rPr>
          <w:color w:val="1155CC"/>
          <w:sz w:val="24"/>
        </w:rPr>
        <w:t xml:space="preserve"> </w:t>
      </w:r>
    </w:p>
    <w:p w:rsidR="00005F90" w:rsidRDefault="00005F90" w:rsidP="00005F90">
      <w:pPr>
        <w:numPr>
          <w:ilvl w:val="1"/>
          <w:numId w:val="1"/>
        </w:numPr>
        <w:spacing w:after="32" w:line="259" w:lineRule="auto"/>
        <w:ind w:hanging="397"/>
      </w:pPr>
      <w:r>
        <w:rPr>
          <w:color w:val="1155CC"/>
          <w:sz w:val="24"/>
          <w:u w:val="single" w:color="1155CC"/>
        </w:rPr>
        <w:t>Responsibilities &amp; Exclusions</w:t>
      </w:r>
      <w:r>
        <w:rPr>
          <w:color w:val="1155CC"/>
          <w:sz w:val="24"/>
        </w:rPr>
        <w:t xml:space="preserve"> </w:t>
      </w:r>
    </w:p>
    <w:p w:rsidR="00005F90" w:rsidRDefault="00005F90" w:rsidP="00005F90">
      <w:pPr>
        <w:numPr>
          <w:ilvl w:val="0"/>
          <w:numId w:val="1"/>
        </w:numPr>
        <w:spacing w:after="32" w:line="259" w:lineRule="auto"/>
        <w:ind w:hanging="331"/>
      </w:pPr>
      <w:r>
        <w:rPr>
          <w:color w:val="1155CC"/>
          <w:sz w:val="24"/>
          <w:u w:val="single" w:color="1155CC"/>
        </w:rPr>
        <w:t>SLA Signatures</w:t>
      </w:r>
      <w:r>
        <w:rPr>
          <w:color w:val="1155CC"/>
          <w:sz w:val="24"/>
        </w:rPr>
        <w:t xml:space="preserve"> </w:t>
      </w:r>
    </w:p>
    <w:p w:rsidR="00005F90" w:rsidRDefault="00005F90" w:rsidP="00005F90">
      <w:pPr>
        <w:spacing w:after="32" w:line="259" w:lineRule="auto"/>
        <w:ind w:left="724"/>
      </w:pPr>
      <w:r>
        <w:rPr>
          <w:color w:val="1155CC"/>
          <w:sz w:val="24"/>
          <w:u w:val="single" w:color="1155CC"/>
        </w:rPr>
        <w:t>APPENDICES</w:t>
      </w:r>
      <w:r>
        <w:rPr>
          <w:color w:val="1155CC"/>
          <w:sz w:val="24"/>
        </w:rPr>
        <w:t xml:space="preserve"> </w:t>
      </w:r>
    </w:p>
    <w:p w:rsidR="00005F90" w:rsidRDefault="00005F90" w:rsidP="00005F90">
      <w:pPr>
        <w:spacing w:after="32" w:line="259" w:lineRule="auto"/>
        <w:ind w:left="1066"/>
      </w:pPr>
      <w:r>
        <w:rPr>
          <w:color w:val="1155CC"/>
          <w:sz w:val="24"/>
          <w:u w:val="single" w:color="1155CC"/>
        </w:rPr>
        <w:t>APPENDIX A: CUIT Service Owner &amp; Key Business Stakeholders</w:t>
      </w:r>
      <w:r>
        <w:rPr>
          <w:color w:val="1155CC"/>
          <w:sz w:val="24"/>
        </w:rPr>
        <w:t xml:space="preserve"> </w:t>
      </w:r>
    </w:p>
    <w:p w:rsidR="00005F90" w:rsidRDefault="00005F90" w:rsidP="00005F90">
      <w:pPr>
        <w:spacing w:after="32" w:line="259" w:lineRule="auto"/>
        <w:ind w:left="1066"/>
      </w:pPr>
      <w:r>
        <w:rPr>
          <w:color w:val="1155CC"/>
          <w:sz w:val="24"/>
          <w:u w:val="single" w:color="1155CC"/>
        </w:rPr>
        <w:t>APPENDIX B:  Availability Percentages</w:t>
      </w:r>
      <w:r>
        <w:rPr>
          <w:color w:val="1155CC"/>
          <w:sz w:val="24"/>
        </w:rPr>
        <w:t xml:space="preserve"> </w:t>
      </w:r>
    </w:p>
    <w:p w:rsidR="00005F90" w:rsidRDefault="00005F90" w:rsidP="00005F90">
      <w:pPr>
        <w:spacing w:after="32" w:line="259" w:lineRule="auto"/>
        <w:ind w:left="1066"/>
      </w:pPr>
      <w:r>
        <w:rPr>
          <w:color w:val="1155CC"/>
          <w:sz w:val="24"/>
          <w:u w:val="single" w:color="1155CC"/>
        </w:rPr>
        <w:t>APPENDIX C: Guaranteed Service Component Levels</w:t>
      </w:r>
      <w:r>
        <w:rPr>
          <w:color w:val="1155CC"/>
          <w:sz w:val="24"/>
        </w:rPr>
        <w:t xml:space="preserve"> </w:t>
      </w:r>
    </w:p>
    <w:p w:rsidR="00005F90" w:rsidRDefault="00005F90" w:rsidP="00005F90">
      <w:pPr>
        <w:spacing w:after="32" w:line="259" w:lineRule="auto"/>
        <w:ind w:left="1066"/>
      </w:pPr>
      <w:r>
        <w:rPr>
          <w:color w:val="1155CC"/>
          <w:sz w:val="24"/>
          <w:u w:val="single" w:color="1155CC"/>
        </w:rPr>
        <w:t>APPENDIX D: Priority Definitions</w:t>
      </w:r>
      <w:r>
        <w:rPr>
          <w:color w:val="1155CC"/>
          <w:sz w:val="24"/>
        </w:rPr>
        <w:t xml:space="preserve"> </w:t>
      </w:r>
    </w:p>
    <w:p w:rsidR="00005F90" w:rsidRDefault="00005F90" w:rsidP="00005F90">
      <w:pPr>
        <w:spacing w:after="32" w:line="259" w:lineRule="auto"/>
        <w:ind w:left="10" w:right="2871"/>
        <w:jc w:val="right"/>
      </w:pPr>
      <w:r>
        <w:rPr>
          <w:color w:val="1155CC"/>
          <w:sz w:val="24"/>
          <w:u w:val="single" w:color="1155CC"/>
        </w:rPr>
        <w:t>APPENDIX E: CUIT Technical Standards and Policies</w:t>
      </w:r>
      <w:r>
        <w:rPr>
          <w:color w:val="1155CC"/>
          <w:sz w:val="24"/>
        </w:rPr>
        <w:t xml:space="preserve"> </w:t>
      </w:r>
    </w:p>
    <w:p w:rsidR="00005F90" w:rsidRDefault="00005F90" w:rsidP="00005F90">
      <w:pPr>
        <w:spacing w:after="32" w:line="259" w:lineRule="auto"/>
        <w:ind w:left="1066"/>
      </w:pPr>
      <w:r>
        <w:rPr>
          <w:color w:val="1155CC"/>
          <w:sz w:val="24"/>
          <w:u w:val="single" w:color="1155CC"/>
        </w:rPr>
        <w:t>APPENDIX F: ​Pricing Model</w:t>
      </w:r>
      <w:r>
        <w:rPr>
          <w:color w:val="1155CC"/>
          <w:sz w:val="24"/>
        </w:rPr>
        <w:t xml:space="preserve"> </w:t>
      </w:r>
    </w:p>
    <w:p w:rsidR="00005F90" w:rsidRDefault="00005F90" w:rsidP="00005F90">
      <w:pPr>
        <w:spacing w:after="32" w:line="259" w:lineRule="auto"/>
        <w:ind w:left="1066"/>
      </w:pPr>
      <w:r>
        <w:rPr>
          <w:color w:val="1155CC"/>
          <w:sz w:val="24"/>
          <w:u w:val="single" w:color="1155CC"/>
        </w:rPr>
        <w:t>APPENDIX G: General</w:t>
      </w:r>
      <w:r>
        <w:rPr>
          <w:color w:val="1155CC"/>
          <w:sz w:val="24"/>
        </w:rPr>
        <w:t xml:space="preserve"> </w:t>
      </w:r>
    </w:p>
    <w:p w:rsidR="00005F90" w:rsidRDefault="00005F90" w:rsidP="00005F90">
      <w:pPr>
        <w:spacing w:after="354" w:line="259" w:lineRule="auto"/>
        <w:ind w:left="357" w:firstLine="0"/>
      </w:pPr>
      <w:r>
        <w:t xml:space="preserve"> </w:t>
      </w:r>
    </w:p>
    <w:p w:rsidR="00005F90" w:rsidRDefault="00005F90" w:rsidP="00005F90">
      <w:pPr>
        <w:spacing w:after="241" w:line="259" w:lineRule="auto"/>
        <w:ind w:left="0" w:firstLine="0"/>
      </w:pPr>
      <w:r>
        <w:rPr>
          <w:sz w:val="36"/>
        </w:rPr>
        <w:t xml:space="preserve"> </w:t>
      </w:r>
    </w:p>
    <w:p w:rsidR="00005F90" w:rsidRDefault="00005F90" w:rsidP="00005F90">
      <w:pPr>
        <w:spacing w:after="0" w:line="259" w:lineRule="auto"/>
        <w:ind w:left="0" w:firstLine="0"/>
      </w:pPr>
      <w:r>
        <w:rPr>
          <w:sz w:val="36"/>
        </w:rPr>
        <w:t xml:space="preserve"> </w:t>
      </w:r>
      <w:r>
        <w:rPr>
          <w:sz w:val="36"/>
        </w:rPr>
        <w:tab/>
        <w:t xml:space="preserve"> </w:t>
      </w:r>
      <w:r>
        <w:br w:type="page"/>
      </w:r>
    </w:p>
    <w:p w:rsidR="00005F90" w:rsidRDefault="00005F90" w:rsidP="00005F90">
      <w:pPr>
        <w:pStyle w:val="Heading2"/>
        <w:tabs>
          <w:tab w:val="center" w:pos="3164"/>
        </w:tabs>
        <w:spacing w:after="0"/>
        <w:ind w:left="-15" w:firstLine="0"/>
      </w:pPr>
      <w:r>
        <w:rPr>
          <w:sz w:val="36"/>
        </w:rPr>
        <w:t>1.0</w:t>
      </w:r>
      <w:r>
        <w:rPr>
          <w:sz w:val="36"/>
        </w:rPr>
        <w:tab/>
        <w:t xml:space="preserve">Document Change History </w:t>
      </w:r>
    </w:p>
    <w:p w:rsidR="00005F90" w:rsidRDefault="00005F90" w:rsidP="00005F90">
      <w:pPr>
        <w:spacing w:after="0" w:line="259" w:lineRule="auto"/>
        <w:ind w:left="357" w:firstLine="0"/>
      </w:pPr>
      <w:r>
        <w:t xml:space="preserve"> </w:t>
      </w:r>
    </w:p>
    <w:tbl>
      <w:tblPr>
        <w:tblStyle w:val="TableGrid"/>
        <w:tblW w:w="9280" w:type="dxa"/>
        <w:tblInd w:w="363" w:type="dxa"/>
        <w:tblCellMar>
          <w:left w:w="112" w:type="dxa"/>
          <w:right w:w="96" w:type="dxa"/>
        </w:tblCellMar>
        <w:tblLook w:val="04A0" w:firstRow="1" w:lastRow="0" w:firstColumn="1" w:lastColumn="0" w:noHBand="0" w:noVBand="1"/>
      </w:tblPr>
      <w:tblGrid>
        <w:gridCol w:w="999"/>
        <w:gridCol w:w="1353"/>
        <w:gridCol w:w="2305"/>
        <w:gridCol w:w="4623"/>
      </w:tblGrid>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F90" w:rsidRDefault="00005F90" w:rsidP="002C7D6A">
            <w:pPr>
              <w:spacing w:after="0" w:line="259" w:lineRule="auto"/>
              <w:ind w:left="2" w:firstLine="0"/>
            </w:pPr>
            <w:r>
              <w:t xml:space="preserve">Version </w:t>
            </w:r>
          </w:p>
        </w:tc>
        <w:tc>
          <w:tcPr>
            <w:tcW w:w="1353"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F90" w:rsidRDefault="00005F90" w:rsidP="002C7D6A">
            <w:pPr>
              <w:spacing w:after="0" w:line="259" w:lineRule="auto"/>
              <w:ind w:left="0" w:firstLine="0"/>
            </w:pPr>
            <w:r>
              <w:t xml:space="preserve">Date </w:t>
            </w:r>
          </w:p>
        </w:tc>
        <w:tc>
          <w:tcPr>
            <w:tcW w:w="2305"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F90" w:rsidRDefault="00005F90" w:rsidP="002C7D6A">
            <w:pPr>
              <w:spacing w:after="0" w:line="259" w:lineRule="auto"/>
              <w:ind w:left="0" w:firstLine="0"/>
            </w:pPr>
            <w:r>
              <w:t xml:space="preserve">Updated By </w:t>
            </w:r>
          </w:p>
        </w:tc>
        <w:tc>
          <w:tcPr>
            <w:tcW w:w="4623"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005F90" w:rsidRDefault="00005F90" w:rsidP="002C7D6A">
            <w:pPr>
              <w:spacing w:after="0" w:line="259" w:lineRule="auto"/>
              <w:ind w:left="0" w:firstLine="0"/>
            </w:pPr>
            <w:r>
              <w:t xml:space="preserve">Changes to this version </w:t>
            </w:r>
          </w:p>
        </w:tc>
      </w:tr>
      <w:tr w:rsidR="00005F90" w:rsidTr="002C7D6A">
        <w:trPr>
          <w:trHeight w:val="493"/>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1.0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8/13/2015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Sat Persaud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Document creation </w:t>
            </w:r>
          </w:p>
        </w:tc>
      </w:tr>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1.1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11/17/2015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Sat Persaud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Types of VMs offered; access restrictions </w:t>
            </w:r>
          </w:p>
        </w:tc>
      </w:tr>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r>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r>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r>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r>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r>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r>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r>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r>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r>
      <w:tr w:rsidR="00005F90" w:rsidTr="002C7D6A">
        <w:trPr>
          <w:trHeight w:val="491"/>
        </w:trPr>
        <w:tc>
          <w:tcPr>
            <w:tcW w:w="99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 </w:t>
            </w:r>
          </w:p>
        </w:tc>
        <w:tc>
          <w:tcPr>
            <w:tcW w:w="135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230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c>
          <w:tcPr>
            <w:tcW w:w="4623"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 </w:t>
            </w:r>
          </w:p>
        </w:tc>
      </w:tr>
    </w:tbl>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ind w:left="352"/>
      </w:pPr>
      <w:r>
        <w:t xml:space="preserve">Last Reviewed Date:  11/17//2015 </w:t>
      </w:r>
    </w:p>
    <w:p w:rsidR="00005F90" w:rsidRDefault="00005F90" w:rsidP="00005F90">
      <w:pPr>
        <w:ind w:left="352"/>
      </w:pPr>
      <w:r>
        <w:t xml:space="preserve">Next Scheduled Review Date:  8/13/2016 </w:t>
      </w:r>
    </w:p>
    <w:p w:rsidR="00005F90" w:rsidRDefault="00005F90" w:rsidP="00005F90">
      <w:pPr>
        <w:spacing w:after="27" w:line="259" w:lineRule="auto"/>
        <w:ind w:left="357" w:firstLine="0"/>
      </w:pPr>
      <w:r>
        <w:t xml:space="preserve"> </w:t>
      </w:r>
    </w:p>
    <w:p w:rsidR="00005F90" w:rsidRDefault="00005F90" w:rsidP="00005F90">
      <w:pPr>
        <w:spacing w:after="0" w:line="259" w:lineRule="auto"/>
        <w:ind w:left="357" w:firstLine="0"/>
      </w:pPr>
      <w:r>
        <w:t xml:space="preserve"> </w:t>
      </w:r>
      <w:r>
        <w:tab/>
        <w:t xml:space="preserve"> </w:t>
      </w:r>
    </w:p>
    <w:p w:rsidR="00005F90" w:rsidRDefault="00005F90" w:rsidP="00005F90">
      <w:pPr>
        <w:pStyle w:val="Heading2"/>
        <w:spacing w:after="0"/>
      </w:pPr>
      <w:r>
        <w:rPr>
          <w:sz w:val="36"/>
        </w:rPr>
        <w:t xml:space="preserve">2.0 Overview  </w:t>
      </w:r>
    </w:p>
    <w:p w:rsidR="00005F90" w:rsidRDefault="00005F90" w:rsidP="00005F90">
      <w:pPr>
        <w:spacing w:after="240" w:line="259" w:lineRule="auto"/>
        <w:ind w:left="357" w:firstLine="0"/>
      </w:pPr>
      <w:r>
        <w:rPr>
          <w:sz w:val="24"/>
        </w:rPr>
        <w:t xml:space="preserve"> </w:t>
      </w:r>
    </w:p>
    <w:p w:rsidR="00005F90" w:rsidRDefault="00005F90" w:rsidP="00005F90">
      <w:pPr>
        <w:pStyle w:val="Heading3"/>
        <w:spacing w:after="186"/>
        <w:ind w:left="352"/>
      </w:pPr>
      <w:r>
        <w:t xml:space="preserve">2.1  SLA Introduction </w:t>
      </w:r>
    </w:p>
    <w:p w:rsidR="00005F90" w:rsidRDefault="00005F90" w:rsidP="00005F90">
      <w:pPr>
        <w:spacing w:after="0" w:line="285" w:lineRule="auto"/>
        <w:ind w:left="357" w:firstLine="0"/>
        <w:jc w:val="both"/>
      </w:pPr>
      <w:r>
        <w:t xml:space="preserve">This Service Level Agreement, henceforth also known as “SLA,” is between Columbia University Information Technology (CUIT/Service Provider), henceforth also known as “CUIT” and the client for all services and service levels in connection to the Virtual Machine (VM) Hosting service, henceforth also known as “ Service.” </w:t>
      </w:r>
    </w:p>
    <w:p w:rsidR="00005F90" w:rsidRDefault="00005F90" w:rsidP="00005F90">
      <w:pPr>
        <w:spacing w:after="250" w:line="259" w:lineRule="auto"/>
        <w:ind w:left="357" w:firstLine="0"/>
      </w:pPr>
      <w:r>
        <w:t xml:space="preserve"> </w:t>
      </w:r>
    </w:p>
    <w:p w:rsidR="00005F90" w:rsidRDefault="00005F90" w:rsidP="00005F90">
      <w:pPr>
        <w:pStyle w:val="Heading3"/>
        <w:spacing w:after="186"/>
        <w:ind w:left="352"/>
      </w:pPr>
      <w:r>
        <w:t xml:space="preserve">2.2 SLA Purpose </w:t>
      </w:r>
    </w:p>
    <w:p w:rsidR="00005F90" w:rsidRDefault="00005F90" w:rsidP="00005F90">
      <w:pPr>
        <w:ind w:left="352" w:right="583"/>
      </w:pPr>
      <w:r>
        <w:t xml:space="preserve">The purpose of this SLA is to set expectations for the provision of the Service as it is defined herein with regard to: </w:t>
      </w:r>
      <w:r>
        <w:rPr>
          <w:rFonts w:ascii="Courier New" w:eastAsia="Courier New" w:hAnsi="Courier New" w:cs="Courier New"/>
        </w:rPr>
        <w:t xml:space="preserve">o </w:t>
      </w:r>
      <w:r>
        <w:t xml:space="preserve">Requirements for VMs that will be hosted  </w:t>
      </w:r>
      <w:r>
        <w:rPr>
          <w:rFonts w:ascii="Courier New" w:eastAsia="Courier New" w:hAnsi="Courier New" w:cs="Courier New"/>
        </w:rPr>
        <w:t xml:space="preserve">o </w:t>
      </w:r>
      <w:r>
        <w:t xml:space="preserve">Criteria that will be used to measure the Service </w:t>
      </w:r>
    </w:p>
    <w:p w:rsidR="00005F90" w:rsidRDefault="00005F90" w:rsidP="00005F90">
      <w:pPr>
        <w:numPr>
          <w:ilvl w:val="0"/>
          <w:numId w:val="2"/>
        </w:numPr>
        <w:ind w:hanging="446"/>
      </w:pPr>
      <w:r>
        <w:t xml:space="preserve">Agreed service level targets that are the minimum performance requirement  </w:t>
      </w:r>
      <w:r>
        <w:rPr>
          <w:rFonts w:ascii="Courier New" w:eastAsia="Courier New" w:hAnsi="Courier New" w:cs="Courier New"/>
        </w:rPr>
        <w:t xml:space="preserve">o </w:t>
      </w:r>
      <w:r>
        <w:t xml:space="preserve">Roles and responsibilities of CUIT and Client </w:t>
      </w:r>
    </w:p>
    <w:p w:rsidR="00005F90" w:rsidRDefault="00005F90" w:rsidP="00005F90">
      <w:pPr>
        <w:numPr>
          <w:ilvl w:val="0"/>
          <w:numId w:val="2"/>
        </w:numPr>
        <w:spacing w:after="25"/>
        <w:ind w:hanging="446"/>
      </w:pPr>
      <w:r>
        <w:t xml:space="preserve">Escalation contacts </w:t>
      </w:r>
    </w:p>
    <w:p w:rsidR="00005F90" w:rsidRDefault="00005F90" w:rsidP="00005F90">
      <w:pPr>
        <w:numPr>
          <w:ilvl w:val="0"/>
          <w:numId w:val="2"/>
        </w:numPr>
        <w:spacing w:after="26"/>
        <w:ind w:hanging="446"/>
      </w:pPr>
      <w:r>
        <w:t xml:space="preserve">Associated and supporting processes as well as any deviations </w:t>
      </w:r>
    </w:p>
    <w:p w:rsidR="00005F90" w:rsidRDefault="00005F90" w:rsidP="00005F90">
      <w:pPr>
        <w:spacing w:after="250" w:line="259" w:lineRule="auto"/>
        <w:ind w:left="357" w:firstLine="0"/>
      </w:pPr>
      <w:r>
        <w:t xml:space="preserve"> </w:t>
      </w:r>
    </w:p>
    <w:p w:rsidR="00005F90" w:rsidRDefault="00005F90" w:rsidP="00005F90">
      <w:pPr>
        <w:pStyle w:val="Heading3"/>
        <w:ind w:left="352"/>
      </w:pPr>
      <w:r>
        <w:t xml:space="preserve">2.3 SLA Duration &amp; Parameters </w:t>
      </w:r>
    </w:p>
    <w:p w:rsidR="00005F90" w:rsidRDefault="00005F90" w:rsidP="00005F90">
      <w:pPr>
        <w:spacing w:after="212"/>
        <w:ind w:left="352"/>
      </w:pPr>
      <w:r>
        <w:t xml:space="preserve">This section defines the duration and describes the rules regarding renewal, modification, amendment, and termination of the SLA: </w:t>
      </w:r>
    </w:p>
    <w:p w:rsidR="00005F90" w:rsidRDefault="00005F90" w:rsidP="00005F90">
      <w:pPr>
        <w:numPr>
          <w:ilvl w:val="0"/>
          <w:numId w:val="3"/>
        </w:numPr>
        <w:spacing w:after="211"/>
        <w:ind w:hanging="357"/>
      </w:pPr>
      <w:r>
        <w:t xml:space="preserve">This SLA is effective as of this date the VM is provisioned between CUIT and Client and will expire as of  the date it is de­provisioned.   </w:t>
      </w:r>
    </w:p>
    <w:p w:rsidR="00005F90" w:rsidRDefault="00005F90" w:rsidP="00005F90">
      <w:pPr>
        <w:numPr>
          <w:ilvl w:val="0"/>
          <w:numId w:val="3"/>
        </w:numPr>
        <w:spacing w:after="211"/>
        <w:ind w:hanging="357"/>
      </w:pPr>
      <w:r>
        <w:t xml:space="preserve">This SLA will automatically renew unless CUIT and Client mutually agree to another arrangement.  </w:t>
      </w:r>
    </w:p>
    <w:p w:rsidR="00005F90" w:rsidRDefault="00005F90" w:rsidP="00005F90">
      <w:pPr>
        <w:numPr>
          <w:ilvl w:val="0"/>
          <w:numId w:val="3"/>
        </w:numPr>
        <w:ind w:hanging="357"/>
      </w:pPr>
      <w:r>
        <w:t xml:space="preserve">A review of this SLA by CUIT and Client may be conducted, if requested, a minimum of 30 days before the expiration date of the agreement. Modification requests must be submitted in writing via email to the CUIT Service Owner for Infrastructure Services (See Appendix </w:t>
      </w:r>
    </w:p>
    <w:p w:rsidR="00005F90" w:rsidRDefault="00005F90" w:rsidP="00005F90">
      <w:pPr>
        <w:spacing w:after="215"/>
      </w:pPr>
      <w:r>
        <w:t>A)​</w:t>
      </w:r>
      <w:r>
        <w:rPr>
          <w:color w:val="FF9900"/>
        </w:rPr>
        <w:t>.</w:t>
      </w:r>
      <w:r>
        <w:t xml:space="preserve"> </w:t>
      </w:r>
    </w:p>
    <w:p w:rsidR="00005F90" w:rsidRDefault="00005F90" w:rsidP="00005F90">
      <w:pPr>
        <w:numPr>
          <w:ilvl w:val="0"/>
          <w:numId w:val="3"/>
        </w:numPr>
        <w:ind w:hanging="357"/>
      </w:pPr>
      <w:r>
        <w:t xml:space="preserve">Any amendments, modifications, or other terms outside those stated herein must be agreed upon by both parties. </w:t>
      </w:r>
    </w:p>
    <w:p w:rsidR="00005F90" w:rsidRDefault="00005F90" w:rsidP="00005F90">
      <w:pPr>
        <w:numPr>
          <w:ilvl w:val="0"/>
          <w:numId w:val="3"/>
        </w:numPr>
        <w:spacing w:after="211"/>
        <w:ind w:hanging="357"/>
      </w:pPr>
      <w:r>
        <w:t xml:space="preserve">The Client is responsible for providing CUIT with details of any current or future projects that may impact the provision of this SLA. </w:t>
      </w:r>
    </w:p>
    <w:p w:rsidR="00005F90" w:rsidRDefault="00005F90" w:rsidP="00005F90">
      <w:pPr>
        <w:numPr>
          <w:ilvl w:val="0"/>
          <w:numId w:val="3"/>
        </w:numPr>
        <w:spacing w:after="211"/>
        <w:ind w:hanging="357"/>
      </w:pPr>
      <w:r>
        <w:t xml:space="preserve">Service Extensions: Any requests to extend the hours of service on an ad hoc basis for a given day must be made to the Infrastructure Services team at the earliest opportunity. Failure to submit a request for a service extension will mean that the service will not be guaranteed beyond the hours defined by this SLA.  </w:t>
      </w:r>
    </w:p>
    <w:p w:rsidR="00005F90" w:rsidRDefault="00005F90" w:rsidP="00005F90">
      <w:pPr>
        <w:numPr>
          <w:ilvl w:val="0"/>
          <w:numId w:val="3"/>
        </w:numPr>
        <w:spacing w:after="211"/>
        <w:ind w:hanging="357"/>
      </w:pPr>
      <w:r>
        <w:t xml:space="preserve">SLA Termination: Both parties must agree to any termination arrangement. CUIT requires a minimum of 90 days notice regarding early termination of the SLA. </w:t>
      </w:r>
    </w:p>
    <w:p w:rsidR="00005F90" w:rsidRDefault="00005F90" w:rsidP="00005F90">
      <w:pPr>
        <w:spacing w:after="369" w:line="259" w:lineRule="auto"/>
        <w:ind w:left="357" w:firstLine="0"/>
      </w:pPr>
      <w:r>
        <w:t xml:space="preserve"> </w:t>
      </w:r>
    </w:p>
    <w:p w:rsidR="00005F90" w:rsidRDefault="00005F90" w:rsidP="00005F90">
      <w:pPr>
        <w:pStyle w:val="Heading2"/>
        <w:spacing w:after="137"/>
        <w:ind w:left="-5"/>
      </w:pPr>
      <w:r>
        <w:rPr>
          <w:sz w:val="36"/>
        </w:rPr>
        <w:t xml:space="preserve">3.0 Service Description, Virtual Servers &amp; Targets </w:t>
      </w:r>
    </w:p>
    <w:p w:rsidR="00005F90" w:rsidRDefault="00005F90" w:rsidP="00005F90">
      <w:pPr>
        <w:pStyle w:val="Heading3"/>
        <w:spacing w:after="0"/>
        <w:ind w:left="352"/>
      </w:pPr>
      <w:r>
        <w:t xml:space="preserve">3.1  Virtual Server Options </w:t>
      </w:r>
    </w:p>
    <w:p w:rsidR="00005F90" w:rsidRDefault="00005F90" w:rsidP="00005F90">
      <w:pPr>
        <w:spacing w:after="27" w:line="259" w:lineRule="auto"/>
        <w:ind w:left="357" w:firstLine="0"/>
      </w:pPr>
      <w:r>
        <w:t xml:space="preserve"> </w:t>
      </w:r>
    </w:p>
    <w:p w:rsidR="00005F90" w:rsidRDefault="00005F90" w:rsidP="00005F90">
      <w:pPr>
        <w:spacing w:after="212"/>
        <w:ind w:left="352"/>
      </w:pPr>
      <w:r>
        <w:t xml:space="preserve">This service is to host a virtual machine on CUIT’s converged infrastructure platform with one of the following systems: </w:t>
      </w:r>
    </w:p>
    <w:p w:rsidR="00005F90" w:rsidRDefault="00005F90" w:rsidP="00005F90">
      <w:pPr>
        <w:numPr>
          <w:ilvl w:val="0"/>
          <w:numId w:val="4"/>
        </w:numPr>
        <w:ind w:hanging="357"/>
      </w:pPr>
      <w:r>
        <w:t xml:space="preserve">VM with RHEL 6.x  </w:t>
      </w:r>
    </w:p>
    <w:p w:rsidR="00005F90" w:rsidRDefault="00005F90" w:rsidP="00005F90">
      <w:pPr>
        <w:numPr>
          <w:ilvl w:val="0"/>
          <w:numId w:val="4"/>
        </w:numPr>
        <w:spacing w:after="222"/>
        <w:ind w:hanging="357"/>
      </w:pPr>
      <w:r>
        <w:t xml:space="preserve">VM with Windows Server 2008 R2 </w:t>
      </w:r>
    </w:p>
    <w:p w:rsidR="00005F90" w:rsidRDefault="00005F90" w:rsidP="00005F90">
      <w:pPr>
        <w:spacing w:after="212"/>
        <w:ind w:left="352"/>
      </w:pPr>
      <w:r>
        <w:t xml:space="preserve">CUIT is responsible for maintaining the underlying hardware, network and storage  to ensure the service targets indicated below.  </w:t>
      </w:r>
    </w:p>
    <w:p w:rsidR="00005F90" w:rsidRDefault="00005F90" w:rsidP="00005F90">
      <w:pPr>
        <w:numPr>
          <w:ilvl w:val="0"/>
          <w:numId w:val="4"/>
        </w:numPr>
        <w:spacing w:after="242" w:line="259" w:lineRule="auto"/>
        <w:ind w:hanging="357"/>
      </w:pPr>
      <w:r>
        <w:t xml:space="preserve">For a VM with RHEL or Windows OS installed, CUIT will manage up the OS layer. </w:t>
      </w:r>
    </w:p>
    <w:p w:rsidR="00005F90" w:rsidRDefault="00005F90" w:rsidP="00005F90">
      <w:pPr>
        <w:spacing w:after="215"/>
        <w:ind w:left="352"/>
      </w:pPr>
      <w:r>
        <w:t xml:space="preserve">The client is responsible for the support of the application residing on the virtual server. </w:t>
      </w:r>
    </w:p>
    <w:p w:rsidR="00005F90" w:rsidRDefault="00005F90" w:rsidP="00005F90">
      <w:pPr>
        <w:tabs>
          <w:tab w:val="center" w:pos="4685"/>
          <w:tab w:val="center" w:pos="9012"/>
        </w:tabs>
        <w:spacing w:after="267"/>
        <w:ind w:left="0" w:firstLine="0"/>
      </w:pPr>
      <w:r>
        <w:rPr>
          <w:rFonts w:ascii="Calibri" w:eastAsia="Calibri" w:hAnsi="Calibri" w:cs="Calibri"/>
        </w:rPr>
        <w:tab/>
      </w:r>
      <w:r>
        <w:t xml:space="preserve">Please refer to </w:t>
      </w:r>
      <w:r>
        <w:rPr>
          <w:u w:val="single" w:color="1155CC"/>
        </w:rPr>
        <w:t>​</w:t>
      </w:r>
      <w:r>
        <w:rPr>
          <w:color w:val="1155CC"/>
          <w:u w:val="single" w:color="1155CC"/>
        </w:rPr>
        <w:t>Appendix F</w:t>
      </w:r>
      <w:r>
        <w:t xml:space="preserve"> for CPU, memory and storage configuration options and pricing.</w:t>
      </w:r>
      <w:r>
        <w:rPr>
          <w:color w:val="1155CC"/>
        </w:rPr>
        <w:t>​</w:t>
      </w:r>
      <w:r>
        <w:rPr>
          <w:color w:val="1155CC"/>
        </w:rPr>
        <w:tab/>
      </w:r>
      <w:r>
        <w:t xml:space="preserve"> </w:t>
      </w:r>
    </w:p>
    <w:p w:rsidR="00005F90" w:rsidRDefault="00005F90" w:rsidP="00005F90">
      <w:pPr>
        <w:pStyle w:val="Heading3"/>
        <w:spacing w:after="186"/>
        <w:ind w:left="10"/>
      </w:pPr>
      <w:r>
        <w:t xml:space="preserve">     3.2 Service Availability Targets  </w:t>
      </w:r>
    </w:p>
    <w:p w:rsidR="00005F90" w:rsidRDefault="00005F90" w:rsidP="00005F90">
      <w:pPr>
        <w:ind w:left="352"/>
      </w:pPr>
      <w:r>
        <w:t xml:space="preserve">The Service for hosting production instances will be available to Clients on a 24x7 basis except for maintenance windows or other scheduled or application­specific maintenance outlined herein.  </w:t>
      </w:r>
    </w:p>
    <w:p w:rsidR="00005F90" w:rsidRDefault="00005F90" w:rsidP="00005F90">
      <w:pPr>
        <w:spacing w:after="27" w:line="259" w:lineRule="auto"/>
        <w:ind w:left="357" w:firstLine="0"/>
      </w:pPr>
      <w:r>
        <w:rPr>
          <w:color w:val="333399"/>
        </w:rPr>
        <w:t xml:space="preserve"> </w:t>
      </w:r>
    </w:p>
    <w:p w:rsidR="00005F90" w:rsidRDefault="00005F90" w:rsidP="00005F90">
      <w:pPr>
        <w:ind w:left="352"/>
      </w:pPr>
      <w:r>
        <w:t xml:space="preserve">It is our aim to ensure that the services supporting the Service are deemed reliable in terms of availability and performance. Therefore, we will measure the reliability using Mean Time Between Failures (MTBF) and compute the average (by month and year) time between each ‘failure’. CUIT will strive to achieve a MTBF of 100 days at the minimum. </w:t>
      </w:r>
    </w:p>
    <w:p w:rsidR="00005F90" w:rsidRDefault="00005F90" w:rsidP="00005F90">
      <w:pPr>
        <w:spacing w:after="27" w:line="259" w:lineRule="auto"/>
        <w:ind w:left="357" w:firstLine="0"/>
      </w:pPr>
      <w:r>
        <w:t xml:space="preserve">  </w:t>
      </w:r>
    </w:p>
    <w:p w:rsidR="00005F90" w:rsidRDefault="00005F90" w:rsidP="00005F90">
      <w:pPr>
        <w:ind w:left="352"/>
      </w:pPr>
      <w:r>
        <w:t xml:space="preserve">A failure is defined as any infrastructure­related incident causing the Service to be unavailable. This can also include severe performance degradation. </w:t>
      </w:r>
    </w:p>
    <w:p w:rsidR="00005F90" w:rsidRDefault="00005F90" w:rsidP="00005F90">
      <w:pPr>
        <w:spacing w:after="0" w:line="259" w:lineRule="auto"/>
        <w:ind w:left="357" w:firstLine="0"/>
      </w:pPr>
      <w:r>
        <w:t xml:space="preserve"> </w:t>
      </w:r>
    </w:p>
    <w:p w:rsidR="00005F90" w:rsidRDefault="00005F90" w:rsidP="00005F90">
      <w:pPr>
        <w:ind w:left="352"/>
      </w:pPr>
      <w:r>
        <w:t xml:space="preserve">The target availability of VM Hosting is 99.9%. (See </w:t>
      </w:r>
      <w:r>
        <w:rPr>
          <w:u w:val="single" w:color="1155CC"/>
        </w:rPr>
        <w:t>​</w:t>
      </w:r>
      <w:r>
        <w:rPr>
          <w:color w:val="1155CC"/>
          <w:u w:val="single" w:color="1155CC"/>
        </w:rPr>
        <w:t>Appendix B</w:t>
      </w:r>
      <w:r>
        <w:t>)</w:t>
      </w:r>
      <w:r>
        <w:rPr>
          <w:color w:val="1155CC"/>
        </w:rPr>
        <w:t>​</w:t>
      </w:r>
      <w:r>
        <w:t xml:space="preserve"> </w:t>
      </w:r>
    </w:p>
    <w:p w:rsidR="00005F90" w:rsidRDefault="00005F90" w:rsidP="00005F90">
      <w:pPr>
        <w:spacing w:after="250" w:line="259" w:lineRule="auto"/>
        <w:ind w:left="357" w:firstLine="0"/>
      </w:pPr>
      <w:r>
        <w:t xml:space="preserve"> </w:t>
      </w:r>
    </w:p>
    <w:p w:rsidR="00005F90" w:rsidRDefault="00005F90" w:rsidP="00005F90">
      <w:pPr>
        <w:pStyle w:val="Heading3"/>
        <w:spacing w:after="186"/>
        <w:ind w:left="10"/>
      </w:pPr>
      <w:r>
        <w:t xml:space="preserve">    3.3 Service Maintenance </w:t>
      </w:r>
    </w:p>
    <w:p w:rsidR="00005F90" w:rsidRDefault="00005F90" w:rsidP="00005F90">
      <w:pPr>
        <w:spacing w:after="167"/>
        <w:ind w:left="352"/>
      </w:pPr>
      <w:r>
        <w:t xml:space="preserve">Maintenance includes but is not limited to: adding/removing/replacing hardware on servers or network, bringing new servers online, patching servers/workstations/network devices, installing new/updated software on servers/workstations/network devices, etc. The network and/or systems will be interrupted only if it is absolutely necessary. </w:t>
      </w:r>
    </w:p>
    <w:p w:rsidR="00005F90" w:rsidRDefault="00005F90" w:rsidP="00005F90">
      <w:pPr>
        <w:spacing w:after="27" w:line="259" w:lineRule="auto"/>
        <w:ind w:left="352"/>
      </w:pPr>
      <w:r>
        <w:rPr>
          <w:u w:val="single" w:color="000000"/>
        </w:rPr>
        <w:t>Maintenance Windows: Standard, Non­Standard, Emergency</w:t>
      </w:r>
      <w:r>
        <w:t xml:space="preserve"> </w:t>
      </w:r>
    </w:p>
    <w:p w:rsidR="00005F90" w:rsidRDefault="00005F90" w:rsidP="00005F90">
      <w:pPr>
        <w:ind w:left="352"/>
      </w:pPr>
      <w:r>
        <w:t xml:space="preserve">A Standard Maintenance Window has been established for all CUIT services, including the Service, between the hours of 02:00 ­ 06:00 ET on the third Sunday of each month. </w:t>
      </w:r>
    </w:p>
    <w:p w:rsidR="00005F90" w:rsidRDefault="00005F90" w:rsidP="00005F90">
      <w:pPr>
        <w:spacing w:after="27" w:line="259" w:lineRule="auto"/>
        <w:ind w:left="357" w:firstLine="0"/>
      </w:pPr>
      <w:r>
        <w:t xml:space="preserve"> </w:t>
      </w:r>
    </w:p>
    <w:p w:rsidR="00005F90" w:rsidRDefault="00005F90" w:rsidP="00005F90">
      <w:pPr>
        <w:ind w:left="352"/>
      </w:pPr>
      <w:r>
        <w:t xml:space="preserve">If there is a need for a change outside the hours of the Standard Maintenance Window, the resulting Non­Standard Maintenance Window will require a formal approval from the CUIT business service owner. </w:t>
      </w:r>
    </w:p>
    <w:p w:rsidR="00005F90" w:rsidRDefault="00005F90" w:rsidP="00005F90">
      <w:pPr>
        <w:spacing w:after="27" w:line="259" w:lineRule="auto"/>
        <w:ind w:left="357" w:firstLine="0"/>
      </w:pPr>
      <w:r>
        <w:t xml:space="preserve"> </w:t>
      </w:r>
    </w:p>
    <w:p w:rsidR="00005F90" w:rsidRDefault="00005F90" w:rsidP="00005F90">
      <w:pPr>
        <w:spacing w:after="171"/>
        <w:ind w:left="352"/>
      </w:pPr>
      <w:r>
        <w:t xml:space="preserve">It is understood that in some circumstances, Emergency Maintenance Windows will be required. </w:t>
      </w:r>
    </w:p>
    <w:p w:rsidR="00005F90" w:rsidRDefault="00005F90" w:rsidP="00005F90">
      <w:pPr>
        <w:spacing w:after="27" w:line="259" w:lineRule="auto"/>
        <w:ind w:left="352"/>
      </w:pPr>
      <w:r>
        <w:rPr>
          <w:u w:val="single" w:color="000000"/>
        </w:rPr>
        <w:t>Maintenance Notifications/Announcements</w:t>
      </w:r>
      <w:r>
        <w:t xml:space="preserve"> </w:t>
      </w:r>
    </w:p>
    <w:p w:rsidR="00005F90" w:rsidRDefault="00005F90" w:rsidP="00005F90">
      <w:pPr>
        <w:spacing w:after="212"/>
        <w:ind w:left="352"/>
      </w:pPr>
      <w:r>
        <w:t xml:space="preserve">CUIT will announce all Maintenance Windows (Standard, Non­Standard, and Emergency) including which services will be affected and approximate durations, in the following ways: </w:t>
      </w:r>
    </w:p>
    <w:p w:rsidR="00005F90" w:rsidRDefault="00005F90" w:rsidP="00005F90">
      <w:pPr>
        <w:numPr>
          <w:ilvl w:val="0"/>
          <w:numId w:val="5"/>
        </w:numPr>
        <w:spacing w:after="177"/>
        <w:ind w:hanging="357"/>
      </w:pPr>
      <w:r>
        <w:t xml:space="preserve">On the CUIT­alerts website: </w:t>
      </w:r>
      <w:r>
        <w:rPr>
          <w:color w:val="0000FF"/>
          <w:u w:val="single" w:color="0000FF"/>
        </w:rPr>
        <w:t>http://cuitalerts.columbia.edu</w:t>
      </w:r>
      <w:r>
        <w:rPr>
          <w:u w:val="single" w:color="0000FF"/>
        </w:rPr>
        <w:t>​</w:t>
      </w:r>
      <w:r>
        <w:rPr>
          <w:u w:val="single" w:color="0000FF"/>
        </w:rPr>
        <w:tab/>
      </w:r>
      <w:r>
        <w:rPr>
          <w:color w:val="0000FF"/>
        </w:rPr>
        <w:t xml:space="preserve"> </w:t>
      </w:r>
    </w:p>
    <w:p w:rsidR="00005F90" w:rsidRDefault="00005F90" w:rsidP="00005F90">
      <w:pPr>
        <w:numPr>
          <w:ilvl w:val="0"/>
          <w:numId w:val="5"/>
        </w:numPr>
        <w:spacing w:after="197" w:line="259" w:lineRule="auto"/>
        <w:ind w:hanging="357"/>
      </w:pPr>
      <w:r>
        <w:t xml:space="preserve">Via email to </w:t>
      </w:r>
      <w:r>
        <w:rPr>
          <w:u w:val="single" w:color="0000FF"/>
        </w:rPr>
        <w:t>​</w:t>
      </w:r>
      <w:r>
        <w:rPr>
          <w:color w:val="0000FF"/>
          <w:u w:val="single" w:color="0000FF"/>
        </w:rPr>
        <w:t>service­alerts@columbia.edu</w:t>
      </w:r>
      <w:r>
        <w:t xml:space="preserve">  </w:t>
      </w:r>
    </w:p>
    <w:p w:rsidR="00005F90" w:rsidRDefault="00005F90" w:rsidP="00005F90">
      <w:pPr>
        <w:numPr>
          <w:ilvl w:val="1"/>
          <w:numId w:val="5"/>
        </w:numPr>
        <w:spacing w:after="170"/>
        <w:ind w:left="2499" w:hanging="357"/>
      </w:pPr>
      <w:r>
        <w:t xml:space="preserve">Client must provide CUIT with a valid designated representative or group email address to be added to the distribution list </w:t>
      </w:r>
    </w:p>
    <w:p w:rsidR="00005F90" w:rsidRDefault="00005F90" w:rsidP="00005F90">
      <w:pPr>
        <w:numPr>
          <w:ilvl w:val="1"/>
          <w:numId w:val="5"/>
        </w:numPr>
        <w:spacing w:after="170"/>
        <w:ind w:left="2499" w:hanging="357"/>
      </w:pPr>
      <w:r>
        <w:t xml:space="preserve">Client must notify CUIT promptly in the event of any change/update for that representative or group email address </w:t>
      </w:r>
      <w:r>
        <w:rPr>
          <w:color w:val="002F80"/>
        </w:rPr>
        <w:t xml:space="preserve"> </w:t>
      </w:r>
    </w:p>
    <w:p w:rsidR="00005F90" w:rsidRDefault="00005F90" w:rsidP="00005F90">
      <w:pPr>
        <w:spacing w:after="250" w:line="259" w:lineRule="auto"/>
        <w:ind w:left="357" w:firstLine="0"/>
      </w:pPr>
      <w:r>
        <w:rPr>
          <w:color w:val="002F80"/>
        </w:rPr>
        <w:t xml:space="preserve">  </w:t>
      </w:r>
    </w:p>
    <w:p w:rsidR="00005F90" w:rsidRDefault="00005F90" w:rsidP="00005F90">
      <w:pPr>
        <w:pStyle w:val="Heading3"/>
        <w:ind w:left="352"/>
      </w:pPr>
      <w:r>
        <w:t xml:space="preserve"> 3.4 Service Continuity  </w:t>
      </w:r>
    </w:p>
    <w:p w:rsidR="00005F90" w:rsidRDefault="00005F90" w:rsidP="00005F90">
      <w:pPr>
        <w:ind w:left="352"/>
      </w:pPr>
      <w:r>
        <w:t xml:space="preserve">Service Continuity (Disaster Recovery) is hosted at a hot site at the NYSERNet facility in Syracuse, New York. If a disaster is declared, the Service will be recovered at the alternate location in the timescales outlined below based on how the application has been categorized.  </w:t>
      </w:r>
    </w:p>
    <w:p w:rsidR="00005F90" w:rsidRDefault="00005F90" w:rsidP="00005F90">
      <w:pPr>
        <w:spacing w:after="12" w:line="259" w:lineRule="auto"/>
        <w:ind w:left="357" w:firstLine="0"/>
      </w:pPr>
      <w:r>
        <w:t xml:space="preserve"> </w:t>
      </w:r>
    </w:p>
    <w:p w:rsidR="00005F90" w:rsidRDefault="00005F90" w:rsidP="00005F90">
      <w:pPr>
        <w:ind w:left="352"/>
      </w:pPr>
      <w:r>
        <w:t xml:space="preserve">CUIT’s primary mission in the event of a disaster invocation is to recover all production applications. Once complete, critical application processing will resume within a specified period of time following the declaration of an emergency outage.  </w:t>
      </w:r>
    </w:p>
    <w:p w:rsidR="00005F90" w:rsidRDefault="00005F90" w:rsidP="00005F90">
      <w:pPr>
        <w:spacing w:after="12" w:line="259" w:lineRule="auto"/>
        <w:ind w:left="357" w:firstLine="0"/>
      </w:pPr>
      <w:r>
        <w:t xml:space="preserve"> </w:t>
      </w:r>
    </w:p>
    <w:p w:rsidR="00005F90" w:rsidRDefault="00005F90" w:rsidP="00005F90">
      <w:pPr>
        <w:ind w:left="352"/>
      </w:pPr>
      <w:r>
        <w:t xml:space="preserve">DR pricing options are outlined in </w:t>
      </w:r>
      <w:r>
        <w:rPr>
          <w:u w:val="single" w:color="1155CC"/>
        </w:rPr>
        <w:t>​</w:t>
      </w:r>
      <w:r>
        <w:rPr>
          <w:color w:val="1155CC"/>
          <w:u w:val="single" w:color="1155CC"/>
        </w:rPr>
        <w:t>Appendix F</w:t>
      </w:r>
      <w:r>
        <w:t xml:space="preserve"> </w:t>
      </w:r>
    </w:p>
    <w:p w:rsidR="00005F90" w:rsidRDefault="00005F90" w:rsidP="00005F90">
      <w:pPr>
        <w:spacing w:after="235" w:line="259" w:lineRule="auto"/>
        <w:ind w:left="357" w:firstLine="0"/>
      </w:pPr>
      <w:r>
        <w:t xml:space="preserve"> </w:t>
      </w:r>
    </w:p>
    <w:p w:rsidR="00005F90" w:rsidRDefault="00005F90" w:rsidP="00005F90">
      <w:pPr>
        <w:pStyle w:val="Heading3"/>
        <w:ind w:left="352"/>
      </w:pPr>
      <w:r>
        <w:t xml:space="preserve">3.5 Service Scalability </w:t>
      </w:r>
    </w:p>
    <w:p w:rsidR="00005F90" w:rsidRDefault="00005F90" w:rsidP="00005F90">
      <w:pPr>
        <w:ind w:left="352"/>
      </w:pPr>
      <w:r>
        <w:t xml:space="preserve">CUIT will scale the Service at the Client’s request to allow for growth and/or redundancy. </w:t>
      </w:r>
    </w:p>
    <w:p w:rsidR="00005F90" w:rsidRDefault="00005F90" w:rsidP="00005F90">
      <w:pPr>
        <w:spacing w:after="214"/>
        <w:ind w:left="352" w:right="346"/>
      </w:pPr>
      <w:r>
        <w:t xml:space="preserve">However, such scalability may be capped and will require lead times as defined in Appendix H: Pricing Model </w:t>
      </w:r>
      <w:r>
        <w:rPr>
          <w:color w:val="FF0000"/>
        </w:rPr>
        <w:t xml:space="preserve"> </w:t>
      </w:r>
      <w:r>
        <w:t xml:space="preserve"> </w:t>
      </w:r>
    </w:p>
    <w:p w:rsidR="00005F90" w:rsidRDefault="00005F90" w:rsidP="00005F90">
      <w:pPr>
        <w:pStyle w:val="Heading3"/>
        <w:ind w:left="352"/>
      </w:pPr>
      <w:r>
        <w:t xml:space="preserve">3.6 Service Security </w:t>
      </w:r>
    </w:p>
    <w:p w:rsidR="00005F90" w:rsidRDefault="00005F90" w:rsidP="00005F90">
      <w:pPr>
        <w:ind w:left="352"/>
      </w:pPr>
      <w:r>
        <w:t xml:space="preserve">Services provided by CUIT will conform to CUIT’s security and data classification policies outlined at </w:t>
      </w:r>
      <w:r>
        <w:rPr>
          <w:u w:val="single" w:color="1155CC"/>
        </w:rPr>
        <w:t>​</w:t>
      </w:r>
      <w:r>
        <w:rPr>
          <w:color w:val="1155CC"/>
          <w:u w:val="single" w:color="1155CC"/>
        </w:rPr>
        <w:t>https://cuit.columbia.edu/cuit/it­policies</w:t>
      </w:r>
      <w:r>
        <w:t>.</w:t>
      </w:r>
      <w:r>
        <w:rPr>
          <w:color w:val="1155CC"/>
        </w:rPr>
        <w:t>​</w:t>
      </w:r>
      <w:r>
        <w:t xml:space="preserve">  </w:t>
      </w:r>
    </w:p>
    <w:p w:rsidR="00005F90" w:rsidRDefault="00005F90" w:rsidP="00005F90">
      <w:pPr>
        <w:spacing w:after="12" w:line="259" w:lineRule="auto"/>
        <w:ind w:left="357" w:firstLine="0"/>
      </w:pPr>
      <w:r>
        <w:t xml:space="preserve"> </w:t>
      </w:r>
    </w:p>
    <w:p w:rsidR="00005F90" w:rsidRDefault="00005F90" w:rsidP="00005F90">
      <w:pPr>
        <w:ind w:left="352"/>
      </w:pPr>
      <w:r>
        <w:t xml:space="preserve">If it is determined that any component of the Service is adversely impacting service availability, </w:t>
      </w:r>
    </w:p>
    <w:p w:rsidR="00005F90" w:rsidRDefault="00005F90" w:rsidP="00005F90">
      <w:pPr>
        <w:ind w:left="352"/>
      </w:pPr>
      <w:r>
        <w:t xml:space="preserve">e.g., a Denial of Service condition, CUIT reserves the right to terminate the Service immediately until the impacting condition is remediated. </w:t>
      </w:r>
    </w:p>
    <w:p w:rsidR="00005F90" w:rsidRDefault="00005F90" w:rsidP="00005F90">
      <w:pPr>
        <w:spacing w:after="12" w:line="259" w:lineRule="auto"/>
        <w:ind w:left="357" w:firstLine="0"/>
      </w:pPr>
      <w:r>
        <w:t xml:space="preserve"> </w:t>
      </w:r>
    </w:p>
    <w:p w:rsidR="00005F90" w:rsidRDefault="00005F90" w:rsidP="00005F90">
      <w:pPr>
        <w:ind w:left="352"/>
      </w:pPr>
      <w:r>
        <w:t xml:space="preserve">Upon provisioning of the Virtual Machine, you will receive access instructions.  Please note that in order to uphold CUIT’s Security and Standard Operating Environment (SOE) policies, the following restrictions will apply </w:t>
      </w:r>
    </w:p>
    <w:p w:rsidR="00005F90" w:rsidRDefault="00005F90" w:rsidP="00005F90">
      <w:pPr>
        <w:numPr>
          <w:ilvl w:val="0"/>
          <w:numId w:val="6"/>
        </w:numPr>
        <w:ind w:hanging="357"/>
      </w:pPr>
      <w:r>
        <w:t xml:space="preserve">CUIT will be the sole possessor of root or administrator credentials to the server </w:t>
      </w:r>
    </w:p>
    <w:p w:rsidR="00005F90" w:rsidRDefault="00005F90" w:rsidP="00005F90">
      <w:pPr>
        <w:numPr>
          <w:ilvl w:val="0"/>
          <w:numId w:val="6"/>
        </w:numPr>
        <w:ind w:hanging="357"/>
      </w:pPr>
      <w:r>
        <w:t xml:space="preserve">You will be given an account with sufficient privileges to perform basic server administration </w:t>
      </w:r>
    </w:p>
    <w:p w:rsidR="00005F90" w:rsidRDefault="00005F90" w:rsidP="00005F90">
      <w:pPr>
        <w:numPr>
          <w:ilvl w:val="0"/>
          <w:numId w:val="6"/>
        </w:numPr>
        <w:ind w:hanging="357"/>
      </w:pPr>
      <w:r>
        <w:t xml:space="preserve">Each VM will be configured with CUIT management tools including Tripwire, SumoLogic and Puppet which cannot be disabled and which must remain operational so that we can manage the environment </w:t>
      </w:r>
    </w:p>
    <w:p w:rsidR="00005F90" w:rsidRDefault="00005F90" w:rsidP="00005F90">
      <w:pPr>
        <w:numPr>
          <w:ilvl w:val="0"/>
          <w:numId w:val="6"/>
        </w:numPr>
        <w:ind w:hanging="357"/>
      </w:pPr>
      <w:r>
        <w:t xml:space="preserve">Each VM will be provisioned in a designated security zone based on your initial configuration.  Should you require additional access or ports, you will need to submit a Service Request ticket </w:t>
      </w:r>
    </w:p>
    <w:p w:rsidR="00005F90" w:rsidRDefault="00005F90" w:rsidP="00005F90">
      <w:pPr>
        <w:numPr>
          <w:ilvl w:val="0"/>
          <w:numId w:val="6"/>
        </w:numPr>
        <w:ind w:hanging="357"/>
      </w:pPr>
      <w:r>
        <w:t xml:space="preserve">Virtual machines will be accessible via secure methods only e.g. via SSH, designated Jump hosts or using Toopher authentication.   Details will be provided in your access instructions </w:t>
      </w:r>
    </w:p>
    <w:p w:rsidR="00005F90" w:rsidRDefault="00005F90" w:rsidP="00005F90">
      <w:pPr>
        <w:numPr>
          <w:ilvl w:val="0"/>
          <w:numId w:val="6"/>
        </w:numPr>
        <w:ind w:hanging="357"/>
      </w:pPr>
      <w:r>
        <w:t xml:space="preserve">Failure to complete the RSAM security questionnaire within 2 weeks of the VM being provisioned may result in the machine being suspended </w:t>
      </w:r>
    </w:p>
    <w:p w:rsidR="00005F90" w:rsidRDefault="00005F90" w:rsidP="00005F90">
      <w:pPr>
        <w:spacing w:after="339" w:line="259" w:lineRule="auto"/>
        <w:ind w:left="357" w:firstLine="0"/>
      </w:pPr>
      <w:r>
        <w:t xml:space="preserve"> </w:t>
      </w:r>
    </w:p>
    <w:p w:rsidR="00005F90" w:rsidRDefault="00005F90" w:rsidP="00005F90">
      <w:pPr>
        <w:pStyle w:val="Heading1"/>
        <w:ind w:left="-5"/>
      </w:pPr>
      <w:r>
        <w:t xml:space="preserve">4.  Service Management, Support &amp; Escalation </w:t>
      </w:r>
    </w:p>
    <w:p w:rsidR="00005F90" w:rsidRDefault="00005F90" w:rsidP="00005F90">
      <w:pPr>
        <w:pStyle w:val="Heading2"/>
        <w:ind w:left="352"/>
      </w:pPr>
      <w:r>
        <w:t xml:space="preserve">4.1 Support Hours  </w:t>
      </w:r>
    </w:p>
    <w:p w:rsidR="00005F90" w:rsidRDefault="00005F90" w:rsidP="00005F90">
      <w:pPr>
        <w:ind w:left="352"/>
      </w:pPr>
      <w:r>
        <w:t xml:space="preserve">Infrastructure services defined in this SLA will be supported on a 24x7x365 basis. Live technical support is available: </w:t>
      </w:r>
    </w:p>
    <w:p w:rsidR="00005F90" w:rsidRDefault="00005F90" w:rsidP="00005F90">
      <w:pPr>
        <w:numPr>
          <w:ilvl w:val="0"/>
          <w:numId w:val="7"/>
        </w:numPr>
        <w:ind w:hanging="357"/>
      </w:pPr>
      <w:r>
        <w:t xml:space="preserve">8:00am­6:00pm ET, Monday through Friday, excluding all holidays and university closures.  </w:t>
      </w:r>
    </w:p>
    <w:p w:rsidR="00005F90" w:rsidRDefault="00005F90" w:rsidP="00005F90">
      <w:pPr>
        <w:numPr>
          <w:ilvl w:val="0"/>
          <w:numId w:val="7"/>
        </w:numPr>
        <w:ind w:hanging="357"/>
      </w:pPr>
      <w:r>
        <w:t xml:space="preserve">Outside normal coverage hours, CUIT will work to resolve issues on a best­effort basis. </w:t>
      </w:r>
    </w:p>
    <w:p w:rsidR="00005F90" w:rsidRDefault="00005F90" w:rsidP="00005F90">
      <w:pPr>
        <w:spacing w:after="220" w:line="259" w:lineRule="auto"/>
        <w:ind w:left="357" w:firstLine="0"/>
      </w:pPr>
      <w:r>
        <w:t xml:space="preserve"> </w:t>
      </w:r>
    </w:p>
    <w:p w:rsidR="00005F90" w:rsidRDefault="00005F90" w:rsidP="00005F90">
      <w:pPr>
        <w:spacing w:after="170" w:line="259" w:lineRule="auto"/>
        <w:ind w:left="352"/>
      </w:pPr>
      <w:r>
        <w:rPr>
          <w:sz w:val="26"/>
        </w:rPr>
        <w:t xml:space="preserve">4.2 Support Phone Contact </w:t>
      </w:r>
    </w:p>
    <w:p w:rsidR="00005F90" w:rsidRDefault="00005F90" w:rsidP="00005F90">
      <w:pPr>
        <w:spacing w:after="164"/>
        <w:ind w:left="352"/>
      </w:pPr>
      <w:r>
        <w:t>Client can contact CUIT Service Desk for support by calling ​</w:t>
      </w:r>
      <w:r>
        <w:rPr>
          <w:sz w:val="24"/>
        </w:rPr>
        <w:t>212­854­1919.</w:t>
      </w:r>
      <w:r>
        <w:t xml:space="preserve"> </w:t>
      </w:r>
    </w:p>
    <w:p w:rsidR="00005F90" w:rsidRDefault="00005F90" w:rsidP="00005F90">
      <w:pPr>
        <w:spacing w:after="239" w:line="259" w:lineRule="auto"/>
        <w:ind w:left="357" w:firstLine="0"/>
      </w:pPr>
      <w:r>
        <w:rPr>
          <w:sz w:val="18"/>
        </w:rPr>
        <w:t xml:space="preserve"> </w:t>
      </w:r>
    </w:p>
    <w:p w:rsidR="00005F90" w:rsidRDefault="00005F90" w:rsidP="00005F90">
      <w:pPr>
        <w:pStyle w:val="Heading2"/>
        <w:ind w:left="352"/>
      </w:pPr>
      <w:r>
        <w:t xml:space="preserve">4.3 Service Desk </w:t>
      </w:r>
    </w:p>
    <w:p w:rsidR="00005F90" w:rsidRDefault="00005F90" w:rsidP="00005F90">
      <w:pPr>
        <w:ind w:left="352"/>
      </w:pPr>
      <w:r>
        <w:t xml:space="preserve">CUIT will respond to all faults, queries and service requests ​only​ if a call is placed with the Service Desk. By enforcing this policy, CUIT can ensure that all faults are managed effectively and in line with the commitments of this SLA. It is imperative that any issues deemed Critical in their nature are reported to the Service Desk by phone to ensure immediate response and investigation can occur.  </w:t>
      </w:r>
    </w:p>
    <w:p w:rsidR="00005F90" w:rsidRDefault="00005F90" w:rsidP="00005F90">
      <w:pPr>
        <w:spacing w:after="27" w:line="259" w:lineRule="auto"/>
        <w:ind w:left="357" w:firstLine="0"/>
      </w:pPr>
      <w:r>
        <w:t xml:space="preserve"> </w:t>
      </w:r>
    </w:p>
    <w:p w:rsidR="00005F90" w:rsidRDefault="00005F90" w:rsidP="00005F90">
      <w:pPr>
        <w:tabs>
          <w:tab w:val="center" w:pos="3429"/>
          <w:tab w:val="center" w:pos="6608"/>
        </w:tabs>
        <w:ind w:left="0" w:firstLine="0"/>
      </w:pPr>
      <w:r>
        <w:rPr>
          <w:rFonts w:ascii="Calibri" w:eastAsia="Calibri" w:hAnsi="Calibri" w:cs="Calibri"/>
        </w:rPr>
        <w:tab/>
      </w:r>
      <w:r>
        <w:t xml:space="preserve">Other issues can be reported via email to: </w:t>
      </w:r>
      <w:r>
        <w:rPr>
          <w:color w:val="1155CC"/>
          <w:u w:val="single" w:color="1155CC"/>
        </w:rPr>
        <w:t>askcuit@columbia.edu</w:t>
      </w:r>
      <w:r>
        <w:rPr>
          <w:u w:val="single" w:color="1155CC"/>
        </w:rPr>
        <w:t>​</w:t>
      </w:r>
      <w:r>
        <w:rPr>
          <w:u w:val="single" w:color="1155CC"/>
        </w:rPr>
        <w:tab/>
      </w:r>
      <w:r>
        <w:t>.</w:t>
      </w:r>
      <w:r>
        <w:rPr>
          <w:color w:val="1155CC"/>
        </w:rPr>
        <w:t>​</w:t>
      </w:r>
      <w:r>
        <w:t xml:space="preserve">  </w:t>
      </w:r>
    </w:p>
    <w:p w:rsidR="00005F90" w:rsidRDefault="00005F90" w:rsidP="00005F90">
      <w:pPr>
        <w:spacing w:after="27" w:line="259" w:lineRule="auto"/>
        <w:ind w:left="357" w:firstLine="0"/>
      </w:pPr>
      <w:r>
        <w:t xml:space="preserve"> </w:t>
      </w:r>
    </w:p>
    <w:p w:rsidR="00005F90" w:rsidRDefault="00005F90" w:rsidP="00005F90">
      <w:pPr>
        <w:ind w:left="352" w:right="77"/>
      </w:pPr>
      <w:r>
        <w:t xml:space="preserve">CUIT Service Desk will log, track, assign, and manage all requests, incidents, problems, and queries through CUIT’s service ticket system. When the Service Desk cannot provide a resolution at the time of call logging, they will provide: </w:t>
      </w:r>
      <w:r>
        <w:rPr>
          <w:rFonts w:ascii="Courier New" w:eastAsia="Courier New" w:hAnsi="Courier New" w:cs="Courier New"/>
        </w:rPr>
        <w:t xml:space="preserve">o </w:t>
      </w:r>
      <w:r>
        <w:t xml:space="preserve">Unique reference number (Incident Ticket) </w:t>
      </w:r>
    </w:p>
    <w:p w:rsidR="00005F90" w:rsidRDefault="00005F90" w:rsidP="00005F90">
      <w:pPr>
        <w:spacing w:after="25"/>
        <w:ind w:left="768"/>
      </w:pPr>
      <w:r>
        <w:rPr>
          <w:rFonts w:ascii="Courier New" w:eastAsia="Courier New" w:hAnsi="Courier New" w:cs="Courier New"/>
        </w:rPr>
        <w:t xml:space="preserve">o </w:t>
      </w:r>
      <w:r>
        <w:t xml:space="preserve">Priority assigned to the call </w:t>
      </w:r>
    </w:p>
    <w:p w:rsidR="00005F90" w:rsidRDefault="00005F90" w:rsidP="00005F90">
      <w:pPr>
        <w:spacing w:after="250" w:line="259" w:lineRule="auto"/>
        <w:ind w:left="357" w:firstLine="0"/>
      </w:pPr>
      <w:r>
        <w:t xml:space="preserve"> </w:t>
      </w:r>
    </w:p>
    <w:p w:rsidR="00005F90" w:rsidRDefault="00005F90" w:rsidP="00005F90">
      <w:pPr>
        <w:pStyle w:val="Heading2"/>
        <w:ind w:left="352"/>
      </w:pPr>
      <w:r>
        <w:t xml:space="preserve">4.4 Incident and Major Incident Management </w:t>
      </w:r>
    </w:p>
    <w:p w:rsidR="00005F90" w:rsidRDefault="00005F90" w:rsidP="00005F90">
      <w:pPr>
        <w:ind w:left="352"/>
      </w:pPr>
      <w:r>
        <w:t xml:space="preserve">The purpose of the Major Incident process is to ensure that all faults and queries reported to the Service Desk are managed to minimize business impact by restoring service as soon as possible in accordance with the SLA. The following processes are employed for the management of CUIT incidents: </w:t>
      </w:r>
    </w:p>
    <w:p w:rsidR="00005F90" w:rsidRDefault="00005F90" w:rsidP="00005F90">
      <w:pPr>
        <w:ind w:left="768" w:right="5923"/>
      </w:pPr>
      <w:r>
        <w:rPr>
          <w:rFonts w:ascii="Courier New" w:eastAsia="Courier New" w:hAnsi="Courier New" w:cs="Courier New"/>
        </w:rPr>
        <w:t xml:space="preserve">o </w:t>
      </w:r>
      <w:r>
        <w:t xml:space="preserve">Incident Management </w:t>
      </w:r>
      <w:r>
        <w:rPr>
          <w:rFonts w:ascii="Courier New" w:eastAsia="Courier New" w:hAnsi="Courier New" w:cs="Courier New"/>
        </w:rPr>
        <w:t xml:space="preserve">o </w:t>
      </w:r>
      <w:r>
        <w:t xml:space="preserve">Major Incident Management </w:t>
      </w:r>
    </w:p>
    <w:p w:rsidR="00005F90" w:rsidRDefault="00005F90" w:rsidP="00005F90">
      <w:pPr>
        <w:ind w:left="352"/>
      </w:pPr>
      <w:r>
        <w:t xml:space="preserve">Priority definitions and associated resolution times have been agreed with regards to all faults reported to the Service Desk and will follow targets outlined in </w:t>
      </w:r>
      <w:r>
        <w:rPr>
          <w:color w:val="1155CC"/>
          <w:u w:val="single" w:color="1155CC"/>
        </w:rPr>
        <w:t>Appendix D</w:t>
      </w:r>
      <w:r>
        <w:rPr>
          <w:u w:val="single" w:color="1155CC"/>
        </w:rPr>
        <w:t>​</w:t>
      </w:r>
      <w:r>
        <w:rPr>
          <w:u w:val="single" w:color="1155CC"/>
        </w:rPr>
        <w:tab/>
      </w:r>
      <w:r>
        <w:t>.</w:t>
      </w:r>
      <w:r>
        <w:rPr>
          <w:color w:val="1155CC"/>
        </w:rPr>
        <w:t>​</w:t>
      </w:r>
      <w:r>
        <w:t xml:space="preserve"> </w:t>
      </w:r>
    </w:p>
    <w:p w:rsidR="00005F90" w:rsidRDefault="00005F90" w:rsidP="00005F90">
      <w:pPr>
        <w:spacing w:after="250" w:line="259" w:lineRule="auto"/>
        <w:ind w:left="357" w:firstLine="0"/>
      </w:pPr>
      <w:r>
        <w:t xml:space="preserve"> </w:t>
      </w:r>
    </w:p>
    <w:p w:rsidR="00005F90" w:rsidRDefault="00005F90" w:rsidP="00005F90">
      <w:pPr>
        <w:pStyle w:val="Heading2"/>
        <w:ind w:left="352"/>
      </w:pPr>
      <w:r>
        <w:t xml:space="preserve">4.5 Change Management </w:t>
      </w:r>
    </w:p>
    <w:p w:rsidR="00005F90" w:rsidRDefault="00005F90" w:rsidP="00005F90">
      <w:pPr>
        <w:ind w:left="352"/>
      </w:pPr>
      <w:r>
        <w:t xml:space="preserve">All CUIT/Client proposed changes must adhere to the pre­defined Change Management process (see </w:t>
      </w:r>
      <w:r>
        <w:rPr>
          <w:u w:val="single" w:color="1155CC"/>
        </w:rPr>
        <w:t>​</w:t>
      </w:r>
      <w:r>
        <w:rPr>
          <w:color w:val="1155CC"/>
          <w:u w:val="single" w:color="1155CC"/>
        </w:rPr>
        <w:t>Appendix E</w:t>
      </w:r>
      <w:r>
        <w:t>)</w:t>
      </w:r>
      <w:r>
        <w:rPr>
          <w:color w:val="1155CC"/>
        </w:rPr>
        <w:t>​</w:t>
      </w:r>
      <w:r>
        <w:t xml:space="preserve">. CUIT will take responsibility for the Request For Change (RFC) evaluation, impact assessment, risk analysis, approval and communication prior to implementations where applicable. Failure to adhere to the Change Management process will be deemed as a breach of this SLA. </w:t>
      </w:r>
    </w:p>
    <w:p w:rsidR="00005F90" w:rsidRDefault="00005F90" w:rsidP="00005F90">
      <w:pPr>
        <w:spacing w:after="250" w:line="259" w:lineRule="auto"/>
        <w:ind w:left="357" w:firstLine="0"/>
      </w:pPr>
      <w:r>
        <w:t xml:space="preserve"> </w:t>
      </w:r>
    </w:p>
    <w:p w:rsidR="00005F90" w:rsidRDefault="00005F90" w:rsidP="00005F90">
      <w:pPr>
        <w:pStyle w:val="Heading2"/>
        <w:ind w:left="352"/>
      </w:pPr>
      <w:r>
        <w:t xml:space="preserve">4.6 Handling and Response times </w:t>
      </w:r>
    </w:p>
    <w:p w:rsidR="00005F90" w:rsidRDefault="00005F90" w:rsidP="00005F90">
      <w:pPr>
        <w:ind w:left="352"/>
      </w:pPr>
      <w:r>
        <w:t xml:space="preserve">CUIT will work to resolve known/reported service problems and provide relevant progress reports to the Client.  </w:t>
      </w:r>
    </w:p>
    <w:p w:rsidR="00005F90" w:rsidRDefault="00005F90" w:rsidP="00005F90">
      <w:pPr>
        <w:spacing w:after="115" w:line="259" w:lineRule="auto"/>
        <w:ind w:left="357" w:firstLine="0"/>
      </w:pPr>
      <w:r>
        <w:rPr>
          <w:sz w:val="16"/>
        </w:rPr>
        <w:t xml:space="preserve"> </w:t>
      </w:r>
    </w:p>
    <w:p w:rsidR="00005F90" w:rsidRDefault="00005F90" w:rsidP="00005F90">
      <w:pPr>
        <w:spacing w:after="173"/>
        <w:ind w:left="352"/>
      </w:pPr>
      <w:r>
        <w:t xml:space="preserve">Handling </w:t>
      </w:r>
    </w:p>
    <w:p w:rsidR="00005F90" w:rsidRDefault="00005F90" w:rsidP="00005F90">
      <w:pPr>
        <w:numPr>
          <w:ilvl w:val="0"/>
          <w:numId w:val="8"/>
        </w:numPr>
        <w:ind w:hanging="357"/>
      </w:pPr>
      <w:r>
        <w:t xml:space="preserve">Requests for support will be fulfilled based on priorities (Critical, High, Medium, </w:t>
      </w:r>
    </w:p>
    <w:p w:rsidR="00005F90" w:rsidRDefault="00005F90" w:rsidP="00005F90">
      <w:pPr>
        <w:spacing w:after="223" w:line="259" w:lineRule="auto"/>
        <w:ind w:left="442" w:firstLine="0"/>
        <w:jc w:val="center"/>
      </w:pPr>
      <w:r>
        <w:t xml:space="preserve">Normal) which are determined by urgency and level of impact­­see below. </w:t>
      </w:r>
    </w:p>
    <w:p w:rsidR="00005F90" w:rsidRDefault="00005F90" w:rsidP="00005F90">
      <w:pPr>
        <w:numPr>
          <w:ilvl w:val="0"/>
          <w:numId w:val="8"/>
        </w:numPr>
        <w:spacing w:after="203"/>
        <w:ind w:hanging="357"/>
      </w:pPr>
      <w:r>
        <w:t xml:space="preserve">Response is defined as a “good faith” effort to communicate with the Client using contact information provided. Response may be via phone or voice mail, e­mail, or personal visit. </w:t>
      </w:r>
    </w:p>
    <w:p w:rsidR="00005F90" w:rsidRDefault="00005F90" w:rsidP="00005F90">
      <w:pPr>
        <w:numPr>
          <w:ilvl w:val="0"/>
          <w:numId w:val="8"/>
        </w:numPr>
        <w:spacing w:after="170"/>
        <w:ind w:hanging="357"/>
      </w:pPr>
      <w:r>
        <w:t xml:space="preserve">Response times for service requests are measured once a request is submitted via the CUIT issue tracking system. Other forms of contact may negatively affect the ability of CUIT to meet the requests in a timely fashion. Examples include direct email/phone/other contact with individual support personnel. </w:t>
      </w:r>
    </w:p>
    <w:p w:rsidR="00005F90" w:rsidRDefault="00005F90" w:rsidP="00005F90">
      <w:pPr>
        <w:ind w:left="352"/>
      </w:pPr>
      <w:r>
        <w:t xml:space="preserve">Response Times </w:t>
      </w:r>
    </w:p>
    <w:p w:rsidR="00005F90" w:rsidRDefault="00005F90" w:rsidP="00005F90">
      <w:pPr>
        <w:spacing w:after="215"/>
        <w:ind w:left="352"/>
      </w:pPr>
      <w:r>
        <w:t xml:space="preserve">Response will be driven by the Priority assigned to the Service as defined in this SLA (See </w:t>
      </w:r>
      <w:r>
        <w:rPr>
          <w:color w:val="1155CC"/>
          <w:u w:val="single" w:color="1155CC"/>
        </w:rPr>
        <w:t>Appendix D</w:t>
      </w:r>
      <w:r>
        <w:t>)</w:t>
      </w:r>
      <w:r>
        <w:rPr>
          <w:color w:val="1155CC"/>
        </w:rPr>
        <w:t>​</w:t>
      </w:r>
      <w:r>
        <w:t>.  Note: Complex service and support requests involving the procurement/installation of new equipment, coordination with 3​</w:t>
      </w:r>
      <w:r>
        <w:rPr>
          <w:vertAlign w:val="superscript"/>
        </w:rPr>
        <w:t>rd​</w:t>
      </w:r>
      <w:r>
        <w:t xml:space="preserve"> parties, etc., may require additional effort and time to resolve. </w:t>
      </w:r>
    </w:p>
    <w:p w:rsidR="00005F90" w:rsidRDefault="00005F90" w:rsidP="00005F90">
      <w:pPr>
        <w:pStyle w:val="Heading2"/>
        <w:ind w:left="352"/>
      </w:pPr>
      <w:r>
        <w:t xml:space="preserve">4.7 Escalation Requests and Procedures </w:t>
      </w:r>
    </w:p>
    <w:p w:rsidR="00005F90" w:rsidRDefault="00005F90" w:rsidP="00005F90">
      <w:pPr>
        <w:numPr>
          <w:ilvl w:val="0"/>
          <w:numId w:val="9"/>
        </w:numPr>
        <w:spacing w:after="211"/>
        <w:ind w:hanging="357"/>
      </w:pPr>
      <w:r>
        <w:t xml:space="preserve">In the event service is unsatisfactory, the Client will contact the CUIT Service Owner identified in </w:t>
      </w:r>
      <w:r>
        <w:rPr>
          <w:u w:val="single" w:color="1155CC"/>
        </w:rPr>
        <w:t>​</w:t>
      </w:r>
      <w:r>
        <w:rPr>
          <w:color w:val="1155CC"/>
          <w:u w:val="single" w:color="1155CC"/>
        </w:rPr>
        <w:t>Appendix A</w:t>
      </w:r>
      <w:r>
        <w:rPr>
          <w:color w:val="1155CC"/>
        </w:rPr>
        <w:t>​</w:t>
      </w:r>
      <w:r>
        <w:t xml:space="preserve"> ​to request escalation of an incident/problem/request. </w:t>
      </w:r>
    </w:p>
    <w:p w:rsidR="00005F90" w:rsidRDefault="00005F90" w:rsidP="00005F90">
      <w:pPr>
        <w:numPr>
          <w:ilvl w:val="0"/>
          <w:numId w:val="9"/>
        </w:numPr>
        <w:spacing w:after="211"/>
        <w:ind w:hanging="357"/>
      </w:pPr>
      <w:r>
        <w:t xml:space="preserve">If needed a joint meeting between the Client and CUIT will be convened to discuss and resolve issues to restore services to satisfactory levels. </w:t>
      </w:r>
    </w:p>
    <w:p w:rsidR="00005F90" w:rsidRDefault="00005F90" w:rsidP="00005F90">
      <w:pPr>
        <w:numPr>
          <w:ilvl w:val="0"/>
          <w:numId w:val="9"/>
        </w:numPr>
        <w:spacing w:after="211"/>
        <w:ind w:hanging="357"/>
      </w:pPr>
      <w:r>
        <w:t xml:space="preserve">In the event that additional escalation is determined to be necessary, CUIT will escalate to its Senior Leadership Team for a resolution. </w:t>
      </w:r>
    </w:p>
    <w:p w:rsidR="00005F90" w:rsidRDefault="00005F90" w:rsidP="00005F90">
      <w:pPr>
        <w:numPr>
          <w:ilvl w:val="0"/>
          <w:numId w:val="9"/>
        </w:numPr>
        <w:spacing w:after="267"/>
        <w:ind w:hanging="357"/>
      </w:pPr>
      <w:r>
        <w:t xml:space="preserve">CUIT may periodically request your feedback. </w:t>
      </w:r>
    </w:p>
    <w:p w:rsidR="00005F90" w:rsidRDefault="00005F90" w:rsidP="00005F90">
      <w:pPr>
        <w:spacing w:after="0" w:line="259" w:lineRule="auto"/>
        <w:ind w:left="357" w:firstLine="0"/>
      </w:pPr>
      <w:r>
        <w:rPr>
          <w:sz w:val="26"/>
        </w:rPr>
        <w:t xml:space="preserve"> </w:t>
      </w:r>
    </w:p>
    <w:p w:rsidR="00005F90" w:rsidRDefault="00005F90" w:rsidP="00005F90">
      <w:pPr>
        <w:pStyle w:val="Heading1"/>
        <w:ind w:left="-5"/>
      </w:pPr>
      <w:r>
        <w:t xml:space="preserve">5. Monitoring Service Performance </w:t>
      </w:r>
    </w:p>
    <w:p w:rsidR="00005F90" w:rsidRDefault="00005F90" w:rsidP="00005F90">
      <w:pPr>
        <w:pStyle w:val="Heading2"/>
        <w:ind w:left="352"/>
      </w:pPr>
      <w:r>
        <w:t xml:space="preserve">5.1 Process &amp; Procedural Responsibilities </w:t>
      </w:r>
    </w:p>
    <w:p w:rsidR="00005F90" w:rsidRDefault="00005F90" w:rsidP="00005F90">
      <w:pPr>
        <w:spacing w:after="251"/>
        <w:ind w:left="352"/>
      </w:pPr>
      <w:r>
        <w:t xml:space="preserve">CUIT will ensure procedures exist to measure and monitor the level of service provided against the defined service targets. CUIT’s services are aligned with ITIL Best Practice service management methodologies with regard to Service Desk, Incident Management, Problem Management (PIR), and Change Management. </w:t>
      </w:r>
    </w:p>
    <w:p w:rsidR="00005F90" w:rsidRDefault="00005F90" w:rsidP="00005F90">
      <w:pPr>
        <w:pStyle w:val="Heading2"/>
        <w:ind w:left="352"/>
      </w:pPr>
      <w:r>
        <w:t xml:space="preserve">5.2 Service Reporting </w:t>
      </w:r>
    </w:p>
    <w:p w:rsidR="00005F90" w:rsidRDefault="00005F90" w:rsidP="00005F90">
      <w:pPr>
        <w:spacing w:after="251"/>
        <w:ind w:left="352"/>
      </w:pPr>
      <w:r>
        <w:t>Beginning in calendar year 2016, CUIT plans to provide quarterly utilization (capacity), performance, and availability reports for the Service. Client can request reporting on additional parameters; however, such parameters will be included at the sole discretion of CUIT based on impact and resources needed.</w:t>
      </w:r>
      <w:r>
        <w:rPr>
          <w:sz w:val="20"/>
        </w:rPr>
        <w:t xml:space="preserve">  </w:t>
      </w:r>
    </w:p>
    <w:p w:rsidR="00005F90" w:rsidRDefault="00005F90" w:rsidP="00005F90">
      <w:pPr>
        <w:pStyle w:val="Heading2"/>
        <w:ind w:left="352"/>
      </w:pPr>
      <w:r>
        <w:t xml:space="preserve">5.3 Performance Review </w:t>
      </w:r>
    </w:p>
    <w:p w:rsidR="00005F90" w:rsidRDefault="00005F90" w:rsidP="00005F90">
      <w:pPr>
        <w:spacing w:after="102"/>
        <w:ind w:left="352"/>
      </w:pPr>
      <w:r>
        <w:t xml:space="preserve">Periodic Service Level Review (SLR) meetings will be established for all stakeholders. The primary goals of the meetings will be to review performance against service targets and to agree on any remedial action as appropriate. SLR meetings will provide an opportunity to discuss organizational, operational and strategic changes.  </w:t>
      </w:r>
    </w:p>
    <w:p w:rsidR="00005F90" w:rsidRDefault="00005F90" w:rsidP="00005F90">
      <w:pPr>
        <w:spacing w:after="131" w:line="259" w:lineRule="auto"/>
        <w:ind w:left="357" w:firstLine="0"/>
      </w:pPr>
      <w:r>
        <w:t xml:space="preserve"> </w:t>
      </w:r>
    </w:p>
    <w:p w:rsidR="00005F90" w:rsidRDefault="00005F90" w:rsidP="00005F90">
      <w:pPr>
        <w:spacing w:after="652"/>
        <w:ind w:left="352"/>
      </w:pPr>
      <w:r>
        <w:t xml:space="preserve">CUIT will continually monitor, review and if necessary act upon the service performance against the Service Level as defined within this SLA. </w:t>
      </w:r>
    </w:p>
    <w:p w:rsidR="00005F90" w:rsidRDefault="00005F90" w:rsidP="00005F90">
      <w:pPr>
        <w:pStyle w:val="Heading1"/>
        <w:ind w:left="-5"/>
      </w:pPr>
      <w:r>
        <w:t xml:space="preserve">6. Conditions of Services Provided </w:t>
      </w:r>
    </w:p>
    <w:p w:rsidR="00005F90" w:rsidRDefault="00005F90" w:rsidP="00005F90">
      <w:pPr>
        <w:pStyle w:val="Heading2"/>
        <w:ind w:left="352"/>
      </w:pPr>
      <w:r>
        <w:t xml:space="preserve">6.1 Standards and Policies </w:t>
      </w:r>
    </w:p>
    <w:p w:rsidR="00005F90" w:rsidRDefault="00005F90" w:rsidP="00005F90">
      <w:pPr>
        <w:ind w:left="352"/>
      </w:pPr>
      <w:r>
        <w:t xml:space="preserve">The operation of this SLA will be subject to the CUIT’s  policies and standards outlined at </w:t>
      </w:r>
      <w:r>
        <w:rPr>
          <w:color w:val="1155CC"/>
          <w:u w:val="single" w:color="1155CC"/>
        </w:rPr>
        <w:t>https://cuit.columbia.edu/cuit/it­policies</w:t>
      </w:r>
      <w:r>
        <w:t>.</w:t>
      </w:r>
      <w:r>
        <w:rPr>
          <w:color w:val="1155CC"/>
        </w:rPr>
        <w:t>​</w:t>
      </w:r>
      <w:r>
        <w:t xml:space="preserve">  </w:t>
      </w:r>
    </w:p>
    <w:p w:rsidR="00005F90" w:rsidRDefault="00005F90" w:rsidP="00005F90">
      <w:pPr>
        <w:spacing w:after="27" w:line="259" w:lineRule="auto"/>
        <w:ind w:left="357" w:firstLine="0"/>
      </w:pPr>
      <w:r>
        <w:t xml:space="preserve"> </w:t>
      </w:r>
    </w:p>
    <w:p w:rsidR="00005F90" w:rsidRDefault="00005F90" w:rsidP="00005F90">
      <w:pPr>
        <w:ind w:left="352"/>
      </w:pPr>
      <w:r>
        <w:t>In the event of any changes that may have an impact on the performance of the Service, CUIT will inform the Client at least 3 business days (per the defined Change Management policy) prior to any change. See</w:t>
      </w:r>
      <w:r>
        <w:rPr>
          <w:u w:val="single" w:color="1155CC"/>
        </w:rPr>
        <w:t>​</w:t>
      </w:r>
      <w:r>
        <w:rPr>
          <w:color w:val="1155CC"/>
          <w:u w:val="single" w:color="1155CC"/>
        </w:rPr>
        <w:t xml:space="preserve"> Appendix E</w:t>
      </w:r>
      <w:r>
        <w:t>.</w:t>
      </w:r>
      <w:r>
        <w:rPr>
          <w:color w:val="1155CC"/>
        </w:rPr>
        <w:t>​</w:t>
      </w:r>
      <w:r>
        <w:t xml:space="preserve"> </w:t>
      </w:r>
    </w:p>
    <w:p w:rsidR="00005F90" w:rsidRDefault="00005F90" w:rsidP="00005F90">
      <w:pPr>
        <w:spacing w:after="0" w:line="259" w:lineRule="auto"/>
        <w:ind w:left="357" w:firstLine="0"/>
      </w:pPr>
      <w:r>
        <w:t xml:space="preserve"> </w:t>
      </w:r>
    </w:p>
    <w:p w:rsidR="00005F90" w:rsidRDefault="00005F90" w:rsidP="00005F90">
      <w:pPr>
        <w:pStyle w:val="Heading2"/>
        <w:ind w:left="352"/>
      </w:pPr>
      <w:r>
        <w:t xml:space="preserve">6.2 Responsibilities &amp; Exclusions </w:t>
      </w:r>
    </w:p>
    <w:p w:rsidR="00005F90" w:rsidRDefault="00005F90" w:rsidP="00005F90">
      <w:pPr>
        <w:spacing w:after="215"/>
        <w:ind w:left="352"/>
      </w:pPr>
      <w:r>
        <w:t xml:space="preserve">Both parties agree to act with good intentions (See </w:t>
      </w:r>
      <w:r>
        <w:rPr>
          <w:u w:val="single" w:color="1155CC"/>
        </w:rPr>
        <w:t>​</w:t>
      </w:r>
      <w:r>
        <w:rPr>
          <w:color w:val="1155CC"/>
          <w:u w:val="single" w:color="1155CC"/>
        </w:rPr>
        <w:t>Appendix G</w:t>
      </w:r>
      <w:r>
        <w:t>).</w:t>
      </w:r>
      <w:r>
        <w:rPr>
          <w:color w:val="1155CC"/>
        </w:rPr>
        <w:t>​</w:t>
      </w:r>
      <w:r>
        <w:t xml:space="preserve">  </w:t>
      </w:r>
    </w:p>
    <w:p w:rsidR="00005F90" w:rsidRDefault="00005F90" w:rsidP="00005F90">
      <w:pPr>
        <w:ind w:left="352"/>
      </w:pPr>
      <w:r>
        <w:t xml:space="preserve">CUIT Responsibilities </w:t>
      </w:r>
    </w:p>
    <w:p w:rsidR="00005F90" w:rsidRDefault="00005F90" w:rsidP="00005F90">
      <w:pPr>
        <w:numPr>
          <w:ilvl w:val="0"/>
          <w:numId w:val="10"/>
        </w:numPr>
        <w:spacing w:after="211"/>
        <w:ind w:hanging="357"/>
      </w:pPr>
      <w:r>
        <w:t xml:space="preserve">CUIT shall provide the services identified in the SLA and shall ensure the services are maintained at all times and to agreed pre­defined standards. CUIT agrees to exercise professional care and diligence in the discharge of all the services and to comply in all respects with relevant standards. </w:t>
      </w:r>
    </w:p>
    <w:p w:rsidR="00005F90" w:rsidRDefault="00005F90" w:rsidP="00005F90">
      <w:pPr>
        <w:numPr>
          <w:ilvl w:val="0"/>
          <w:numId w:val="10"/>
        </w:numPr>
        <w:ind w:hanging="357"/>
      </w:pPr>
      <w:r>
        <w:t xml:space="preserve">CUIT will act as owner, supplier, maintainer, and supporter of the herein identified and defined CUIT Services that have been requested/required by the Client, except where CUIT has employed third­parties who will assume those responsibilities. </w:t>
      </w:r>
    </w:p>
    <w:p w:rsidR="00005F90" w:rsidRDefault="00005F90" w:rsidP="00005F90">
      <w:pPr>
        <w:numPr>
          <w:ilvl w:val="0"/>
          <w:numId w:val="10"/>
        </w:numPr>
        <w:ind w:hanging="357"/>
      </w:pPr>
      <w:r>
        <w:t xml:space="preserve">CUIT will be responsible for day­to­day management of the SLA and liaise with the Client to ensure that information flows freely between both parties. </w:t>
      </w:r>
    </w:p>
    <w:p w:rsidR="00005F90" w:rsidRDefault="00005F90" w:rsidP="00005F90">
      <w:pPr>
        <w:numPr>
          <w:ilvl w:val="0"/>
          <w:numId w:val="10"/>
        </w:numPr>
        <w:ind w:hanging="357"/>
      </w:pPr>
      <w:r>
        <w:t xml:space="preserve">CUIT will follow established internal processes/procedures and adhere to policies and standards. </w:t>
      </w:r>
    </w:p>
    <w:p w:rsidR="00005F90" w:rsidRDefault="00005F90" w:rsidP="00005F90">
      <w:pPr>
        <w:numPr>
          <w:ilvl w:val="0"/>
          <w:numId w:val="10"/>
        </w:numPr>
        <w:ind w:hanging="357"/>
      </w:pPr>
      <w:r>
        <w:t xml:space="preserve">CUIT will not make changes to the systems/services offered without prior notification and Client approval through the defined Change Management process. </w:t>
      </w:r>
    </w:p>
    <w:p w:rsidR="00005F90" w:rsidRDefault="00005F90" w:rsidP="00005F90">
      <w:pPr>
        <w:numPr>
          <w:ilvl w:val="0"/>
          <w:numId w:val="10"/>
        </w:numPr>
        <w:ind w:hanging="357"/>
      </w:pPr>
      <w:r>
        <w:t xml:space="preserve">CUIT will inform the Client in the event of any incident likely to affect the availability or performance of their applications. </w:t>
      </w:r>
    </w:p>
    <w:p w:rsidR="00005F90" w:rsidRDefault="00005F90" w:rsidP="00005F90">
      <w:pPr>
        <w:spacing w:after="27" w:line="259" w:lineRule="auto"/>
        <w:ind w:left="357" w:firstLine="0"/>
      </w:pPr>
      <w:r>
        <w:t xml:space="preserve"> </w:t>
      </w:r>
    </w:p>
    <w:p w:rsidR="00005F90" w:rsidRDefault="00005F90" w:rsidP="00005F90">
      <w:pPr>
        <w:ind w:left="352"/>
      </w:pPr>
      <w:r>
        <w:t xml:space="preserve">CUIT Exclusions  </w:t>
      </w:r>
    </w:p>
    <w:p w:rsidR="00005F90" w:rsidRDefault="00005F90" w:rsidP="00005F90">
      <w:pPr>
        <w:numPr>
          <w:ilvl w:val="0"/>
          <w:numId w:val="10"/>
        </w:numPr>
        <w:spacing w:after="211"/>
        <w:ind w:hanging="357"/>
      </w:pPr>
      <w:r>
        <w:t xml:space="preserve">CUIT is not responsible for unsupported configurations that deviate from our technology standards unless an explicit exemption has been granted. </w:t>
      </w:r>
    </w:p>
    <w:p w:rsidR="00005F90" w:rsidRDefault="00005F90" w:rsidP="00005F90">
      <w:pPr>
        <w:numPr>
          <w:ilvl w:val="0"/>
          <w:numId w:val="10"/>
        </w:numPr>
        <w:spacing w:after="211"/>
        <w:ind w:hanging="357"/>
      </w:pPr>
      <w:r>
        <w:t xml:space="preserve">Services for which CUIT has no formal support agreements or contracts relating to service availability and incident response or fix times on IT/Network components which are the responsibility of an external vendor. </w:t>
      </w:r>
    </w:p>
    <w:p w:rsidR="00005F90" w:rsidRDefault="00005F90" w:rsidP="00005F90">
      <w:pPr>
        <w:ind w:left="352"/>
      </w:pPr>
      <w:r>
        <w:t xml:space="preserve"> Client Responsibilities </w:t>
      </w:r>
    </w:p>
    <w:p w:rsidR="00005F90" w:rsidRDefault="00005F90" w:rsidP="00005F90">
      <w:pPr>
        <w:spacing w:after="27" w:line="259" w:lineRule="auto"/>
        <w:ind w:left="357" w:firstLine="0"/>
      </w:pPr>
      <w:r>
        <w:t xml:space="preserve"> </w:t>
      </w:r>
    </w:p>
    <w:p w:rsidR="00005F90" w:rsidRDefault="00005F90" w:rsidP="00005F90">
      <w:pPr>
        <w:numPr>
          <w:ilvl w:val="0"/>
          <w:numId w:val="10"/>
        </w:numPr>
        <w:spacing w:after="211"/>
        <w:ind w:hanging="357"/>
      </w:pPr>
      <w:r>
        <w:t xml:space="preserve">Client shall provide all necessary information, assistance and instructions in a manner that enables CUIT to meet performance standards, for example, by the giving of adequate notice and disclosing of all known relevant information. </w:t>
      </w:r>
    </w:p>
    <w:p w:rsidR="00005F90" w:rsidRDefault="00005F90" w:rsidP="00005F90">
      <w:pPr>
        <w:numPr>
          <w:ilvl w:val="0"/>
          <w:numId w:val="10"/>
        </w:numPr>
        <w:spacing w:after="211"/>
        <w:ind w:hanging="357"/>
      </w:pPr>
      <w:r>
        <w:t xml:space="preserve">Client is required to ensure attendance/participation at Major Incident and Problem review meetings as requested by CUIT to assist with the definition of service impact. </w:t>
      </w:r>
    </w:p>
    <w:p w:rsidR="00005F90" w:rsidRDefault="00005F90" w:rsidP="00005F90">
      <w:pPr>
        <w:numPr>
          <w:ilvl w:val="0"/>
          <w:numId w:val="10"/>
        </w:numPr>
        <w:ind w:hanging="357"/>
      </w:pPr>
      <w:r>
        <w:t xml:space="preserve">Client is required to advise the appropriate CUIT team if the requirements of the business change and the need for a review of the SLA is identified. </w:t>
      </w:r>
    </w:p>
    <w:p w:rsidR="00005F90" w:rsidRDefault="00005F90" w:rsidP="00005F90">
      <w:pPr>
        <w:numPr>
          <w:ilvl w:val="0"/>
          <w:numId w:val="10"/>
        </w:numPr>
        <w:spacing w:after="211"/>
        <w:ind w:hanging="357"/>
      </w:pPr>
      <w:r>
        <w:t xml:space="preserve">Client is required to report all issues, queries and requests via appropriate channels and processes. </w:t>
      </w:r>
    </w:p>
    <w:p w:rsidR="00005F90" w:rsidRDefault="00005F90" w:rsidP="00005F90">
      <w:pPr>
        <w:spacing w:after="27" w:line="259" w:lineRule="auto"/>
        <w:ind w:left="357" w:firstLine="0"/>
      </w:pPr>
      <w:r>
        <w:t xml:space="preserve"> </w:t>
      </w:r>
    </w:p>
    <w:p w:rsidR="00005F90" w:rsidRDefault="00005F90" w:rsidP="00005F90">
      <w:pPr>
        <w:spacing w:after="27" w:line="259" w:lineRule="auto"/>
        <w:ind w:left="357" w:firstLine="0"/>
      </w:pPr>
      <w:r>
        <w:t xml:space="preserve"> </w:t>
      </w:r>
    </w:p>
    <w:p w:rsidR="00005F90" w:rsidRDefault="00005F90" w:rsidP="00005F90">
      <w:pPr>
        <w:spacing w:after="0" w:line="259" w:lineRule="auto"/>
        <w:ind w:left="357" w:firstLine="0"/>
      </w:pPr>
      <w:r>
        <w:t xml:space="preserve"> </w:t>
      </w:r>
      <w:r>
        <w:tab/>
        <w:t xml:space="preserve"> </w:t>
      </w:r>
      <w:r>
        <w:br w:type="page"/>
      </w:r>
    </w:p>
    <w:p w:rsidR="00005F90" w:rsidRDefault="00005F90" w:rsidP="00005F90">
      <w:pPr>
        <w:pStyle w:val="Heading1"/>
        <w:spacing w:after="34"/>
        <w:ind w:left="0" w:right="30" w:firstLine="0"/>
        <w:jc w:val="center"/>
      </w:pPr>
      <w:r>
        <w:rPr>
          <w:sz w:val="48"/>
        </w:rPr>
        <w:t>APPENDICES</w:t>
      </w:r>
      <w:r>
        <w:rPr>
          <w:color w:val="FF0000"/>
        </w:rPr>
        <w:t xml:space="preserve"> </w:t>
      </w:r>
    </w:p>
    <w:p w:rsidR="00005F90" w:rsidRDefault="00005F90" w:rsidP="00005F90">
      <w:pPr>
        <w:pStyle w:val="Heading2"/>
        <w:ind w:left="352"/>
      </w:pPr>
      <w:r>
        <w:t xml:space="preserve">APPENDIX A: CUIT Service Owner &amp; Key Business Stakeholders </w:t>
      </w:r>
    </w:p>
    <w:p w:rsidR="00005F90" w:rsidRDefault="00005F90" w:rsidP="00005F90">
      <w:pPr>
        <w:ind w:left="352"/>
      </w:pPr>
      <w:r>
        <w:t xml:space="preserve">This document will be distributed as follows; each name on the distribution list has been identified as a Key Business Stakeholder. </w:t>
      </w:r>
    </w:p>
    <w:p w:rsidR="00005F90" w:rsidRDefault="00005F90" w:rsidP="00005F90">
      <w:pPr>
        <w:spacing w:after="0" w:line="259" w:lineRule="auto"/>
        <w:ind w:left="357" w:firstLine="0"/>
      </w:pPr>
      <w:r>
        <w:t xml:space="preserve"> </w:t>
      </w:r>
    </w:p>
    <w:p w:rsidR="00005F90" w:rsidRDefault="00005F90" w:rsidP="00005F90">
      <w:pPr>
        <w:spacing w:after="0" w:line="259" w:lineRule="auto"/>
        <w:ind w:left="357" w:firstLine="0"/>
      </w:pPr>
      <w:r>
        <w:t xml:space="preserve"> </w:t>
      </w:r>
    </w:p>
    <w:tbl>
      <w:tblPr>
        <w:tblStyle w:val="TableGrid"/>
        <w:tblW w:w="9280" w:type="dxa"/>
        <w:tblInd w:w="364" w:type="dxa"/>
        <w:tblCellMar>
          <w:top w:w="122" w:type="dxa"/>
          <w:left w:w="112" w:type="dxa"/>
          <w:right w:w="62" w:type="dxa"/>
        </w:tblCellMar>
        <w:tblLook w:val="04A0" w:firstRow="1" w:lastRow="0" w:firstColumn="1" w:lastColumn="0" w:noHBand="0" w:noVBand="1"/>
      </w:tblPr>
      <w:tblGrid>
        <w:gridCol w:w="2320"/>
        <w:gridCol w:w="2320"/>
        <w:gridCol w:w="2320"/>
        <w:gridCol w:w="2320"/>
      </w:tblGrid>
      <w:tr w:rsidR="00005F90" w:rsidTr="002C7D6A">
        <w:trPr>
          <w:trHeight w:val="491"/>
        </w:trPr>
        <w:tc>
          <w:tcPr>
            <w:tcW w:w="2320"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Name </w:t>
            </w:r>
          </w:p>
        </w:tc>
        <w:tc>
          <w:tcPr>
            <w:tcW w:w="2320"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Job Title </w:t>
            </w:r>
          </w:p>
        </w:tc>
        <w:tc>
          <w:tcPr>
            <w:tcW w:w="2320"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SLA Role </w:t>
            </w:r>
          </w:p>
        </w:tc>
        <w:tc>
          <w:tcPr>
            <w:tcW w:w="2320"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Contacts </w:t>
            </w:r>
          </w:p>
        </w:tc>
      </w:tr>
      <w:tr w:rsidR="00005F90" w:rsidTr="002C7D6A">
        <w:trPr>
          <w:trHeight w:val="431"/>
        </w:trPr>
        <w:tc>
          <w:tcPr>
            <w:tcW w:w="2320"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rPr>
                <w:sz w:val="18"/>
              </w:rPr>
              <w:t xml:space="preserve"> </w:t>
            </w:r>
          </w:p>
        </w:tc>
        <w:tc>
          <w:tcPr>
            <w:tcW w:w="2320"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rPr>
                <w:sz w:val="18"/>
              </w:rPr>
              <w:t xml:space="preserve"> </w:t>
            </w:r>
          </w:p>
        </w:tc>
        <w:tc>
          <w:tcPr>
            <w:tcW w:w="2320"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rPr>
                <w:sz w:val="18"/>
              </w:rPr>
              <w:t xml:space="preserve">Client </w:t>
            </w:r>
          </w:p>
        </w:tc>
        <w:tc>
          <w:tcPr>
            <w:tcW w:w="2320"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rPr>
                <w:sz w:val="18"/>
              </w:rPr>
              <w:t xml:space="preserve"> </w:t>
            </w:r>
          </w:p>
        </w:tc>
      </w:tr>
      <w:tr w:rsidR="00005F90" w:rsidTr="002C7D6A">
        <w:trPr>
          <w:trHeight w:val="848"/>
        </w:trPr>
        <w:tc>
          <w:tcPr>
            <w:tcW w:w="2320" w:type="dxa"/>
            <w:tcBorders>
              <w:top w:val="single" w:sz="6" w:space="0" w:color="000000"/>
              <w:left w:val="single" w:sz="6" w:space="0" w:color="000000"/>
              <w:bottom w:val="single" w:sz="6" w:space="0" w:color="000000"/>
              <w:right w:val="single" w:sz="6" w:space="0" w:color="000000"/>
            </w:tcBorders>
          </w:tcPr>
          <w:p w:rsidR="00005F90" w:rsidRDefault="00005F90" w:rsidP="002C7D6A">
            <w:pPr>
              <w:spacing w:after="0" w:line="259" w:lineRule="auto"/>
              <w:ind w:left="0" w:firstLine="0"/>
            </w:pPr>
            <w:r>
              <w:rPr>
                <w:sz w:val="18"/>
              </w:rPr>
              <w:t xml:space="preserve">Jim Bossio </w:t>
            </w:r>
          </w:p>
        </w:tc>
        <w:tc>
          <w:tcPr>
            <w:tcW w:w="2320" w:type="dxa"/>
            <w:tcBorders>
              <w:top w:val="single" w:sz="6" w:space="0" w:color="000000"/>
              <w:left w:val="single" w:sz="6" w:space="0" w:color="000000"/>
              <w:bottom w:val="single" w:sz="6" w:space="0" w:color="000000"/>
              <w:right w:val="single" w:sz="6" w:space="0" w:color="000000"/>
            </w:tcBorders>
          </w:tcPr>
          <w:p w:rsidR="00005F90" w:rsidRDefault="00005F90" w:rsidP="002C7D6A">
            <w:pPr>
              <w:spacing w:after="0" w:line="259" w:lineRule="auto"/>
              <w:ind w:left="0" w:firstLine="0"/>
            </w:pPr>
            <w:r>
              <w:rPr>
                <w:sz w:val="18"/>
              </w:rPr>
              <w:t xml:space="preserve">AVP Infrastructure Services </w:t>
            </w:r>
          </w:p>
        </w:tc>
        <w:tc>
          <w:tcPr>
            <w:tcW w:w="2320" w:type="dxa"/>
            <w:tcBorders>
              <w:top w:val="single" w:sz="6" w:space="0" w:color="000000"/>
              <w:left w:val="single" w:sz="6" w:space="0" w:color="000000"/>
              <w:bottom w:val="single" w:sz="6" w:space="0" w:color="000000"/>
              <w:right w:val="single" w:sz="6" w:space="0" w:color="000000"/>
            </w:tcBorders>
          </w:tcPr>
          <w:p w:rsidR="00005F90" w:rsidRDefault="00005F90" w:rsidP="002C7D6A">
            <w:pPr>
              <w:spacing w:after="0" w:line="259" w:lineRule="auto"/>
              <w:ind w:left="0" w:firstLine="0"/>
            </w:pPr>
            <w:r>
              <w:rPr>
                <w:sz w:val="18"/>
              </w:rPr>
              <w:t xml:space="preserve">CUIT Service Owner </w:t>
            </w:r>
          </w:p>
        </w:tc>
        <w:tc>
          <w:tcPr>
            <w:tcW w:w="2320"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rPr>
                <w:color w:val="1155CC"/>
                <w:sz w:val="18"/>
                <w:u w:val="single" w:color="1155CC"/>
              </w:rPr>
              <w:t>jim.bossio@columbia.edu</w:t>
            </w:r>
            <w:r>
              <w:rPr>
                <w:sz w:val="18"/>
              </w:rPr>
              <w:t xml:space="preserve"> </w:t>
            </w:r>
          </w:p>
          <w:p w:rsidR="00005F90" w:rsidRDefault="00005F90" w:rsidP="002C7D6A">
            <w:pPr>
              <w:spacing w:after="0" w:line="259" w:lineRule="auto"/>
              <w:ind w:left="0" w:firstLine="0"/>
            </w:pPr>
            <w:r>
              <w:rPr>
                <w:sz w:val="18"/>
              </w:rPr>
              <w:t xml:space="preserve">(212) 851­2184 </w:t>
            </w:r>
          </w:p>
          <w:p w:rsidR="00005F90" w:rsidRDefault="00005F90" w:rsidP="002C7D6A">
            <w:pPr>
              <w:spacing w:after="0" w:line="259" w:lineRule="auto"/>
              <w:ind w:left="0" w:firstLine="0"/>
            </w:pPr>
            <w:r>
              <w:rPr>
                <w:sz w:val="18"/>
              </w:rPr>
              <w:t xml:space="preserve">(917) 993­0163 </w:t>
            </w:r>
          </w:p>
        </w:tc>
      </w:tr>
      <w:tr w:rsidR="00005F90" w:rsidTr="002C7D6A">
        <w:trPr>
          <w:trHeight w:val="848"/>
        </w:trPr>
        <w:tc>
          <w:tcPr>
            <w:tcW w:w="2320" w:type="dxa"/>
            <w:tcBorders>
              <w:top w:val="single" w:sz="6" w:space="0" w:color="000000"/>
              <w:left w:val="single" w:sz="6" w:space="0" w:color="000000"/>
              <w:bottom w:val="single" w:sz="6" w:space="0" w:color="000000"/>
              <w:right w:val="single" w:sz="6" w:space="0" w:color="000000"/>
            </w:tcBorders>
          </w:tcPr>
          <w:p w:rsidR="00005F90" w:rsidRDefault="00005F90" w:rsidP="002C7D6A">
            <w:pPr>
              <w:spacing w:after="0" w:line="259" w:lineRule="auto"/>
              <w:ind w:left="0" w:firstLine="0"/>
            </w:pPr>
            <w:r>
              <w:rPr>
                <w:sz w:val="18"/>
              </w:rPr>
              <w:t xml:space="preserve">Sat Persaud </w:t>
            </w:r>
          </w:p>
        </w:tc>
        <w:tc>
          <w:tcPr>
            <w:tcW w:w="2320" w:type="dxa"/>
            <w:tcBorders>
              <w:top w:val="single" w:sz="6" w:space="0" w:color="000000"/>
              <w:left w:val="single" w:sz="6" w:space="0" w:color="000000"/>
              <w:bottom w:val="single" w:sz="6" w:space="0" w:color="000000"/>
              <w:right w:val="single" w:sz="6" w:space="0" w:color="000000"/>
            </w:tcBorders>
          </w:tcPr>
          <w:p w:rsidR="00005F90" w:rsidRDefault="00005F90" w:rsidP="002C7D6A">
            <w:pPr>
              <w:spacing w:after="0" w:line="259" w:lineRule="auto"/>
              <w:ind w:left="0" w:firstLine="0"/>
            </w:pPr>
            <w:r>
              <w:rPr>
                <w:sz w:val="18"/>
              </w:rPr>
              <w:t xml:space="preserve">Director, Infrastructure Support Services </w:t>
            </w:r>
          </w:p>
        </w:tc>
        <w:tc>
          <w:tcPr>
            <w:tcW w:w="2320" w:type="dxa"/>
            <w:tcBorders>
              <w:top w:val="single" w:sz="6" w:space="0" w:color="000000"/>
              <w:left w:val="single" w:sz="6" w:space="0" w:color="000000"/>
              <w:bottom w:val="single" w:sz="6" w:space="0" w:color="000000"/>
              <w:right w:val="single" w:sz="6" w:space="0" w:color="000000"/>
            </w:tcBorders>
          </w:tcPr>
          <w:p w:rsidR="00005F90" w:rsidRDefault="00005F90" w:rsidP="002C7D6A">
            <w:pPr>
              <w:spacing w:after="0" w:line="259" w:lineRule="auto"/>
              <w:ind w:left="0" w:firstLine="0"/>
            </w:pPr>
            <w:r>
              <w:rPr>
                <w:sz w:val="18"/>
              </w:rPr>
              <w:t xml:space="preserve">Infrastructure Services Representative </w:t>
            </w:r>
          </w:p>
        </w:tc>
        <w:tc>
          <w:tcPr>
            <w:tcW w:w="2320"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rPr>
                <w:color w:val="1155CC"/>
                <w:sz w:val="18"/>
                <w:u w:val="single" w:color="1155CC"/>
              </w:rPr>
              <w:t>spersaud@columbia.edu</w:t>
            </w:r>
            <w:r>
              <w:rPr>
                <w:sz w:val="18"/>
              </w:rPr>
              <w:t xml:space="preserve"> </w:t>
            </w:r>
          </w:p>
          <w:p w:rsidR="00005F90" w:rsidRDefault="00005F90" w:rsidP="002C7D6A">
            <w:pPr>
              <w:spacing w:after="0" w:line="259" w:lineRule="auto"/>
              <w:ind w:left="0" w:firstLine="0"/>
            </w:pPr>
            <w:r>
              <w:rPr>
                <w:sz w:val="18"/>
              </w:rPr>
              <w:t xml:space="preserve">(212) 854­4989 </w:t>
            </w:r>
          </w:p>
          <w:p w:rsidR="00005F90" w:rsidRDefault="00005F90" w:rsidP="002C7D6A">
            <w:pPr>
              <w:spacing w:after="0" w:line="259" w:lineRule="auto"/>
              <w:ind w:left="0" w:firstLine="0"/>
            </w:pPr>
            <w:r>
              <w:rPr>
                <w:sz w:val="18"/>
              </w:rPr>
              <w:t xml:space="preserve">(917) 731­0255 </w:t>
            </w:r>
          </w:p>
        </w:tc>
      </w:tr>
    </w:tbl>
    <w:p w:rsidR="00005F90" w:rsidRDefault="00005F90" w:rsidP="00005F90">
      <w:pPr>
        <w:spacing w:after="186" w:line="259" w:lineRule="auto"/>
        <w:ind w:left="357" w:firstLine="0"/>
      </w:pPr>
      <w:r>
        <w:rPr>
          <w:sz w:val="26"/>
        </w:rPr>
        <w:t xml:space="preserve"> </w:t>
      </w:r>
    </w:p>
    <w:p w:rsidR="00005F90" w:rsidRDefault="00005F90" w:rsidP="00005F90">
      <w:pPr>
        <w:spacing w:after="186" w:line="259" w:lineRule="auto"/>
        <w:ind w:left="357" w:firstLine="0"/>
      </w:pPr>
      <w:r>
        <w:rPr>
          <w:sz w:val="26"/>
        </w:rPr>
        <w:t xml:space="preserve"> </w:t>
      </w:r>
    </w:p>
    <w:p w:rsidR="00005F90" w:rsidRDefault="00005F90" w:rsidP="00005F90">
      <w:pPr>
        <w:spacing w:after="0" w:line="259" w:lineRule="auto"/>
        <w:ind w:left="357" w:firstLine="0"/>
      </w:pPr>
      <w:r>
        <w:rPr>
          <w:sz w:val="26"/>
        </w:rPr>
        <w:t xml:space="preserve"> </w:t>
      </w:r>
      <w:r>
        <w:rPr>
          <w:sz w:val="26"/>
        </w:rPr>
        <w:tab/>
        <w:t xml:space="preserve"> </w:t>
      </w:r>
    </w:p>
    <w:p w:rsidR="00005F90" w:rsidRDefault="00005F90" w:rsidP="00005F90">
      <w:pPr>
        <w:pStyle w:val="Heading2"/>
        <w:ind w:left="352"/>
      </w:pPr>
      <w:r>
        <w:t xml:space="preserve">APPENDIX B:  Availability Percentages </w:t>
      </w:r>
    </w:p>
    <w:p w:rsidR="00005F90" w:rsidRDefault="00005F90" w:rsidP="00005F90">
      <w:pPr>
        <w:ind w:left="352"/>
      </w:pPr>
      <w:r>
        <w:t xml:space="preserve">Availability is expressed as a percentage of uptime in a given year. The following table shows the downtime that will be allowed for a particular percentage of availability, presuming that the system is required to operate continuously 7x24 basis. The table shows the translation from a given availability percentage to the corresponding amount of time a system would be unavailable per year or month. </w:t>
      </w:r>
    </w:p>
    <w:p w:rsidR="00005F90" w:rsidRDefault="00005F90" w:rsidP="00005F90">
      <w:pPr>
        <w:ind w:left="352"/>
      </w:pPr>
      <w:r>
        <w:t xml:space="preserve">NOTE :​ If an application will not require a 7x24 availability these examples do not apply​. In such cases, CUIT will negotiate with the application owner for allowable downtime. </w:t>
      </w:r>
    </w:p>
    <w:p w:rsidR="00005F90" w:rsidRDefault="00005F90" w:rsidP="00005F90">
      <w:pPr>
        <w:spacing w:after="17" w:line="259" w:lineRule="auto"/>
        <w:ind w:left="357" w:firstLine="0"/>
      </w:pPr>
      <w:r>
        <w:rPr>
          <w:sz w:val="24"/>
        </w:rPr>
        <w:t xml:space="preserve"> </w:t>
      </w:r>
    </w:p>
    <w:p w:rsidR="00005F90" w:rsidRDefault="00005F90" w:rsidP="00005F90">
      <w:pPr>
        <w:ind w:left="352"/>
      </w:pPr>
      <w:r>
        <w:t xml:space="preserve">Availability is calculated using the following formula: </w:t>
      </w:r>
    </w:p>
    <w:p w:rsidR="00005F90" w:rsidRDefault="00005F90" w:rsidP="00005F90">
      <w:pPr>
        <w:ind w:left="352" w:right="2188"/>
      </w:pPr>
      <w:r>
        <w:t xml:space="preserve">Availability% = (Promised uptime ­ actual uptime) / Promised uptime where promised uptime is exclusive of maintenance windows </w:t>
      </w:r>
    </w:p>
    <w:p w:rsidR="00005F90" w:rsidRDefault="00005F90" w:rsidP="00005F90">
      <w:pPr>
        <w:spacing w:after="0" w:line="259" w:lineRule="auto"/>
        <w:ind w:left="357" w:firstLine="0"/>
      </w:pPr>
      <w:r>
        <w:rPr>
          <w:sz w:val="24"/>
        </w:rPr>
        <w:t xml:space="preserve"> </w:t>
      </w:r>
    </w:p>
    <w:tbl>
      <w:tblPr>
        <w:tblStyle w:val="TableGrid"/>
        <w:tblW w:w="7436" w:type="dxa"/>
        <w:tblInd w:w="363" w:type="dxa"/>
        <w:tblCellMar>
          <w:left w:w="115" w:type="dxa"/>
          <w:right w:w="81" w:type="dxa"/>
        </w:tblCellMar>
        <w:tblLook w:val="04A0" w:firstRow="1" w:lastRow="0" w:firstColumn="1" w:lastColumn="0" w:noHBand="0" w:noVBand="1"/>
      </w:tblPr>
      <w:tblGrid>
        <w:gridCol w:w="1772"/>
        <w:gridCol w:w="2885"/>
        <w:gridCol w:w="2779"/>
      </w:tblGrid>
      <w:tr w:rsidR="00005F90" w:rsidTr="002C7D6A">
        <w:trPr>
          <w:trHeight w:val="818"/>
        </w:trPr>
        <w:tc>
          <w:tcPr>
            <w:tcW w:w="1772" w:type="dxa"/>
            <w:tcBorders>
              <w:top w:val="single" w:sz="6" w:space="0" w:color="999999"/>
              <w:left w:val="single" w:sz="6" w:space="0" w:color="999999"/>
              <w:bottom w:val="single" w:sz="6" w:space="0" w:color="999999"/>
              <w:right w:val="single" w:sz="6" w:space="0" w:color="999999"/>
            </w:tcBorders>
            <w:shd w:val="clear" w:color="auto" w:fill="D9D9D9"/>
            <w:vAlign w:val="center"/>
          </w:tcPr>
          <w:p w:rsidR="00005F90" w:rsidRDefault="00005F90" w:rsidP="002C7D6A">
            <w:pPr>
              <w:spacing w:after="0" w:line="259" w:lineRule="auto"/>
              <w:ind w:left="0" w:firstLine="0"/>
              <w:jc w:val="center"/>
            </w:pPr>
            <w:r>
              <w:t xml:space="preserve">Availability for 7x24 </w:t>
            </w:r>
          </w:p>
        </w:tc>
        <w:tc>
          <w:tcPr>
            <w:tcW w:w="2885" w:type="dxa"/>
            <w:tcBorders>
              <w:top w:val="single" w:sz="6" w:space="0" w:color="999999"/>
              <w:left w:val="single" w:sz="6" w:space="0" w:color="999999"/>
              <w:bottom w:val="single" w:sz="6" w:space="0" w:color="999999"/>
              <w:right w:val="single" w:sz="6" w:space="0" w:color="999999"/>
            </w:tcBorders>
            <w:shd w:val="clear" w:color="auto" w:fill="D9D9D9"/>
            <w:vAlign w:val="center"/>
          </w:tcPr>
          <w:p w:rsidR="00005F90" w:rsidRDefault="00005F90" w:rsidP="002C7D6A">
            <w:pPr>
              <w:spacing w:after="0" w:line="259" w:lineRule="auto"/>
              <w:ind w:left="0" w:firstLine="0"/>
              <w:jc w:val="center"/>
            </w:pPr>
            <w:r>
              <w:t xml:space="preserve">Downtime per year (Days H:M:S) </w:t>
            </w:r>
          </w:p>
        </w:tc>
        <w:tc>
          <w:tcPr>
            <w:tcW w:w="2779" w:type="dxa"/>
            <w:tcBorders>
              <w:top w:val="single" w:sz="6" w:space="0" w:color="999999"/>
              <w:left w:val="single" w:sz="6" w:space="0" w:color="999999"/>
              <w:bottom w:val="single" w:sz="6" w:space="0" w:color="999999"/>
              <w:right w:val="single" w:sz="6" w:space="0" w:color="999999"/>
            </w:tcBorders>
            <w:shd w:val="clear" w:color="auto" w:fill="D9D9D9"/>
            <w:vAlign w:val="center"/>
          </w:tcPr>
          <w:p w:rsidR="00005F90" w:rsidRDefault="00005F90" w:rsidP="002C7D6A">
            <w:pPr>
              <w:spacing w:after="0" w:line="259" w:lineRule="auto"/>
              <w:ind w:left="0" w:firstLine="0"/>
              <w:jc w:val="center"/>
            </w:pPr>
            <w:r>
              <w:t xml:space="preserve">Downtime per month (Days H:M:S) </w:t>
            </w:r>
          </w:p>
        </w:tc>
      </w:tr>
      <w:tr w:rsidR="00005F90" w:rsidTr="002C7D6A">
        <w:trPr>
          <w:trHeight w:val="433"/>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95%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9" w:firstLine="0"/>
              <w:jc w:val="center"/>
            </w:pPr>
            <w:r>
              <w:rPr>
                <w:sz w:val="18"/>
              </w:rPr>
              <w:t xml:space="preserve">18 days 6:00:00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1 days 12:00:00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96%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4" w:firstLine="0"/>
              <w:jc w:val="center"/>
            </w:pPr>
            <w:r>
              <w:rPr>
                <w:sz w:val="18"/>
              </w:rPr>
              <w:t xml:space="preserve">14 days 14:24:00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7" w:firstLine="0"/>
              <w:jc w:val="center"/>
            </w:pPr>
            <w:r>
              <w:rPr>
                <w:sz w:val="18"/>
              </w:rPr>
              <w:t xml:space="preserve">1 days 4:48:00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97%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4" w:firstLine="0"/>
              <w:jc w:val="center"/>
            </w:pPr>
            <w:r>
              <w:rPr>
                <w:sz w:val="18"/>
              </w:rPr>
              <w:t xml:space="preserve">10 days 22:48:00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21:36:00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98%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4" w:firstLine="0"/>
              <w:jc w:val="center"/>
            </w:pPr>
            <w:r>
              <w:rPr>
                <w:sz w:val="18"/>
              </w:rPr>
              <w:t xml:space="preserve">7 days 7:12:00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14:24:00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99%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9" w:firstLine="0"/>
              <w:jc w:val="center"/>
            </w:pPr>
            <w:r>
              <w:rPr>
                <w:sz w:val="18"/>
              </w:rPr>
              <w:t xml:space="preserve">3 days 15:36:00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7" w:firstLine="0"/>
              <w:jc w:val="center"/>
            </w:pPr>
            <w:r>
              <w:rPr>
                <w:sz w:val="18"/>
              </w:rPr>
              <w:t xml:space="preserve">0 days 7:12:00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8" w:firstLine="0"/>
              <w:jc w:val="center"/>
            </w:pPr>
            <w:r>
              <w:rPr>
                <w:sz w:val="18"/>
              </w:rPr>
              <w:t xml:space="preserve">99.10%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9" w:firstLine="0"/>
              <w:jc w:val="center"/>
            </w:pPr>
            <w:r>
              <w:rPr>
                <w:sz w:val="18"/>
              </w:rPr>
              <w:t xml:space="preserve">3 days 6:50:24.00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6:28:48.00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8" w:firstLine="0"/>
              <w:jc w:val="center"/>
            </w:pPr>
            <w:r>
              <w:rPr>
                <w:sz w:val="18"/>
              </w:rPr>
              <w:t xml:space="preserve">99.20%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4" w:firstLine="0"/>
              <w:jc w:val="center"/>
            </w:pPr>
            <w:r>
              <w:rPr>
                <w:sz w:val="18"/>
              </w:rPr>
              <w:t xml:space="preserve">2 days 22:04:47.99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5:45:35.99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8" w:firstLine="0"/>
              <w:jc w:val="center"/>
            </w:pPr>
            <w:r>
              <w:rPr>
                <w:sz w:val="18"/>
              </w:rPr>
              <w:t xml:space="preserve">99.30%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4" w:firstLine="0"/>
              <w:jc w:val="center"/>
            </w:pPr>
            <w:r>
              <w:rPr>
                <w:sz w:val="18"/>
              </w:rPr>
              <w:t xml:space="preserve">2 days 13:19:12.00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5:02:24.00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8" w:firstLine="0"/>
              <w:jc w:val="center"/>
            </w:pPr>
            <w:r>
              <w:rPr>
                <w:sz w:val="18"/>
              </w:rPr>
              <w:t xml:space="preserve">99.40%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9" w:firstLine="0"/>
              <w:jc w:val="center"/>
            </w:pPr>
            <w:r>
              <w:rPr>
                <w:sz w:val="18"/>
              </w:rPr>
              <w:t xml:space="preserve">2 days 4:33:35.99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4:19:11.99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8" w:firstLine="0"/>
              <w:jc w:val="center"/>
            </w:pPr>
            <w:r>
              <w:rPr>
                <w:sz w:val="18"/>
              </w:rPr>
              <w:t xml:space="preserve">99.50%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9" w:firstLine="0"/>
              <w:jc w:val="center"/>
            </w:pPr>
            <w:r>
              <w:rPr>
                <w:sz w:val="18"/>
              </w:rPr>
              <w:t xml:space="preserve">1 days 19:48:00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7" w:firstLine="0"/>
              <w:jc w:val="center"/>
            </w:pPr>
            <w:r>
              <w:rPr>
                <w:sz w:val="18"/>
              </w:rPr>
              <w:t xml:space="preserve">0 days 3:36:00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8" w:firstLine="0"/>
              <w:jc w:val="center"/>
            </w:pPr>
            <w:r>
              <w:rPr>
                <w:sz w:val="18"/>
              </w:rPr>
              <w:t xml:space="preserve">99.60%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4" w:firstLine="0"/>
              <w:jc w:val="center"/>
            </w:pPr>
            <w:r>
              <w:rPr>
                <w:sz w:val="18"/>
              </w:rPr>
              <w:t xml:space="preserve">1 days 11:02:24.00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2:52:48.00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8" w:firstLine="0"/>
              <w:jc w:val="center"/>
            </w:pPr>
            <w:r>
              <w:rPr>
                <w:sz w:val="18"/>
              </w:rPr>
              <w:t xml:space="preserve">99.70%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9" w:firstLine="0"/>
              <w:jc w:val="center"/>
            </w:pPr>
            <w:r>
              <w:rPr>
                <w:sz w:val="18"/>
              </w:rPr>
              <w:t xml:space="preserve">1 days 2:16:47.99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2:09:35.99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8" w:firstLine="0"/>
              <w:jc w:val="center"/>
            </w:pPr>
            <w:r>
              <w:rPr>
                <w:sz w:val="18"/>
              </w:rPr>
              <w:t xml:space="preserve">99.80%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4" w:firstLine="0"/>
              <w:jc w:val="center"/>
            </w:pPr>
            <w:r>
              <w:rPr>
                <w:sz w:val="18"/>
              </w:rPr>
              <w:t xml:space="preserve">0 days 17:31:12.00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1:26:24.00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8" w:firstLine="0"/>
              <w:jc w:val="center"/>
            </w:pPr>
            <w:r>
              <w:rPr>
                <w:sz w:val="18"/>
              </w:rPr>
              <w:t xml:space="preserve">99.90%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9" w:firstLine="0"/>
              <w:jc w:val="center"/>
            </w:pPr>
            <w:r>
              <w:rPr>
                <w:sz w:val="18"/>
              </w:rPr>
              <w:t xml:space="preserve">0 days 8:45:35.99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0:43:11.99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8" w:firstLine="0"/>
              <w:jc w:val="center"/>
            </w:pPr>
            <w:r>
              <w:rPr>
                <w:sz w:val="18"/>
              </w:rPr>
              <w:t xml:space="preserve">99.95%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9" w:firstLine="0"/>
              <w:jc w:val="center"/>
            </w:pPr>
            <w:r>
              <w:rPr>
                <w:sz w:val="18"/>
              </w:rPr>
              <w:t xml:space="preserve">0 days 4:22:47.99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0:21:35.99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8" w:firstLine="0"/>
              <w:jc w:val="center"/>
            </w:pPr>
            <w:r>
              <w:rPr>
                <w:sz w:val="18"/>
              </w:rPr>
              <w:t xml:space="preserve">99.99%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9" w:firstLine="0"/>
              <w:jc w:val="center"/>
            </w:pPr>
            <w:r>
              <w:rPr>
                <w:sz w:val="18"/>
              </w:rPr>
              <w:t xml:space="preserve">0 days 0:52:33.60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0:04:19.20 </w:t>
            </w:r>
          </w:p>
        </w:tc>
      </w:tr>
      <w:tr w:rsidR="00005F90" w:rsidTr="002C7D6A">
        <w:trPr>
          <w:trHeight w:val="431"/>
        </w:trPr>
        <w:tc>
          <w:tcPr>
            <w:tcW w:w="1772"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100.00% </w:t>
            </w:r>
          </w:p>
        </w:tc>
        <w:tc>
          <w:tcPr>
            <w:tcW w:w="2885"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39" w:firstLine="0"/>
              <w:jc w:val="center"/>
            </w:pPr>
            <w:r>
              <w:rPr>
                <w:sz w:val="18"/>
              </w:rPr>
              <w:t xml:space="preserve">0 days 0:05:15.36 </w:t>
            </w:r>
          </w:p>
        </w:tc>
        <w:tc>
          <w:tcPr>
            <w:tcW w:w="2779" w:type="dxa"/>
            <w:tcBorders>
              <w:top w:val="single" w:sz="6" w:space="0" w:color="999999"/>
              <w:left w:val="single" w:sz="6" w:space="0" w:color="999999"/>
              <w:bottom w:val="single" w:sz="6" w:space="0" w:color="999999"/>
              <w:right w:val="single" w:sz="6" w:space="0" w:color="999999"/>
            </w:tcBorders>
            <w:vAlign w:val="center"/>
          </w:tcPr>
          <w:p w:rsidR="00005F90" w:rsidRDefault="00005F90" w:rsidP="002C7D6A">
            <w:pPr>
              <w:spacing w:after="0" w:line="259" w:lineRule="auto"/>
              <w:ind w:left="0" w:right="52" w:firstLine="0"/>
              <w:jc w:val="center"/>
            </w:pPr>
            <w:r>
              <w:rPr>
                <w:sz w:val="18"/>
              </w:rPr>
              <w:t xml:space="preserve">0 days 0:00:25.92  </w:t>
            </w:r>
          </w:p>
        </w:tc>
      </w:tr>
    </w:tbl>
    <w:p w:rsidR="00005F90" w:rsidRDefault="00005F90" w:rsidP="00005F90">
      <w:pPr>
        <w:spacing w:after="250" w:line="259" w:lineRule="auto"/>
        <w:ind w:left="357" w:firstLine="0"/>
      </w:pPr>
      <w:r>
        <w:rPr>
          <w:sz w:val="24"/>
        </w:rPr>
        <w:t xml:space="preserve">  </w:t>
      </w:r>
    </w:p>
    <w:p w:rsidR="00005F90" w:rsidRDefault="00005F90" w:rsidP="00005F90">
      <w:pPr>
        <w:spacing w:after="144" w:line="259" w:lineRule="auto"/>
        <w:ind w:left="352"/>
      </w:pPr>
      <w:r>
        <w:rPr>
          <w:sz w:val="26"/>
        </w:rPr>
        <w:t>APPENDIX C: ​</w:t>
      </w:r>
      <w:r>
        <w:rPr>
          <w:sz w:val="24"/>
        </w:rPr>
        <w:t xml:space="preserve">Request fulfillment times </w:t>
      </w:r>
    </w:p>
    <w:p w:rsidR="00005F90" w:rsidRDefault="00005F90" w:rsidP="00005F90">
      <w:pPr>
        <w:spacing w:after="0" w:line="259" w:lineRule="auto"/>
        <w:ind w:left="357" w:firstLine="0"/>
      </w:pPr>
      <w:r>
        <w:rPr>
          <w:sz w:val="24"/>
        </w:rPr>
        <w:t xml:space="preserve"> </w:t>
      </w:r>
    </w:p>
    <w:tbl>
      <w:tblPr>
        <w:tblStyle w:val="TableGrid"/>
        <w:tblW w:w="9280" w:type="dxa"/>
        <w:tblInd w:w="363" w:type="dxa"/>
        <w:tblCellMar>
          <w:left w:w="112" w:type="dxa"/>
          <w:right w:w="115" w:type="dxa"/>
        </w:tblCellMar>
        <w:tblLook w:val="04A0" w:firstRow="1" w:lastRow="0" w:firstColumn="1" w:lastColumn="0" w:noHBand="0" w:noVBand="1"/>
      </w:tblPr>
      <w:tblGrid>
        <w:gridCol w:w="4642"/>
        <w:gridCol w:w="4638"/>
      </w:tblGrid>
      <w:tr w:rsidR="00005F90" w:rsidTr="002C7D6A">
        <w:trPr>
          <w:trHeight w:val="521"/>
        </w:trPr>
        <w:tc>
          <w:tcPr>
            <w:tcW w:w="4642"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005F90" w:rsidRDefault="00005F90" w:rsidP="002C7D6A">
            <w:pPr>
              <w:spacing w:after="0" w:line="259" w:lineRule="auto"/>
              <w:ind w:left="4" w:firstLine="0"/>
              <w:jc w:val="center"/>
            </w:pPr>
            <w:r>
              <w:t xml:space="preserve">Infrastructure component </w:t>
            </w:r>
          </w:p>
        </w:tc>
        <w:tc>
          <w:tcPr>
            <w:tcW w:w="4638"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005F90" w:rsidRDefault="00005F90" w:rsidP="002C7D6A">
            <w:pPr>
              <w:spacing w:after="0" w:line="259" w:lineRule="auto"/>
              <w:ind w:left="0" w:right="7" w:firstLine="0"/>
              <w:jc w:val="center"/>
            </w:pPr>
            <w:r>
              <w:t xml:space="preserve">Fulfillment time </w:t>
            </w:r>
          </w:p>
        </w:tc>
      </w:tr>
      <w:tr w:rsidR="00005F90" w:rsidTr="002C7D6A">
        <w:trPr>
          <w:trHeight w:val="463"/>
        </w:trPr>
        <w:tc>
          <w:tcPr>
            <w:tcW w:w="4642"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rPr>
                <w:sz w:val="20"/>
              </w:rPr>
              <w:t xml:space="preserve">Compute Power (vCPU) </w:t>
            </w:r>
          </w:p>
        </w:tc>
        <w:tc>
          <w:tcPr>
            <w:tcW w:w="463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rPr>
                <w:sz w:val="20"/>
              </w:rPr>
              <w:t xml:space="preserve">1 business day </w:t>
            </w:r>
          </w:p>
        </w:tc>
      </w:tr>
      <w:tr w:rsidR="00005F90" w:rsidTr="002C7D6A">
        <w:trPr>
          <w:trHeight w:val="461"/>
        </w:trPr>
        <w:tc>
          <w:tcPr>
            <w:tcW w:w="4642"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rPr>
                <w:sz w:val="20"/>
              </w:rPr>
              <w:t xml:space="preserve">Memory (GB) </w:t>
            </w:r>
          </w:p>
        </w:tc>
        <w:tc>
          <w:tcPr>
            <w:tcW w:w="463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rPr>
                <w:sz w:val="20"/>
              </w:rPr>
              <w:t xml:space="preserve">1 business day </w:t>
            </w:r>
          </w:p>
        </w:tc>
      </w:tr>
      <w:tr w:rsidR="00005F90" w:rsidTr="002C7D6A">
        <w:trPr>
          <w:trHeight w:val="461"/>
        </w:trPr>
        <w:tc>
          <w:tcPr>
            <w:tcW w:w="4642"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rPr>
                <w:sz w:val="20"/>
              </w:rPr>
              <w:t xml:space="preserve">Storage allocation (TB) </w:t>
            </w:r>
          </w:p>
        </w:tc>
        <w:tc>
          <w:tcPr>
            <w:tcW w:w="463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rPr>
                <w:sz w:val="20"/>
              </w:rPr>
              <w:t xml:space="preserve">1 business day </w:t>
            </w:r>
          </w:p>
        </w:tc>
      </w:tr>
      <w:tr w:rsidR="00005F90" w:rsidTr="002C7D6A">
        <w:trPr>
          <w:trHeight w:val="461"/>
        </w:trPr>
        <w:tc>
          <w:tcPr>
            <w:tcW w:w="4642"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rPr>
                <w:sz w:val="20"/>
              </w:rPr>
              <w:t xml:space="preserve">Storage tier relocation </w:t>
            </w:r>
          </w:p>
        </w:tc>
        <w:tc>
          <w:tcPr>
            <w:tcW w:w="4638"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rPr>
                <w:sz w:val="20"/>
              </w:rPr>
              <w:t xml:space="preserve">1 business day </w:t>
            </w:r>
          </w:p>
        </w:tc>
      </w:tr>
    </w:tbl>
    <w:p w:rsidR="00005F90" w:rsidRDefault="00005F90" w:rsidP="00005F90">
      <w:pPr>
        <w:spacing w:after="32" w:line="259" w:lineRule="auto"/>
        <w:ind w:left="357" w:firstLine="0"/>
      </w:pPr>
      <w:r>
        <w:rPr>
          <w:sz w:val="24"/>
        </w:rPr>
        <w:t xml:space="preserve"> </w:t>
      </w:r>
    </w:p>
    <w:p w:rsidR="00005F90" w:rsidRDefault="00005F90" w:rsidP="00005F90">
      <w:pPr>
        <w:spacing w:after="240" w:line="259" w:lineRule="auto"/>
        <w:ind w:left="357" w:firstLine="0"/>
      </w:pPr>
      <w:r>
        <w:rPr>
          <w:sz w:val="24"/>
        </w:rPr>
        <w:t xml:space="preserve"> </w:t>
      </w:r>
    </w:p>
    <w:p w:rsidR="00005F90" w:rsidRDefault="00005F90" w:rsidP="00005F90">
      <w:pPr>
        <w:pStyle w:val="Heading2"/>
        <w:ind w:left="352"/>
      </w:pPr>
      <w:r>
        <w:t xml:space="preserve">APPENDIX D: Priority Definitions </w:t>
      </w:r>
    </w:p>
    <w:p w:rsidR="00005F90" w:rsidRDefault="00005F90" w:rsidP="00005F90">
      <w:pPr>
        <w:ind w:left="352"/>
      </w:pPr>
      <w:r>
        <w:t xml:space="preserve">The following priority definitions and associated resolution times have been agreed with regards to all faults reported to the CUIT Service Desk: </w:t>
      </w:r>
    </w:p>
    <w:p w:rsidR="00005F90" w:rsidRDefault="00005F90" w:rsidP="00005F90">
      <w:pPr>
        <w:spacing w:after="0" w:line="259" w:lineRule="auto"/>
        <w:ind w:left="357" w:firstLine="0"/>
      </w:pPr>
      <w:r>
        <w:t xml:space="preserve"> </w:t>
      </w:r>
    </w:p>
    <w:tbl>
      <w:tblPr>
        <w:tblStyle w:val="TableGrid"/>
        <w:tblW w:w="9265" w:type="dxa"/>
        <w:tblInd w:w="363" w:type="dxa"/>
        <w:tblCellMar>
          <w:left w:w="112" w:type="dxa"/>
          <w:right w:w="101" w:type="dxa"/>
        </w:tblCellMar>
        <w:tblLook w:val="04A0" w:firstRow="1" w:lastRow="0" w:firstColumn="1" w:lastColumn="0" w:noHBand="0" w:noVBand="1"/>
      </w:tblPr>
      <w:tblGrid>
        <w:gridCol w:w="1860"/>
        <w:gridCol w:w="1859"/>
        <w:gridCol w:w="1859"/>
        <w:gridCol w:w="1562"/>
        <w:gridCol w:w="2125"/>
      </w:tblGrid>
      <w:tr w:rsidR="00005F90" w:rsidTr="002C7D6A">
        <w:trPr>
          <w:trHeight w:val="491"/>
        </w:trPr>
        <w:tc>
          <w:tcPr>
            <w:tcW w:w="186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005F90" w:rsidRDefault="00005F90" w:rsidP="002C7D6A">
            <w:pPr>
              <w:spacing w:after="0" w:line="259" w:lineRule="auto"/>
              <w:ind w:left="2" w:firstLine="0"/>
            </w:pPr>
            <w:r>
              <w:rPr>
                <w:sz w:val="20"/>
              </w:rPr>
              <w:t xml:space="preserve">Priority </w:t>
            </w:r>
          </w:p>
        </w:tc>
        <w:tc>
          <w:tcPr>
            <w:tcW w:w="1859"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005F90" w:rsidRDefault="00005F90" w:rsidP="002C7D6A">
            <w:pPr>
              <w:spacing w:after="0" w:line="259" w:lineRule="auto"/>
              <w:ind w:left="0" w:firstLine="0"/>
            </w:pPr>
            <w:r>
              <w:rPr>
                <w:sz w:val="20"/>
              </w:rPr>
              <w:t xml:space="preserve">Response </w:t>
            </w:r>
          </w:p>
        </w:tc>
        <w:tc>
          <w:tcPr>
            <w:tcW w:w="1859"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005F90" w:rsidRDefault="00005F90" w:rsidP="002C7D6A">
            <w:pPr>
              <w:spacing w:after="0" w:line="259" w:lineRule="auto"/>
              <w:ind w:left="0" w:firstLine="0"/>
            </w:pPr>
            <w:r>
              <w:rPr>
                <w:sz w:val="20"/>
              </w:rPr>
              <w:t xml:space="preserve">Response Targets </w:t>
            </w:r>
          </w:p>
        </w:tc>
        <w:tc>
          <w:tcPr>
            <w:tcW w:w="1562"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005F90" w:rsidRDefault="00005F90" w:rsidP="002C7D6A">
            <w:pPr>
              <w:spacing w:after="0" w:line="259" w:lineRule="auto"/>
              <w:ind w:left="0" w:firstLine="0"/>
            </w:pPr>
            <w:r>
              <w:rPr>
                <w:sz w:val="20"/>
              </w:rPr>
              <w:t xml:space="preserve">Resolution </w:t>
            </w:r>
          </w:p>
        </w:tc>
        <w:tc>
          <w:tcPr>
            <w:tcW w:w="212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005F90" w:rsidRDefault="00005F90" w:rsidP="002C7D6A">
            <w:pPr>
              <w:spacing w:after="0" w:line="259" w:lineRule="auto"/>
              <w:ind w:left="0" w:firstLine="0"/>
            </w:pPr>
            <w:r>
              <w:rPr>
                <w:sz w:val="20"/>
              </w:rPr>
              <w:t xml:space="preserve">Resolution Targets </w:t>
            </w:r>
          </w:p>
        </w:tc>
      </w:tr>
      <w:tr w:rsidR="00005F90" w:rsidTr="002C7D6A">
        <w:trPr>
          <w:trHeight w:val="522"/>
        </w:trPr>
        <w:tc>
          <w:tcPr>
            <w:tcW w:w="1861"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Critical </w:t>
            </w:r>
          </w:p>
        </w:tc>
        <w:tc>
          <w:tcPr>
            <w:tcW w:w="1859"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30 minutes </w:t>
            </w:r>
          </w:p>
        </w:tc>
        <w:tc>
          <w:tcPr>
            <w:tcW w:w="1859"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95% </w:t>
            </w:r>
          </w:p>
        </w:tc>
        <w:tc>
          <w:tcPr>
            <w:tcW w:w="1562"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2 hours </w:t>
            </w:r>
          </w:p>
        </w:tc>
        <w:tc>
          <w:tcPr>
            <w:tcW w:w="212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80% </w:t>
            </w:r>
          </w:p>
        </w:tc>
      </w:tr>
      <w:tr w:rsidR="00005F90" w:rsidTr="002C7D6A">
        <w:trPr>
          <w:trHeight w:val="521"/>
        </w:trPr>
        <w:tc>
          <w:tcPr>
            <w:tcW w:w="1861"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High* </w:t>
            </w:r>
          </w:p>
        </w:tc>
        <w:tc>
          <w:tcPr>
            <w:tcW w:w="1859"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2 hours </w:t>
            </w:r>
          </w:p>
        </w:tc>
        <w:tc>
          <w:tcPr>
            <w:tcW w:w="1859"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90% </w:t>
            </w:r>
          </w:p>
        </w:tc>
        <w:tc>
          <w:tcPr>
            <w:tcW w:w="1562"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12 hours </w:t>
            </w:r>
          </w:p>
        </w:tc>
        <w:tc>
          <w:tcPr>
            <w:tcW w:w="212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80% </w:t>
            </w:r>
          </w:p>
        </w:tc>
      </w:tr>
      <w:tr w:rsidR="00005F90" w:rsidTr="002C7D6A">
        <w:trPr>
          <w:trHeight w:val="521"/>
        </w:trPr>
        <w:tc>
          <w:tcPr>
            <w:tcW w:w="1861"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Medium* </w:t>
            </w:r>
          </w:p>
        </w:tc>
        <w:tc>
          <w:tcPr>
            <w:tcW w:w="1859"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12 hours </w:t>
            </w:r>
          </w:p>
        </w:tc>
        <w:tc>
          <w:tcPr>
            <w:tcW w:w="1859"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80% </w:t>
            </w:r>
          </w:p>
        </w:tc>
        <w:tc>
          <w:tcPr>
            <w:tcW w:w="1562"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24 hours </w:t>
            </w:r>
          </w:p>
        </w:tc>
        <w:tc>
          <w:tcPr>
            <w:tcW w:w="212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75% </w:t>
            </w:r>
          </w:p>
        </w:tc>
      </w:tr>
      <w:tr w:rsidR="00005F90" w:rsidTr="002C7D6A">
        <w:trPr>
          <w:trHeight w:val="521"/>
        </w:trPr>
        <w:tc>
          <w:tcPr>
            <w:tcW w:w="1861"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2" w:firstLine="0"/>
            </w:pPr>
            <w:r>
              <w:t xml:space="preserve">Low* </w:t>
            </w:r>
          </w:p>
        </w:tc>
        <w:tc>
          <w:tcPr>
            <w:tcW w:w="1859"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24 hours </w:t>
            </w:r>
          </w:p>
        </w:tc>
        <w:tc>
          <w:tcPr>
            <w:tcW w:w="1859"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75% </w:t>
            </w:r>
          </w:p>
        </w:tc>
        <w:tc>
          <w:tcPr>
            <w:tcW w:w="1562"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56 hours </w:t>
            </w:r>
          </w:p>
        </w:tc>
        <w:tc>
          <w:tcPr>
            <w:tcW w:w="2125" w:type="dxa"/>
            <w:tcBorders>
              <w:top w:val="single" w:sz="6" w:space="0" w:color="000000"/>
              <w:left w:val="single" w:sz="6" w:space="0" w:color="000000"/>
              <w:bottom w:val="single" w:sz="6" w:space="0" w:color="000000"/>
              <w:right w:val="single" w:sz="6" w:space="0" w:color="000000"/>
            </w:tcBorders>
            <w:vAlign w:val="center"/>
          </w:tcPr>
          <w:p w:rsidR="00005F90" w:rsidRDefault="00005F90" w:rsidP="002C7D6A">
            <w:pPr>
              <w:spacing w:after="0" w:line="259" w:lineRule="auto"/>
              <w:ind w:left="0" w:firstLine="0"/>
            </w:pPr>
            <w:r>
              <w:t xml:space="preserve">70% </w:t>
            </w:r>
          </w:p>
        </w:tc>
      </w:tr>
    </w:tbl>
    <w:p w:rsidR="00005F90" w:rsidRDefault="00005F90" w:rsidP="00005F90">
      <w:pPr>
        <w:spacing w:after="21" w:line="259" w:lineRule="auto"/>
        <w:ind w:left="352"/>
      </w:pPr>
      <w:r>
        <w:rPr>
          <w:sz w:val="20"/>
        </w:rPr>
        <w:t xml:space="preserve">* Represents Business Hours Only (e.g., an 8 hour resolution for a High Priority Incident that is reported at </w:t>
      </w:r>
    </w:p>
    <w:p w:rsidR="00005F90" w:rsidRDefault="00005F90" w:rsidP="00005F90">
      <w:pPr>
        <w:spacing w:after="155" w:line="259" w:lineRule="auto"/>
        <w:ind w:left="352"/>
      </w:pPr>
      <w:r>
        <w:rPr>
          <w:sz w:val="20"/>
        </w:rPr>
        <w:t xml:space="preserve">12:30pm ET on a Tuesday will continue until 12:30pm on Wednesday). </w:t>
      </w:r>
    </w:p>
    <w:p w:rsidR="00005F90" w:rsidRDefault="00005F90" w:rsidP="00005F90">
      <w:pPr>
        <w:spacing w:after="27" w:line="259" w:lineRule="auto"/>
        <w:ind w:left="357" w:firstLine="0"/>
      </w:pPr>
      <w:r>
        <w:t xml:space="preserve">  </w:t>
      </w:r>
    </w:p>
    <w:p w:rsidR="00005F90" w:rsidRDefault="00005F90" w:rsidP="00005F90">
      <w:pPr>
        <w:ind w:left="352"/>
      </w:pPr>
      <w:r>
        <w:rPr>
          <w:u w:val="single" w:color="000000"/>
        </w:rPr>
        <w:t>Response Time</w:t>
      </w:r>
      <w:r>
        <w:t xml:space="preserve">:​ The initial period in which an CUIT SME will be assigned to the incident </w:t>
      </w:r>
    </w:p>
    <w:p w:rsidR="00005F90" w:rsidRDefault="00005F90" w:rsidP="00005F90">
      <w:pPr>
        <w:ind w:left="352"/>
      </w:pPr>
      <w:r>
        <w:rPr>
          <w:u w:val="single" w:color="000000"/>
        </w:rPr>
        <w:t>Update Time</w:t>
      </w:r>
      <w:r>
        <w:t xml:space="preserve">:​ The period by which CUIT will provide progress update to the Client </w:t>
      </w:r>
    </w:p>
    <w:p w:rsidR="00005F90" w:rsidRDefault="00005F90" w:rsidP="00005F90">
      <w:pPr>
        <w:ind w:left="352"/>
      </w:pPr>
      <w:r>
        <w:rPr>
          <w:u w:val="single" w:color="000000"/>
        </w:rPr>
        <w:t>Resolution Time</w:t>
      </w:r>
      <w:r>
        <w:t xml:space="preserve">:​ The period by which CUIT will resolve the issue. </w:t>
      </w:r>
    </w:p>
    <w:p w:rsidR="00005F90" w:rsidRDefault="00005F90" w:rsidP="00005F90">
      <w:pPr>
        <w:ind w:left="352"/>
      </w:pPr>
      <w:r>
        <w:t xml:space="preserve">CUIT will base a call’s priority on the following factors: Criticality of the issue and the impact; number of users impacted; University/Business critical dates/times </w:t>
      </w:r>
    </w:p>
    <w:p w:rsidR="00005F90" w:rsidRDefault="00005F90" w:rsidP="00005F90">
      <w:pPr>
        <w:spacing w:after="0" w:line="259" w:lineRule="auto"/>
        <w:ind w:left="357" w:firstLine="0"/>
      </w:pPr>
      <w:r>
        <w:t xml:space="preserve"> </w:t>
      </w:r>
    </w:p>
    <w:p w:rsidR="00005F90" w:rsidRDefault="00005F90" w:rsidP="00005F90">
      <w:pPr>
        <w:spacing w:after="198" w:line="259" w:lineRule="auto"/>
        <w:ind w:left="357" w:firstLine="0"/>
      </w:pPr>
      <w:r>
        <w:rPr>
          <w:sz w:val="26"/>
        </w:rPr>
        <w:t xml:space="preserve"> </w:t>
      </w:r>
    </w:p>
    <w:p w:rsidR="00005F90" w:rsidRDefault="00005F90" w:rsidP="00005F90">
      <w:pPr>
        <w:spacing w:after="144" w:line="259" w:lineRule="auto"/>
        <w:ind w:left="352"/>
      </w:pPr>
      <w:r>
        <w:rPr>
          <w:sz w:val="26"/>
        </w:rPr>
        <w:t>APPENDIX E: ​</w:t>
      </w:r>
      <w:r>
        <w:rPr>
          <w:sz w:val="24"/>
        </w:rPr>
        <w:t xml:space="preserve">CUIT Technical Standards and Policies </w:t>
      </w:r>
    </w:p>
    <w:p w:rsidR="00005F90" w:rsidRDefault="00005F90" w:rsidP="00005F90">
      <w:pPr>
        <w:spacing w:after="27" w:line="259" w:lineRule="auto"/>
        <w:ind w:left="357" w:firstLine="0"/>
      </w:pPr>
      <w:r>
        <w:t xml:space="preserve"> </w:t>
      </w:r>
    </w:p>
    <w:p w:rsidR="00005F90" w:rsidRDefault="00005F90" w:rsidP="00005F90">
      <w:pPr>
        <w:ind w:left="352"/>
      </w:pPr>
      <w:r>
        <w:t xml:space="preserve">Enterprise Architecture Standards </w:t>
      </w:r>
    </w:p>
    <w:p w:rsidR="00005F90" w:rsidRDefault="00005F90" w:rsidP="00005F90">
      <w:pPr>
        <w:spacing w:after="0" w:line="285" w:lineRule="auto"/>
        <w:ind w:left="352"/>
      </w:pPr>
      <w:r>
        <w:rPr>
          <w:color w:val="1155CC"/>
          <w:u w:val="single" w:color="1155CC"/>
        </w:rPr>
        <w:t>https://docs.google.com/a/columbia.edu/spreadsheet/ccc?key=0AmKXCgrIY2yvdFg3REVzQ0xy M2IwbjlMZVJ4YnNiZEE#gid=15</w:t>
      </w:r>
      <w:r>
        <w:t xml:space="preserve"> </w:t>
      </w:r>
    </w:p>
    <w:p w:rsidR="00005F90" w:rsidRDefault="00005F90" w:rsidP="00005F90">
      <w:pPr>
        <w:spacing w:after="27" w:line="259" w:lineRule="auto"/>
        <w:ind w:left="357" w:firstLine="0"/>
      </w:pPr>
      <w:r>
        <w:t xml:space="preserve"> </w:t>
      </w:r>
    </w:p>
    <w:p w:rsidR="00005F90" w:rsidRDefault="00005F90" w:rsidP="00005F90">
      <w:pPr>
        <w:spacing w:after="0" w:line="285" w:lineRule="auto"/>
        <w:ind w:left="352" w:right="252"/>
      </w:pPr>
      <w:r>
        <w:t xml:space="preserve">Data Security and Classification Policy </w:t>
      </w:r>
      <w:r>
        <w:rPr>
          <w:color w:val="1155CC"/>
          <w:u w:val="single" w:color="1155CC"/>
        </w:rPr>
        <w:t>http://policylibrary.columbia.edu/data­classification­policy</w:t>
      </w:r>
      <w:r>
        <w:t xml:space="preserve"> </w:t>
      </w:r>
    </w:p>
    <w:p w:rsidR="00005F90" w:rsidRDefault="00005F90" w:rsidP="00005F90">
      <w:pPr>
        <w:spacing w:after="27" w:line="259" w:lineRule="auto"/>
        <w:ind w:left="357" w:firstLine="0"/>
      </w:pPr>
      <w:r>
        <w:t xml:space="preserve"> </w:t>
      </w:r>
    </w:p>
    <w:p w:rsidR="00005F90" w:rsidRDefault="00005F90" w:rsidP="00005F90">
      <w:pPr>
        <w:spacing w:after="0" w:line="285" w:lineRule="auto"/>
        <w:ind w:left="352"/>
      </w:pPr>
      <w:r>
        <w:t xml:space="preserve">Acceptable Use Policy </w:t>
      </w:r>
      <w:r>
        <w:rPr>
          <w:color w:val="1155CC"/>
          <w:u w:val="single" w:color="1155CC"/>
        </w:rPr>
        <w:t>http://policylibrary.columbia.edu/acceptable­usage­information­resources­policy</w:t>
      </w:r>
      <w:r>
        <w:t xml:space="preserve"> </w:t>
      </w:r>
    </w:p>
    <w:p w:rsidR="00005F90" w:rsidRDefault="00005F90" w:rsidP="00005F90">
      <w:pPr>
        <w:spacing w:after="27" w:line="259" w:lineRule="auto"/>
        <w:ind w:left="357" w:firstLine="0"/>
      </w:pPr>
      <w:r>
        <w:t xml:space="preserve"> </w:t>
      </w:r>
    </w:p>
    <w:p w:rsidR="00005F90" w:rsidRDefault="00005F90" w:rsidP="00005F90">
      <w:pPr>
        <w:spacing w:after="0" w:line="285" w:lineRule="auto"/>
        <w:ind w:left="352"/>
      </w:pPr>
      <w:r>
        <w:t xml:space="preserve">Change Management Policy </w:t>
      </w:r>
      <w:r>
        <w:rPr>
          <w:color w:val="1155CC"/>
          <w:u w:val="single" w:color="1155CC"/>
        </w:rPr>
        <w:t>https://wiki.cc.columbia.edu/_media/itsm:cuit_change_management_v3_02feb2015.pdf?media=its m:cuit_change_management_v3_02feb2015.pdf</w:t>
      </w:r>
      <w:r>
        <w:t xml:space="preserve"> </w:t>
      </w:r>
    </w:p>
    <w:p w:rsidR="00005F90" w:rsidRDefault="00005F90" w:rsidP="00005F90">
      <w:pPr>
        <w:spacing w:after="250" w:line="259" w:lineRule="auto"/>
        <w:ind w:left="357" w:firstLine="0"/>
      </w:pPr>
      <w:r>
        <w:t xml:space="preserve"> </w:t>
      </w:r>
    </w:p>
    <w:p w:rsidR="00005F90" w:rsidRDefault="00005F90" w:rsidP="00005F90">
      <w:pPr>
        <w:spacing w:after="141" w:line="259" w:lineRule="auto"/>
        <w:ind w:left="357" w:firstLine="0"/>
      </w:pPr>
      <w:r>
        <w:rPr>
          <w:sz w:val="26"/>
        </w:rPr>
        <w:t xml:space="preserve"> </w:t>
      </w:r>
    </w:p>
    <w:p w:rsidR="00005F90" w:rsidRDefault="00005F90" w:rsidP="00005F90">
      <w:pPr>
        <w:spacing w:after="265" w:line="259" w:lineRule="auto"/>
        <w:ind w:left="357" w:firstLine="0"/>
      </w:pPr>
      <w:r>
        <w:t xml:space="preserve"> </w:t>
      </w:r>
    </w:p>
    <w:p w:rsidR="00005F90" w:rsidRDefault="00005F90" w:rsidP="00005F90">
      <w:pPr>
        <w:spacing w:after="265" w:line="259" w:lineRule="auto"/>
        <w:ind w:left="357" w:firstLine="0"/>
      </w:pPr>
      <w:r>
        <w:t xml:space="preserve"> </w:t>
      </w:r>
    </w:p>
    <w:p w:rsidR="00005F90" w:rsidRDefault="00005F90" w:rsidP="00005F90">
      <w:pPr>
        <w:spacing w:after="265" w:line="259" w:lineRule="auto"/>
        <w:ind w:left="357" w:firstLine="0"/>
      </w:pPr>
      <w:r>
        <w:t xml:space="preserve"> </w:t>
      </w:r>
    </w:p>
    <w:p w:rsidR="00005F90" w:rsidRDefault="00005F90" w:rsidP="00005F90">
      <w:pPr>
        <w:spacing w:after="265" w:line="259" w:lineRule="auto"/>
        <w:ind w:left="357" w:firstLine="0"/>
      </w:pPr>
      <w:r>
        <w:t xml:space="preserve"> </w:t>
      </w:r>
    </w:p>
    <w:p w:rsidR="00005F90" w:rsidRDefault="00005F90" w:rsidP="00005F90">
      <w:pPr>
        <w:spacing w:after="265" w:line="259" w:lineRule="auto"/>
        <w:ind w:left="357" w:firstLine="0"/>
      </w:pPr>
      <w:r>
        <w:t xml:space="preserve"> </w:t>
      </w:r>
    </w:p>
    <w:p w:rsidR="00005F90" w:rsidRDefault="00005F90" w:rsidP="00005F90">
      <w:pPr>
        <w:spacing w:after="265" w:line="259" w:lineRule="auto"/>
        <w:ind w:left="357" w:firstLine="0"/>
      </w:pPr>
      <w:r>
        <w:t xml:space="preserve"> </w:t>
      </w:r>
    </w:p>
    <w:p w:rsidR="00005F90" w:rsidRDefault="00005F90" w:rsidP="00005F90">
      <w:pPr>
        <w:spacing w:after="265" w:line="259" w:lineRule="auto"/>
        <w:ind w:left="357" w:firstLine="0"/>
      </w:pPr>
      <w:r>
        <w:t xml:space="preserve"> </w:t>
      </w:r>
    </w:p>
    <w:p w:rsidR="00005F90" w:rsidRDefault="00005F90" w:rsidP="00005F90">
      <w:pPr>
        <w:spacing w:after="265" w:line="259" w:lineRule="auto"/>
        <w:ind w:left="357" w:firstLine="0"/>
      </w:pPr>
      <w:r>
        <w:t xml:space="preserve"> </w:t>
      </w:r>
    </w:p>
    <w:p w:rsidR="00005F90" w:rsidRDefault="00005F90" w:rsidP="00005F90">
      <w:pPr>
        <w:spacing w:after="265" w:line="259" w:lineRule="auto"/>
        <w:ind w:left="357" w:firstLine="0"/>
      </w:pPr>
      <w:r>
        <w:t xml:space="preserve"> </w:t>
      </w:r>
    </w:p>
    <w:p w:rsidR="00005F90" w:rsidRDefault="00005F90" w:rsidP="00005F90">
      <w:pPr>
        <w:spacing w:after="265" w:line="259" w:lineRule="auto"/>
        <w:ind w:left="357" w:firstLine="0"/>
      </w:pPr>
      <w:r>
        <w:t xml:space="preserve"> </w:t>
      </w:r>
    </w:p>
    <w:p w:rsidR="00005F90" w:rsidRDefault="00005F90" w:rsidP="00005F90">
      <w:pPr>
        <w:spacing w:after="0" w:line="259" w:lineRule="auto"/>
        <w:ind w:left="357" w:firstLine="0"/>
      </w:pPr>
      <w:r>
        <w:t xml:space="preserve"> </w:t>
      </w:r>
    </w:p>
    <w:p w:rsidR="00005F90" w:rsidRDefault="00005F90" w:rsidP="00005F90">
      <w:pPr>
        <w:pStyle w:val="Heading2"/>
        <w:spacing w:after="230"/>
        <w:ind w:left="10"/>
      </w:pPr>
      <w:r>
        <w:t xml:space="preserve">     Appendix F:  Pricing Model </w:t>
      </w:r>
    </w:p>
    <w:p w:rsidR="00005F90" w:rsidRDefault="00005F90" w:rsidP="00005F90">
      <w:pPr>
        <w:spacing w:after="16" w:line="259" w:lineRule="auto"/>
        <w:ind w:left="357" w:firstLine="0"/>
      </w:pPr>
      <w:r>
        <w:t xml:space="preserve"> </w:t>
      </w:r>
    </w:p>
    <w:tbl>
      <w:tblPr>
        <w:tblStyle w:val="TableGrid"/>
        <w:tblW w:w="9801" w:type="dxa"/>
        <w:tblInd w:w="363" w:type="dxa"/>
        <w:tblCellMar>
          <w:top w:w="16" w:type="dxa"/>
          <w:left w:w="52" w:type="dxa"/>
        </w:tblCellMar>
        <w:tblLook w:val="04A0" w:firstRow="1" w:lastRow="0" w:firstColumn="1" w:lastColumn="0" w:noHBand="0" w:noVBand="1"/>
      </w:tblPr>
      <w:tblGrid>
        <w:gridCol w:w="4077"/>
        <w:gridCol w:w="1591"/>
        <w:gridCol w:w="1339"/>
        <w:gridCol w:w="1457"/>
        <w:gridCol w:w="1337"/>
      </w:tblGrid>
      <w:tr w:rsidR="00005F90" w:rsidTr="002C7D6A">
        <w:trPr>
          <w:trHeight w:val="582"/>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4"/>
              </w:rPr>
              <w:t>Standard CI VM Pricing</w:t>
            </w:r>
            <w:r>
              <w:rPr>
                <w:sz w:val="20"/>
              </w:rPr>
              <w:t xml:space="preserve">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80"/>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4"/>
                <w:u w:val="single" w:color="000000"/>
              </w:rPr>
              <w:t>Compute</w:t>
            </w:r>
            <w:r>
              <w:rPr>
                <w:sz w:val="20"/>
              </w:rPr>
              <w:t xml:space="preserve">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19"/>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u w:val="single" w:color="000000"/>
              </w:rPr>
              <w:t>Option</w:t>
            </w:r>
            <w:r>
              <w:rPr>
                <w:sz w:val="20"/>
              </w:rPr>
              <w:t xml:space="preserve">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164" w:firstLine="0"/>
            </w:pPr>
            <w:r>
              <w:rPr>
                <w:sz w:val="20"/>
                <w:u w:val="single" w:color="000000"/>
              </w:rPr>
              <w:t>vCPU Count</w:t>
            </w: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65" w:firstLine="0"/>
              <w:jc w:val="center"/>
            </w:pPr>
            <w:r>
              <w:rPr>
                <w:sz w:val="20"/>
                <w:u w:val="single" w:color="000000"/>
              </w:rPr>
              <w:t>Mem/gig</w:t>
            </w: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134" w:firstLine="0"/>
            </w:pPr>
            <w:r>
              <w:rPr>
                <w:sz w:val="20"/>
                <w:u w:val="single" w:color="000000"/>
              </w:rPr>
              <w:t>Storage/gig</w:t>
            </w: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48" w:firstLine="0"/>
              <w:jc w:val="right"/>
            </w:pPr>
            <w:r>
              <w:rPr>
                <w:sz w:val="20"/>
                <w:u w:val="single" w:color="000000"/>
              </w:rPr>
              <w:t>Cost/mo</w:t>
            </w:r>
            <w:r>
              <w:rPr>
                <w:sz w:val="20"/>
              </w:rPr>
              <w:t xml:space="preserve">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C6D9F0"/>
          </w:tcPr>
          <w:p w:rsidR="00005F90" w:rsidRDefault="00005F90" w:rsidP="002C7D6A">
            <w:pPr>
              <w:spacing w:after="0" w:line="259" w:lineRule="auto"/>
              <w:ind w:left="2" w:firstLine="0"/>
            </w:pPr>
            <w:r>
              <w:rPr>
                <w:sz w:val="20"/>
              </w:rPr>
              <w:t xml:space="preserve">1) </w:t>
            </w:r>
          </w:p>
        </w:tc>
        <w:tc>
          <w:tcPr>
            <w:tcW w:w="1591" w:type="dxa"/>
            <w:tcBorders>
              <w:top w:val="single" w:sz="6" w:space="0" w:color="000000"/>
              <w:left w:val="single" w:sz="6" w:space="0" w:color="000000"/>
              <w:bottom w:val="single" w:sz="6" w:space="0" w:color="000000"/>
              <w:right w:val="single" w:sz="6" w:space="0" w:color="000000"/>
            </w:tcBorders>
            <w:shd w:val="clear" w:color="auto" w:fill="C6D9F0"/>
          </w:tcPr>
          <w:p w:rsidR="00005F90" w:rsidRDefault="00005F90" w:rsidP="002C7D6A">
            <w:pPr>
              <w:spacing w:after="0" w:line="259" w:lineRule="auto"/>
              <w:ind w:left="0" w:right="61" w:firstLine="0"/>
              <w:jc w:val="center"/>
            </w:pPr>
            <w:r>
              <w:rPr>
                <w:sz w:val="20"/>
              </w:rPr>
              <w:t xml:space="preserve">2 </w:t>
            </w:r>
          </w:p>
        </w:tc>
        <w:tc>
          <w:tcPr>
            <w:tcW w:w="1338" w:type="dxa"/>
            <w:tcBorders>
              <w:top w:val="single" w:sz="6" w:space="0" w:color="000000"/>
              <w:left w:val="single" w:sz="6" w:space="0" w:color="000000"/>
              <w:bottom w:val="single" w:sz="6" w:space="0" w:color="000000"/>
              <w:right w:val="single" w:sz="6" w:space="0" w:color="000000"/>
            </w:tcBorders>
            <w:shd w:val="clear" w:color="auto" w:fill="C6D9F0"/>
          </w:tcPr>
          <w:p w:rsidR="00005F90" w:rsidRDefault="00005F90" w:rsidP="002C7D6A">
            <w:pPr>
              <w:spacing w:after="0" w:line="259" w:lineRule="auto"/>
              <w:ind w:left="0" w:right="46" w:firstLine="0"/>
              <w:jc w:val="center"/>
            </w:pPr>
            <w:r>
              <w:rPr>
                <w:sz w:val="20"/>
              </w:rPr>
              <w:t xml:space="preserve">4 </w:t>
            </w:r>
          </w:p>
        </w:tc>
        <w:tc>
          <w:tcPr>
            <w:tcW w:w="1457" w:type="dxa"/>
            <w:tcBorders>
              <w:top w:val="single" w:sz="6" w:space="0" w:color="000000"/>
              <w:left w:val="single" w:sz="6" w:space="0" w:color="000000"/>
              <w:bottom w:val="single" w:sz="6" w:space="0" w:color="000000"/>
              <w:right w:val="single" w:sz="6" w:space="0" w:color="000000"/>
            </w:tcBorders>
            <w:shd w:val="clear" w:color="auto" w:fill="C6D9F0"/>
          </w:tcPr>
          <w:p w:rsidR="00005F90" w:rsidRDefault="00005F90" w:rsidP="002C7D6A">
            <w:pPr>
              <w:spacing w:after="0" w:line="259" w:lineRule="auto"/>
              <w:ind w:left="0" w:right="61" w:firstLine="0"/>
              <w:jc w:val="center"/>
            </w:pPr>
            <w:r>
              <w:rPr>
                <w:sz w:val="20"/>
              </w:rPr>
              <w:t xml:space="preserve">50 </w:t>
            </w:r>
          </w:p>
        </w:tc>
        <w:tc>
          <w:tcPr>
            <w:tcW w:w="1337" w:type="dxa"/>
            <w:tcBorders>
              <w:top w:val="single" w:sz="6" w:space="0" w:color="000000"/>
              <w:left w:val="single" w:sz="6" w:space="0" w:color="000000"/>
              <w:bottom w:val="single" w:sz="6" w:space="0" w:color="000000"/>
              <w:right w:val="single" w:sz="6" w:space="0" w:color="000000"/>
            </w:tcBorders>
            <w:shd w:val="clear" w:color="auto" w:fill="C6D9F0"/>
          </w:tcPr>
          <w:p w:rsidR="00005F90" w:rsidRDefault="00005F90" w:rsidP="002C7D6A">
            <w:pPr>
              <w:spacing w:after="0" w:line="259" w:lineRule="auto"/>
              <w:ind w:left="0" w:right="44" w:firstLine="0"/>
              <w:jc w:val="right"/>
            </w:pPr>
            <w:r>
              <w:rPr>
                <w:sz w:val="20"/>
              </w:rPr>
              <w:t xml:space="preserve">$102.00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C2D69B"/>
          </w:tcPr>
          <w:p w:rsidR="00005F90" w:rsidRDefault="00005F90" w:rsidP="002C7D6A">
            <w:pPr>
              <w:spacing w:after="0" w:line="259" w:lineRule="auto"/>
              <w:ind w:left="2" w:firstLine="0"/>
            </w:pPr>
            <w:r>
              <w:rPr>
                <w:sz w:val="20"/>
              </w:rPr>
              <w:t xml:space="preserve">2) </w:t>
            </w:r>
          </w:p>
        </w:tc>
        <w:tc>
          <w:tcPr>
            <w:tcW w:w="1591" w:type="dxa"/>
            <w:tcBorders>
              <w:top w:val="single" w:sz="6" w:space="0" w:color="000000"/>
              <w:left w:val="single" w:sz="6" w:space="0" w:color="000000"/>
              <w:bottom w:val="single" w:sz="6" w:space="0" w:color="000000"/>
              <w:right w:val="single" w:sz="6" w:space="0" w:color="000000"/>
            </w:tcBorders>
            <w:shd w:val="clear" w:color="auto" w:fill="C2D69B"/>
          </w:tcPr>
          <w:p w:rsidR="00005F90" w:rsidRDefault="00005F90" w:rsidP="002C7D6A">
            <w:pPr>
              <w:spacing w:after="0" w:line="259" w:lineRule="auto"/>
              <w:ind w:left="0" w:right="61" w:firstLine="0"/>
              <w:jc w:val="center"/>
            </w:pPr>
            <w:r>
              <w:rPr>
                <w:sz w:val="20"/>
              </w:rPr>
              <w:t xml:space="preserve">4 </w:t>
            </w:r>
          </w:p>
        </w:tc>
        <w:tc>
          <w:tcPr>
            <w:tcW w:w="1338" w:type="dxa"/>
            <w:tcBorders>
              <w:top w:val="single" w:sz="6" w:space="0" w:color="000000"/>
              <w:left w:val="single" w:sz="6" w:space="0" w:color="000000"/>
              <w:bottom w:val="single" w:sz="6" w:space="0" w:color="000000"/>
              <w:right w:val="single" w:sz="6" w:space="0" w:color="000000"/>
            </w:tcBorders>
            <w:shd w:val="clear" w:color="auto" w:fill="C2D69B"/>
          </w:tcPr>
          <w:p w:rsidR="00005F90" w:rsidRDefault="00005F90" w:rsidP="002C7D6A">
            <w:pPr>
              <w:spacing w:after="0" w:line="259" w:lineRule="auto"/>
              <w:ind w:left="0" w:right="46" w:firstLine="0"/>
              <w:jc w:val="center"/>
            </w:pPr>
            <w:r>
              <w:rPr>
                <w:sz w:val="20"/>
              </w:rPr>
              <w:t xml:space="preserve">6 </w:t>
            </w:r>
          </w:p>
        </w:tc>
        <w:tc>
          <w:tcPr>
            <w:tcW w:w="1457" w:type="dxa"/>
            <w:tcBorders>
              <w:top w:val="single" w:sz="6" w:space="0" w:color="000000"/>
              <w:left w:val="single" w:sz="6" w:space="0" w:color="000000"/>
              <w:bottom w:val="single" w:sz="6" w:space="0" w:color="000000"/>
              <w:right w:val="single" w:sz="6" w:space="0" w:color="000000"/>
            </w:tcBorders>
            <w:shd w:val="clear" w:color="auto" w:fill="C2D69B"/>
          </w:tcPr>
          <w:p w:rsidR="00005F90" w:rsidRDefault="00005F90" w:rsidP="002C7D6A">
            <w:pPr>
              <w:spacing w:after="0" w:line="259" w:lineRule="auto"/>
              <w:ind w:left="0" w:right="61" w:firstLine="0"/>
              <w:jc w:val="center"/>
            </w:pPr>
            <w:r>
              <w:rPr>
                <w:sz w:val="20"/>
              </w:rPr>
              <w:t xml:space="preserve">50 </w:t>
            </w:r>
          </w:p>
        </w:tc>
        <w:tc>
          <w:tcPr>
            <w:tcW w:w="1337" w:type="dxa"/>
            <w:tcBorders>
              <w:top w:val="single" w:sz="6" w:space="0" w:color="000000"/>
              <w:left w:val="single" w:sz="6" w:space="0" w:color="000000"/>
              <w:bottom w:val="single" w:sz="6" w:space="0" w:color="000000"/>
              <w:right w:val="single" w:sz="6" w:space="0" w:color="000000"/>
            </w:tcBorders>
            <w:shd w:val="clear" w:color="auto" w:fill="C2D69B"/>
          </w:tcPr>
          <w:p w:rsidR="00005F90" w:rsidRDefault="00005F90" w:rsidP="002C7D6A">
            <w:pPr>
              <w:spacing w:after="0" w:line="259" w:lineRule="auto"/>
              <w:ind w:left="0" w:right="44" w:firstLine="0"/>
              <w:jc w:val="right"/>
            </w:pPr>
            <w:r>
              <w:rPr>
                <w:sz w:val="20"/>
              </w:rPr>
              <w:t xml:space="preserve">$141.00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FABF8F"/>
          </w:tcPr>
          <w:p w:rsidR="00005F90" w:rsidRDefault="00005F90" w:rsidP="002C7D6A">
            <w:pPr>
              <w:spacing w:after="0" w:line="259" w:lineRule="auto"/>
              <w:ind w:left="2" w:firstLine="0"/>
            </w:pPr>
            <w:r>
              <w:rPr>
                <w:sz w:val="20"/>
              </w:rPr>
              <w:t xml:space="preserve">3) </w:t>
            </w:r>
          </w:p>
        </w:tc>
        <w:tc>
          <w:tcPr>
            <w:tcW w:w="1591" w:type="dxa"/>
            <w:tcBorders>
              <w:top w:val="single" w:sz="6" w:space="0" w:color="000000"/>
              <w:left w:val="single" w:sz="6" w:space="0" w:color="000000"/>
              <w:bottom w:val="single" w:sz="6" w:space="0" w:color="000000"/>
              <w:right w:val="single" w:sz="6" w:space="0" w:color="000000"/>
            </w:tcBorders>
            <w:shd w:val="clear" w:color="auto" w:fill="FABF8F"/>
          </w:tcPr>
          <w:p w:rsidR="00005F90" w:rsidRDefault="00005F90" w:rsidP="002C7D6A">
            <w:pPr>
              <w:spacing w:after="0" w:line="259" w:lineRule="auto"/>
              <w:ind w:left="0" w:right="61" w:firstLine="0"/>
              <w:jc w:val="center"/>
            </w:pPr>
            <w:r>
              <w:rPr>
                <w:sz w:val="20"/>
              </w:rPr>
              <w:t xml:space="preserve">6 </w:t>
            </w:r>
          </w:p>
        </w:tc>
        <w:tc>
          <w:tcPr>
            <w:tcW w:w="1338" w:type="dxa"/>
            <w:tcBorders>
              <w:top w:val="single" w:sz="6" w:space="0" w:color="000000"/>
              <w:left w:val="single" w:sz="6" w:space="0" w:color="000000"/>
              <w:bottom w:val="single" w:sz="6" w:space="0" w:color="000000"/>
              <w:right w:val="single" w:sz="6" w:space="0" w:color="000000"/>
            </w:tcBorders>
            <w:shd w:val="clear" w:color="auto" w:fill="FABF8F"/>
          </w:tcPr>
          <w:p w:rsidR="00005F90" w:rsidRDefault="00005F90" w:rsidP="002C7D6A">
            <w:pPr>
              <w:spacing w:after="0" w:line="259" w:lineRule="auto"/>
              <w:ind w:left="0" w:right="46" w:firstLine="0"/>
              <w:jc w:val="center"/>
            </w:pPr>
            <w:r>
              <w:rPr>
                <w:sz w:val="20"/>
              </w:rPr>
              <w:t xml:space="preserve">8 </w:t>
            </w:r>
          </w:p>
        </w:tc>
        <w:tc>
          <w:tcPr>
            <w:tcW w:w="1457" w:type="dxa"/>
            <w:tcBorders>
              <w:top w:val="single" w:sz="6" w:space="0" w:color="000000"/>
              <w:left w:val="single" w:sz="6" w:space="0" w:color="000000"/>
              <w:bottom w:val="single" w:sz="6" w:space="0" w:color="000000"/>
              <w:right w:val="single" w:sz="6" w:space="0" w:color="000000"/>
            </w:tcBorders>
            <w:shd w:val="clear" w:color="auto" w:fill="FABF8F"/>
          </w:tcPr>
          <w:p w:rsidR="00005F90" w:rsidRDefault="00005F90" w:rsidP="002C7D6A">
            <w:pPr>
              <w:spacing w:after="0" w:line="259" w:lineRule="auto"/>
              <w:ind w:left="0" w:right="61" w:firstLine="0"/>
              <w:jc w:val="center"/>
            </w:pPr>
            <w:r>
              <w:rPr>
                <w:sz w:val="20"/>
              </w:rPr>
              <w:t xml:space="preserve">50 </w:t>
            </w:r>
          </w:p>
        </w:tc>
        <w:tc>
          <w:tcPr>
            <w:tcW w:w="1337" w:type="dxa"/>
            <w:tcBorders>
              <w:top w:val="single" w:sz="6" w:space="0" w:color="000000"/>
              <w:left w:val="single" w:sz="6" w:space="0" w:color="000000"/>
              <w:bottom w:val="single" w:sz="6" w:space="0" w:color="000000"/>
              <w:right w:val="single" w:sz="6" w:space="0" w:color="000000"/>
            </w:tcBorders>
            <w:shd w:val="clear" w:color="auto" w:fill="FABF8F"/>
          </w:tcPr>
          <w:p w:rsidR="00005F90" w:rsidRDefault="00005F90" w:rsidP="002C7D6A">
            <w:pPr>
              <w:spacing w:after="0" w:line="259" w:lineRule="auto"/>
              <w:ind w:left="0" w:right="44" w:firstLine="0"/>
              <w:jc w:val="right"/>
            </w:pPr>
            <w:r>
              <w:rPr>
                <w:sz w:val="20"/>
              </w:rPr>
              <w:t xml:space="preserve">$180.00 </w:t>
            </w:r>
          </w:p>
        </w:tc>
      </w:tr>
      <w:tr w:rsidR="00005F90" w:rsidTr="002C7D6A">
        <w:trPr>
          <w:trHeight w:val="522"/>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rPr>
              <w:t xml:space="preserve">4)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61" w:firstLine="0"/>
              <w:jc w:val="center"/>
            </w:pPr>
            <w:r>
              <w:rPr>
                <w:sz w:val="20"/>
              </w:rPr>
              <w:t xml:space="preserve">8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46" w:firstLine="0"/>
              <w:jc w:val="center"/>
            </w:pPr>
            <w:r>
              <w:rPr>
                <w:sz w:val="20"/>
              </w:rPr>
              <w:t xml:space="preserve">8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61" w:firstLine="0"/>
              <w:jc w:val="center"/>
            </w:pPr>
            <w:r>
              <w:rPr>
                <w:sz w:val="20"/>
              </w:rPr>
              <w:t xml:space="preserve">50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44" w:firstLine="0"/>
              <w:jc w:val="right"/>
            </w:pPr>
            <w:r>
              <w:rPr>
                <w:sz w:val="20"/>
              </w:rPr>
              <w:t xml:space="preserve">$206.00 </w:t>
            </w:r>
          </w:p>
        </w:tc>
      </w:tr>
      <w:tr w:rsidR="00005F90" w:rsidTr="002C7D6A">
        <w:trPr>
          <w:trHeight w:val="580"/>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4"/>
                <w:u w:val="single" w:color="000000"/>
              </w:rPr>
              <w:t>Additional Storage</w:t>
            </w:r>
            <w:r>
              <w:rPr>
                <w:sz w:val="20"/>
              </w:rPr>
              <w:t xml:space="preserve">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u w:val="single" w:color="000000"/>
              </w:rPr>
              <w:t>Increment</w:t>
            </w:r>
            <w:r>
              <w:rPr>
                <w:sz w:val="20"/>
              </w:rPr>
              <w:t xml:space="preserve">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rPr>
              <w:t xml:space="preserve">Additional 50g Increment ­ up to 500g max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61" w:firstLine="0"/>
              <w:jc w:val="center"/>
            </w:pPr>
            <w:r>
              <w:rPr>
                <w:sz w:val="20"/>
              </w:rPr>
              <w:t xml:space="preserve">50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44" w:firstLine="0"/>
              <w:jc w:val="right"/>
            </w:pPr>
            <w:r>
              <w:rPr>
                <w:sz w:val="20"/>
              </w:rPr>
              <w:t xml:space="preserve">$5.00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rPr>
              <w:t xml:space="preserve">Storage beyond initial is .10g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19"/>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rPr>
              <w:t xml:space="preserve">No requests &lt; 50g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21"/>
        </w:trPr>
        <w:tc>
          <w:tcPr>
            <w:tcW w:w="4077" w:type="dxa"/>
            <w:tcBorders>
              <w:top w:val="single" w:sz="6" w:space="0" w:color="000000"/>
              <w:left w:val="single" w:sz="6" w:space="0" w:color="CCCCCC"/>
              <w:bottom w:val="single" w:sz="6" w:space="0" w:color="000000"/>
              <w:right w:val="single" w:sz="6" w:space="0" w:color="CCCCCC"/>
            </w:tcBorders>
          </w:tcPr>
          <w:p w:rsidR="00005F90" w:rsidRDefault="00005F90" w:rsidP="002C7D6A">
            <w:pPr>
              <w:spacing w:after="0" w:line="259" w:lineRule="auto"/>
              <w:ind w:left="2" w:firstLine="0"/>
            </w:pPr>
            <w:r>
              <w:rPr>
                <w:sz w:val="20"/>
              </w:rPr>
              <w:t xml:space="preserve"> </w:t>
            </w:r>
          </w:p>
        </w:tc>
        <w:tc>
          <w:tcPr>
            <w:tcW w:w="1591" w:type="dxa"/>
            <w:tcBorders>
              <w:top w:val="single" w:sz="6" w:space="0" w:color="000000"/>
              <w:left w:val="single" w:sz="6" w:space="0" w:color="CCCCCC"/>
              <w:bottom w:val="single" w:sz="6" w:space="0" w:color="000000"/>
              <w:right w:val="single" w:sz="6" w:space="0" w:color="CCCCCC"/>
            </w:tcBorders>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CCCCCC"/>
              <w:bottom w:val="single" w:sz="6" w:space="0" w:color="000000"/>
              <w:right w:val="single" w:sz="6" w:space="0" w:color="CCCCCC"/>
            </w:tcBorders>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CCCCCC"/>
              <w:bottom w:val="single" w:sz="6" w:space="0" w:color="000000"/>
              <w:right w:val="single" w:sz="6" w:space="0" w:color="CCCCCC"/>
            </w:tcBorders>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CCCCCC"/>
              <w:bottom w:val="single" w:sz="6" w:space="0" w:color="000000"/>
              <w:right w:val="single" w:sz="6" w:space="0" w:color="CCCCCC"/>
            </w:tcBorders>
          </w:tcPr>
          <w:p w:rsidR="00005F90" w:rsidRDefault="00005F90" w:rsidP="002C7D6A">
            <w:pPr>
              <w:spacing w:after="0" w:line="259" w:lineRule="auto"/>
              <w:ind w:left="0" w:firstLine="0"/>
            </w:pPr>
            <w:r>
              <w:rPr>
                <w:sz w:val="20"/>
              </w:rPr>
              <w:t xml:space="preserve"> </w:t>
            </w:r>
          </w:p>
        </w:tc>
      </w:tr>
      <w:tr w:rsidR="00005F90" w:rsidTr="002C7D6A">
        <w:trPr>
          <w:trHeight w:val="582"/>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4"/>
              </w:rPr>
              <w:t>Backup ­ Optional Add­On</w:t>
            </w:r>
            <w:r>
              <w:rPr>
                <w:sz w:val="20"/>
              </w:rPr>
              <w:t xml:space="preserve">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rPr>
              <w:t xml:space="preserve">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59" w:firstLine="0"/>
            </w:pPr>
            <w:r>
              <w:rPr>
                <w:sz w:val="20"/>
                <w:u w:val="single" w:color="000000"/>
              </w:rPr>
              <w:t>Amount/gig</w:t>
            </w: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48" w:firstLine="0"/>
              <w:jc w:val="right"/>
            </w:pPr>
            <w:r>
              <w:rPr>
                <w:sz w:val="20"/>
                <w:u w:val="single" w:color="000000"/>
              </w:rPr>
              <w:t>Cost/mo</w:t>
            </w:r>
            <w:r>
              <w:rPr>
                <w:sz w:val="20"/>
              </w:rPr>
              <w:t xml:space="preserve">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rPr>
              <w:t xml:space="preserve">Initial 50g of B/U storage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rPr>
              <w:t xml:space="preserve">Backup of VM with 50g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61" w:firstLine="0"/>
              <w:jc w:val="center"/>
            </w:pPr>
            <w:r>
              <w:rPr>
                <w:sz w:val="20"/>
              </w:rPr>
              <w:t xml:space="preserve">50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44" w:firstLine="0"/>
              <w:jc w:val="right"/>
            </w:pPr>
            <w:r>
              <w:rPr>
                <w:sz w:val="20"/>
              </w:rPr>
              <w:t xml:space="preserve">$25.00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u w:val="single" w:color="000000"/>
              </w:rPr>
              <w:t>Increment</w:t>
            </w:r>
            <w:r>
              <w:rPr>
                <w:sz w:val="20"/>
              </w:rPr>
              <w:t xml:space="preserve">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12" w:firstLine="0"/>
              <w:jc w:val="center"/>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rPr>
              <w:t xml:space="preserve">Additional 50g Increment ­ up to 500g max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61" w:firstLine="0"/>
              <w:jc w:val="center"/>
            </w:pPr>
            <w:r>
              <w:rPr>
                <w:sz w:val="20"/>
              </w:rPr>
              <w:t xml:space="preserve">50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right="44" w:firstLine="0"/>
              <w:jc w:val="right"/>
            </w:pPr>
            <w:r>
              <w:rPr>
                <w:sz w:val="20"/>
              </w:rPr>
              <w:t xml:space="preserve">$2.50 </w:t>
            </w:r>
          </w:p>
        </w:tc>
      </w:tr>
      <w:tr w:rsidR="00005F90" w:rsidTr="002C7D6A">
        <w:trPr>
          <w:trHeight w:val="521"/>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rPr>
              <w:t xml:space="preserve">B/U Storage beyond initial is .05g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19"/>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0"/>
              </w:rPr>
              <w:t xml:space="preserve">No requests &lt; 50g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19"/>
        </w:trPr>
        <w:tc>
          <w:tcPr>
            <w:tcW w:w="4077" w:type="dxa"/>
            <w:tcBorders>
              <w:top w:val="single" w:sz="6" w:space="0" w:color="000000"/>
              <w:left w:val="single" w:sz="6" w:space="0" w:color="CCCCCC"/>
              <w:bottom w:val="single" w:sz="6" w:space="0" w:color="000000"/>
              <w:right w:val="single" w:sz="6" w:space="0" w:color="CCCCCC"/>
            </w:tcBorders>
          </w:tcPr>
          <w:p w:rsidR="00005F90" w:rsidRDefault="00005F90" w:rsidP="002C7D6A">
            <w:pPr>
              <w:spacing w:after="0" w:line="259" w:lineRule="auto"/>
              <w:ind w:left="2" w:firstLine="0"/>
            </w:pPr>
            <w:r>
              <w:rPr>
                <w:sz w:val="20"/>
              </w:rPr>
              <w:t xml:space="preserve"> </w:t>
            </w:r>
          </w:p>
        </w:tc>
        <w:tc>
          <w:tcPr>
            <w:tcW w:w="1591" w:type="dxa"/>
            <w:tcBorders>
              <w:top w:val="single" w:sz="6" w:space="0" w:color="000000"/>
              <w:left w:val="single" w:sz="6" w:space="0" w:color="CCCCCC"/>
              <w:bottom w:val="single" w:sz="6" w:space="0" w:color="000000"/>
              <w:right w:val="single" w:sz="6" w:space="0" w:color="CCCCCC"/>
            </w:tcBorders>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CCCCCC"/>
              <w:bottom w:val="single" w:sz="6" w:space="0" w:color="000000"/>
              <w:right w:val="single" w:sz="6" w:space="0" w:color="CCCCCC"/>
            </w:tcBorders>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CCCCCC"/>
              <w:bottom w:val="single" w:sz="6" w:space="0" w:color="000000"/>
              <w:right w:val="single" w:sz="6" w:space="0" w:color="CCCCCC"/>
            </w:tcBorders>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CCCCCC"/>
              <w:bottom w:val="single" w:sz="6" w:space="0" w:color="000000"/>
              <w:right w:val="single" w:sz="6" w:space="0" w:color="CCCCCC"/>
            </w:tcBorders>
          </w:tcPr>
          <w:p w:rsidR="00005F90" w:rsidRDefault="00005F90" w:rsidP="002C7D6A">
            <w:pPr>
              <w:spacing w:after="0" w:line="259" w:lineRule="auto"/>
              <w:ind w:left="0" w:firstLine="0"/>
            </w:pPr>
            <w:r>
              <w:rPr>
                <w:sz w:val="20"/>
              </w:rPr>
              <w:t xml:space="preserve"> </w:t>
            </w:r>
          </w:p>
        </w:tc>
      </w:tr>
      <w:tr w:rsidR="00005F90" w:rsidTr="002C7D6A">
        <w:trPr>
          <w:trHeight w:val="954"/>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78" w:line="259" w:lineRule="auto"/>
              <w:ind w:left="2" w:firstLine="0"/>
            </w:pPr>
            <w:r>
              <w:rPr>
                <w:sz w:val="24"/>
              </w:rPr>
              <w:t xml:space="preserve">Disaster Recovery ­ Optional </w:t>
            </w:r>
          </w:p>
          <w:p w:rsidR="00005F90" w:rsidRDefault="00005F90" w:rsidP="002C7D6A">
            <w:pPr>
              <w:spacing w:after="0" w:line="259" w:lineRule="auto"/>
              <w:ind w:left="2" w:firstLine="0"/>
            </w:pPr>
            <w:r>
              <w:rPr>
                <w:sz w:val="24"/>
              </w:rPr>
              <w:t>Add­On</w:t>
            </w:r>
            <w:r>
              <w:rPr>
                <w:sz w:val="20"/>
              </w:rPr>
              <w:t xml:space="preserve">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vAlign w:val="bottom"/>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vAlign w:val="bottom"/>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vAlign w:val="bottom"/>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vAlign w:val="bottom"/>
          </w:tcPr>
          <w:p w:rsidR="00005F90" w:rsidRDefault="00005F90" w:rsidP="002C7D6A">
            <w:pPr>
              <w:spacing w:after="0" w:line="259" w:lineRule="auto"/>
              <w:ind w:left="0" w:firstLine="0"/>
            </w:pPr>
            <w:r>
              <w:rPr>
                <w:sz w:val="20"/>
              </w:rPr>
              <w:t xml:space="preserve"> </w:t>
            </w:r>
          </w:p>
        </w:tc>
      </w:tr>
      <w:tr w:rsidR="00005F90" w:rsidTr="002C7D6A">
        <w:trPr>
          <w:trHeight w:val="521"/>
        </w:trPr>
        <w:tc>
          <w:tcPr>
            <w:tcW w:w="7007" w:type="dxa"/>
            <w:gridSpan w:val="3"/>
            <w:tcBorders>
              <w:top w:val="single" w:sz="6" w:space="0" w:color="000000"/>
              <w:left w:val="single" w:sz="6" w:space="0" w:color="000000"/>
              <w:bottom w:val="single" w:sz="6" w:space="0" w:color="000000"/>
              <w:right w:val="single" w:sz="6" w:space="0" w:color="CCCCCC"/>
            </w:tcBorders>
            <w:shd w:val="clear" w:color="auto" w:fill="EEECE1"/>
          </w:tcPr>
          <w:p w:rsidR="00005F90" w:rsidRDefault="00005F90" w:rsidP="002C7D6A">
            <w:pPr>
              <w:spacing w:after="0" w:line="259" w:lineRule="auto"/>
              <w:ind w:left="2" w:firstLine="0"/>
            </w:pPr>
            <w:r>
              <w:rPr>
                <w:sz w:val="20"/>
              </w:rPr>
              <w:t xml:space="preserve">DR will be 100% add­on of the environment cost </w:t>
            </w:r>
          </w:p>
        </w:tc>
        <w:tc>
          <w:tcPr>
            <w:tcW w:w="1457" w:type="dxa"/>
            <w:tcBorders>
              <w:top w:val="single" w:sz="6" w:space="0" w:color="000000"/>
              <w:left w:val="single" w:sz="6" w:space="0" w:color="CCCCCC"/>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831"/>
        </w:trPr>
        <w:tc>
          <w:tcPr>
            <w:tcW w:w="4077"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jc w:val="both"/>
            </w:pPr>
            <w:r>
              <w:rPr>
                <w:sz w:val="20"/>
              </w:rPr>
              <w:t xml:space="preserve">Option 1­4 (CPU+MEM+Storage)+any additional storage=DR </w:t>
            </w:r>
          </w:p>
        </w:tc>
        <w:tc>
          <w:tcPr>
            <w:tcW w:w="1591"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005F90" w:rsidRDefault="00005F90" w:rsidP="002C7D6A">
            <w:pPr>
              <w:spacing w:after="0" w:line="259" w:lineRule="auto"/>
              <w:ind w:left="0" w:firstLine="0"/>
            </w:pPr>
            <w:r>
              <w:rPr>
                <w:sz w:val="20"/>
              </w:rPr>
              <w:t xml:space="preserve"> </w:t>
            </w:r>
          </w:p>
        </w:tc>
        <w:tc>
          <w:tcPr>
            <w:tcW w:w="1338"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005F90" w:rsidRDefault="00005F90" w:rsidP="002C7D6A">
            <w:pPr>
              <w:spacing w:after="0" w:line="259" w:lineRule="auto"/>
              <w:ind w:left="0" w:firstLine="0"/>
            </w:pPr>
            <w:r>
              <w:rPr>
                <w:sz w:val="20"/>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005F90" w:rsidRDefault="00005F90" w:rsidP="002C7D6A">
            <w:pPr>
              <w:spacing w:after="0" w:line="259" w:lineRule="auto"/>
              <w:ind w:left="0" w:firstLine="0"/>
            </w:pPr>
            <w:r>
              <w:rPr>
                <w:sz w:val="20"/>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005F90" w:rsidRDefault="00005F90" w:rsidP="002C7D6A">
            <w:pPr>
              <w:spacing w:after="0" w:line="259" w:lineRule="auto"/>
              <w:ind w:left="0" w:firstLine="0"/>
            </w:pPr>
            <w:r>
              <w:rPr>
                <w:sz w:val="20"/>
              </w:rPr>
              <w:t xml:space="preserve"> </w:t>
            </w:r>
          </w:p>
        </w:tc>
      </w:tr>
    </w:tbl>
    <w:p w:rsidR="00005F90" w:rsidRDefault="00005F90" w:rsidP="00005F90">
      <w:pPr>
        <w:spacing w:after="16" w:line="259" w:lineRule="auto"/>
        <w:ind w:left="357" w:firstLine="0"/>
      </w:pPr>
      <w:r>
        <w:t xml:space="preserve"> </w:t>
      </w:r>
    </w:p>
    <w:tbl>
      <w:tblPr>
        <w:tblStyle w:val="TableGrid"/>
        <w:tblW w:w="4551" w:type="dxa"/>
        <w:tblInd w:w="363" w:type="dxa"/>
        <w:tblCellMar>
          <w:top w:w="18" w:type="dxa"/>
          <w:left w:w="52" w:type="dxa"/>
        </w:tblCellMar>
        <w:tblLook w:val="04A0" w:firstRow="1" w:lastRow="0" w:firstColumn="1" w:lastColumn="0" w:noHBand="0" w:noVBand="1"/>
      </w:tblPr>
      <w:tblGrid>
        <w:gridCol w:w="3616"/>
        <w:gridCol w:w="935"/>
      </w:tblGrid>
      <w:tr w:rsidR="00005F90" w:rsidTr="002C7D6A">
        <w:trPr>
          <w:trHeight w:val="580"/>
        </w:trPr>
        <w:tc>
          <w:tcPr>
            <w:tcW w:w="3616"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2" w:firstLine="0"/>
            </w:pPr>
            <w:r>
              <w:rPr>
                <w:sz w:val="24"/>
              </w:rPr>
              <w:t>Sample Scenarios</w:t>
            </w:r>
            <w:r>
              <w:rPr>
                <w:sz w:val="20"/>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EEECE1"/>
          </w:tcPr>
          <w:p w:rsidR="00005F90" w:rsidRDefault="00005F90" w:rsidP="002C7D6A">
            <w:pPr>
              <w:spacing w:after="0" w:line="259" w:lineRule="auto"/>
              <w:ind w:left="0" w:firstLine="0"/>
            </w:pPr>
            <w:r>
              <w:rPr>
                <w:sz w:val="20"/>
              </w:rPr>
              <w:t xml:space="preserve"> </w:t>
            </w:r>
          </w:p>
        </w:tc>
      </w:tr>
      <w:tr w:rsidR="00005F90" w:rsidTr="002C7D6A">
        <w:trPr>
          <w:trHeight w:val="521"/>
        </w:trPr>
        <w:tc>
          <w:tcPr>
            <w:tcW w:w="3616" w:type="dxa"/>
            <w:tcBorders>
              <w:top w:val="single" w:sz="6" w:space="0" w:color="000000"/>
              <w:left w:val="single" w:sz="6" w:space="0" w:color="000000"/>
              <w:bottom w:val="single" w:sz="6" w:space="0" w:color="000000"/>
              <w:right w:val="single" w:sz="6" w:space="0" w:color="000000"/>
            </w:tcBorders>
            <w:shd w:val="clear" w:color="auto" w:fill="C6D9F0"/>
          </w:tcPr>
          <w:p w:rsidR="00005F90" w:rsidRDefault="00005F90" w:rsidP="002C7D6A">
            <w:pPr>
              <w:spacing w:after="0" w:line="259" w:lineRule="auto"/>
              <w:ind w:left="2" w:firstLine="0"/>
            </w:pPr>
            <w:r>
              <w:rPr>
                <w:sz w:val="20"/>
              </w:rPr>
              <w:t xml:space="preserve">Option 1 ­ No Backup or DR </w:t>
            </w:r>
          </w:p>
        </w:tc>
        <w:tc>
          <w:tcPr>
            <w:tcW w:w="935" w:type="dxa"/>
            <w:tcBorders>
              <w:top w:val="single" w:sz="6" w:space="0" w:color="000000"/>
              <w:left w:val="single" w:sz="6" w:space="0" w:color="000000"/>
              <w:bottom w:val="single" w:sz="6" w:space="0" w:color="000000"/>
              <w:right w:val="single" w:sz="6" w:space="0" w:color="000000"/>
            </w:tcBorders>
            <w:shd w:val="clear" w:color="auto" w:fill="C6D9F0"/>
          </w:tcPr>
          <w:p w:rsidR="00005F90" w:rsidRDefault="00005F90" w:rsidP="002C7D6A">
            <w:pPr>
              <w:spacing w:after="0" w:line="259" w:lineRule="auto"/>
              <w:ind w:left="0" w:right="44" w:firstLine="0"/>
              <w:jc w:val="right"/>
            </w:pPr>
            <w:r>
              <w:rPr>
                <w:sz w:val="20"/>
              </w:rPr>
              <w:t xml:space="preserve">$102.00 </w:t>
            </w:r>
          </w:p>
        </w:tc>
      </w:tr>
      <w:tr w:rsidR="00005F90" w:rsidTr="002C7D6A">
        <w:trPr>
          <w:trHeight w:val="521"/>
        </w:trPr>
        <w:tc>
          <w:tcPr>
            <w:tcW w:w="3616" w:type="dxa"/>
            <w:tcBorders>
              <w:top w:val="single" w:sz="6" w:space="0" w:color="000000"/>
              <w:left w:val="single" w:sz="6" w:space="0" w:color="000000"/>
              <w:bottom w:val="single" w:sz="6" w:space="0" w:color="000000"/>
              <w:right w:val="single" w:sz="6" w:space="0" w:color="000000"/>
            </w:tcBorders>
            <w:shd w:val="clear" w:color="auto" w:fill="C2D69B"/>
          </w:tcPr>
          <w:p w:rsidR="00005F90" w:rsidRDefault="00005F90" w:rsidP="002C7D6A">
            <w:pPr>
              <w:spacing w:after="0" w:line="259" w:lineRule="auto"/>
              <w:ind w:left="2" w:firstLine="0"/>
            </w:pPr>
            <w:r>
              <w:rPr>
                <w:sz w:val="20"/>
              </w:rPr>
              <w:t xml:space="preserve">Option 2 ­ Add 200GB + Backup </w:t>
            </w:r>
          </w:p>
        </w:tc>
        <w:tc>
          <w:tcPr>
            <w:tcW w:w="935" w:type="dxa"/>
            <w:tcBorders>
              <w:top w:val="single" w:sz="6" w:space="0" w:color="000000"/>
              <w:left w:val="single" w:sz="6" w:space="0" w:color="000000"/>
              <w:bottom w:val="single" w:sz="6" w:space="0" w:color="000000"/>
              <w:right w:val="single" w:sz="6" w:space="0" w:color="000000"/>
            </w:tcBorders>
            <w:shd w:val="clear" w:color="auto" w:fill="C2D69B"/>
          </w:tcPr>
          <w:p w:rsidR="00005F90" w:rsidRDefault="00005F90" w:rsidP="002C7D6A">
            <w:pPr>
              <w:spacing w:after="0" w:line="259" w:lineRule="auto"/>
              <w:ind w:left="0" w:right="44" w:firstLine="0"/>
              <w:jc w:val="right"/>
            </w:pPr>
            <w:r>
              <w:rPr>
                <w:sz w:val="20"/>
              </w:rPr>
              <w:t xml:space="preserve">$196.00 </w:t>
            </w:r>
          </w:p>
        </w:tc>
      </w:tr>
      <w:tr w:rsidR="00005F90" w:rsidTr="002C7D6A">
        <w:trPr>
          <w:trHeight w:val="522"/>
        </w:trPr>
        <w:tc>
          <w:tcPr>
            <w:tcW w:w="3616" w:type="dxa"/>
            <w:tcBorders>
              <w:top w:val="single" w:sz="6" w:space="0" w:color="000000"/>
              <w:left w:val="single" w:sz="6" w:space="0" w:color="000000"/>
              <w:bottom w:val="single" w:sz="6" w:space="0" w:color="000000"/>
              <w:right w:val="single" w:sz="6" w:space="0" w:color="000000"/>
            </w:tcBorders>
            <w:shd w:val="clear" w:color="auto" w:fill="FABF8F"/>
          </w:tcPr>
          <w:p w:rsidR="00005F90" w:rsidRDefault="00005F90" w:rsidP="002C7D6A">
            <w:pPr>
              <w:spacing w:after="0" w:line="259" w:lineRule="auto"/>
              <w:ind w:left="2" w:firstLine="0"/>
              <w:jc w:val="both"/>
            </w:pPr>
            <w:r>
              <w:rPr>
                <w:sz w:val="20"/>
              </w:rPr>
              <w:t xml:space="preserve">Option 3 w/300GB With Backup &amp; DR </w:t>
            </w:r>
          </w:p>
        </w:tc>
        <w:tc>
          <w:tcPr>
            <w:tcW w:w="935" w:type="dxa"/>
            <w:tcBorders>
              <w:top w:val="single" w:sz="6" w:space="0" w:color="000000"/>
              <w:left w:val="single" w:sz="6" w:space="0" w:color="000000"/>
              <w:bottom w:val="single" w:sz="6" w:space="0" w:color="000000"/>
              <w:right w:val="single" w:sz="6" w:space="0" w:color="000000"/>
            </w:tcBorders>
            <w:shd w:val="clear" w:color="auto" w:fill="FABF8F"/>
          </w:tcPr>
          <w:p w:rsidR="00005F90" w:rsidRDefault="00005F90" w:rsidP="002C7D6A">
            <w:pPr>
              <w:spacing w:after="0" w:line="259" w:lineRule="auto"/>
              <w:ind w:left="0" w:right="44" w:firstLine="0"/>
              <w:jc w:val="right"/>
            </w:pPr>
            <w:r>
              <w:rPr>
                <w:sz w:val="20"/>
              </w:rPr>
              <w:t xml:space="preserve">$250.00 </w:t>
            </w:r>
          </w:p>
        </w:tc>
      </w:tr>
      <w:tr w:rsidR="00005F90" w:rsidTr="002C7D6A">
        <w:trPr>
          <w:trHeight w:val="521"/>
        </w:trPr>
        <w:tc>
          <w:tcPr>
            <w:tcW w:w="3616" w:type="dxa"/>
            <w:tcBorders>
              <w:top w:val="single" w:sz="6" w:space="0" w:color="000000"/>
              <w:left w:val="single" w:sz="6" w:space="0" w:color="000000"/>
              <w:bottom w:val="single" w:sz="6" w:space="0" w:color="000000"/>
              <w:right w:val="single" w:sz="6" w:space="0" w:color="000000"/>
            </w:tcBorders>
            <w:shd w:val="clear" w:color="auto" w:fill="FABF8F"/>
          </w:tcPr>
          <w:p w:rsidR="00005F90" w:rsidRDefault="00005F90" w:rsidP="002C7D6A">
            <w:pPr>
              <w:spacing w:after="0" w:line="259" w:lineRule="auto"/>
              <w:ind w:left="2" w:firstLine="0"/>
            </w:pPr>
            <w:r>
              <w:rPr>
                <w:sz w:val="20"/>
              </w:rPr>
              <w:t xml:space="preserve">Disaster Recovery </w:t>
            </w:r>
          </w:p>
        </w:tc>
        <w:tc>
          <w:tcPr>
            <w:tcW w:w="935" w:type="dxa"/>
            <w:tcBorders>
              <w:top w:val="single" w:sz="6" w:space="0" w:color="000000"/>
              <w:left w:val="single" w:sz="6" w:space="0" w:color="000000"/>
              <w:bottom w:val="single" w:sz="6" w:space="0" w:color="000000"/>
              <w:right w:val="single" w:sz="6" w:space="0" w:color="000000"/>
            </w:tcBorders>
            <w:shd w:val="clear" w:color="auto" w:fill="FABF8F"/>
          </w:tcPr>
          <w:p w:rsidR="00005F90" w:rsidRDefault="00005F90" w:rsidP="002C7D6A">
            <w:pPr>
              <w:spacing w:after="0" w:line="259" w:lineRule="auto"/>
              <w:ind w:left="0" w:right="44" w:firstLine="0"/>
              <w:jc w:val="right"/>
            </w:pPr>
            <w:r>
              <w:rPr>
                <w:sz w:val="20"/>
              </w:rPr>
              <w:t xml:space="preserve">$250.00 </w:t>
            </w:r>
          </w:p>
        </w:tc>
      </w:tr>
      <w:tr w:rsidR="00005F90" w:rsidTr="002C7D6A">
        <w:trPr>
          <w:trHeight w:val="519"/>
        </w:trPr>
        <w:tc>
          <w:tcPr>
            <w:tcW w:w="3616" w:type="dxa"/>
            <w:tcBorders>
              <w:top w:val="single" w:sz="6" w:space="0" w:color="000000"/>
              <w:left w:val="single" w:sz="6" w:space="0" w:color="000000"/>
              <w:bottom w:val="single" w:sz="6" w:space="0" w:color="000000"/>
              <w:right w:val="single" w:sz="6" w:space="0" w:color="000000"/>
            </w:tcBorders>
            <w:shd w:val="clear" w:color="auto" w:fill="FABF8F"/>
          </w:tcPr>
          <w:p w:rsidR="00005F90" w:rsidRDefault="00005F90" w:rsidP="002C7D6A">
            <w:pPr>
              <w:spacing w:after="0" w:line="259" w:lineRule="auto"/>
              <w:ind w:left="2" w:firstLine="0"/>
            </w:pPr>
            <w:r>
              <w:rPr>
                <w:sz w:val="20"/>
              </w:rPr>
              <w:t xml:space="preserve">Total </w:t>
            </w:r>
          </w:p>
        </w:tc>
        <w:tc>
          <w:tcPr>
            <w:tcW w:w="935" w:type="dxa"/>
            <w:tcBorders>
              <w:top w:val="single" w:sz="6" w:space="0" w:color="000000"/>
              <w:left w:val="single" w:sz="6" w:space="0" w:color="000000"/>
              <w:bottom w:val="single" w:sz="6" w:space="0" w:color="000000"/>
              <w:right w:val="single" w:sz="6" w:space="0" w:color="000000"/>
            </w:tcBorders>
            <w:shd w:val="clear" w:color="auto" w:fill="FABF8F"/>
          </w:tcPr>
          <w:p w:rsidR="00005F90" w:rsidRDefault="00005F90" w:rsidP="002C7D6A">
            <w:pPr>
              <w:spacing w:after="0" w:line="259" w:lineRule="auto"/>
              <w:ind w:left="0" w:right="44" w:firstLine="0"/>
              <w:jc w:val="right"/>
            </w:pPr>
            <w:r>
              <w:rPr>
                <w:sz w:val="20"/>
              </w:rPr>
              <w:t xml:space="preserve">$500.00 </w:t>
            </w:r>
          </w:p>
        </w:tc>
      </w:tr>
    </w:tbl>
    <w:p w:rsidR="00005F90" w:rsidRDefault="00005F90" w:rsidP="00005F90">
      <w:pPr>
        <w:spacing w:after="309" w:line="259" w:lineRule="auto"/>
        <w:ind w:left="357" w:firstLine="0"/>
      </w:pPr>
      <w:r>
        <w:t xml:space="preserve"> </w:t>
      </w:r>
    </w:p>
    <w:p w:rsidR="00005F90" w:rsidRDefault="00005F90" w:rsidP="00005F90">
      <w:pPr>
        <w:pStyle w:val="Heading2"/>
        <w:ind w:left="352"/>
      </w:pPr>
      <w:r>
        <w:rPr>
          <w:noProof/>
        </w:rPr>
        <w:drawing>
          <wp:anchor distT="0" distB="0" distL="114300" distR="114300" simplePos="0" relativeHeight="251659264" behindDoc="0" locked="0" layoutInCell="1" allowOverlap="0" wp14:anchorId="2F36D0E1" wp14:editId="64F813CA">
            <wp:simplePos x="0" y="0"/>
            <wp:positionH relativeFrom="page">
              <wp:posOffset>7649628</wp:posOffset>
            </wp:positionH>
            <wp:positionV relativeFrom="page">
              <wp:posOffset>2323219</wp:posOffset>
            </wp:positionV>
            <wp:extent cx="122772" cy="122772"/>
            <wp:effectExtent l="0" t="0" r="0" b="0"/>
            <wp:wrapTopAndBottom/>
            <wp:docPr id="3529"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6"/>
                    <a:stretch>
                      <a:fillRect/>
                    </a:stretch>
                  </pic:blipFill>
                  <pic:spPr>
                    <a:xfrm>
                      <a:off x="0" y="0"/>
                      <a:ext cx="122772" cy="122772"/>
                    </a:xfrm>
                    <a:prstGeom prst="rect">
                      <a:avLst/>
                    </a:prstGeom>
                  </pic:spPr>
                </pic:pic>
              </a:graphicData>
            </a:graphic>
          </wp:anchor>
        </w:drawing>
      </w:r>
      <w:r>
        <w:t xml:space="preserve">APPENDIX G: General  </w:t>
      </w:r>
    </w:p>
    <w:p w:rsidR="00005F90" w:rsidRDefault="00005F90" w:rsidP="00005F90">
      <w:pPr>
        <w:spacing w:after="52"/>
        <w:ind w:left="352"/>
      </w:pPr>
      <w:r>
        <w:t xml:space="preserve">Client and CUIT are entering into this SLA to recognize the need to establish and foster a true </w:t>
      </w:r>
    </w:p>
    <w:p w:rsidR="00005F90" w:rsidRDefault="00005F90" w:rsidP="00005F90">
      <w:pPr>
        <w:spacing w:after="245"/>
        <w:ind w:left="352"/>
      </w:pPr>
      <w:r>
        <w:t xml:space="preserve">‘spirit of partnering’ to achieve the service outcomes desired by both parties. </w:t>
      </w:r>
    </w:p>
    <w:p w:rsidR="00005F90" w:rsidRDefault="00005F90" w:rsidP="00005F90">
      <w:pPr>
        <w:spacing w:after="236"/>
        <w:ind w:left="352"/>
      </w:pPr>
      <w:r>
        <w:t>Both parties undertake to innovate and combine their joint strengths, expertise and energies to underpin and promote the development of this partnering relationship and acknowledge that a mutual understanding of each partner’s objectives in relation to the goals of the service is of</w:t>
      </w:r>
      <w:r>
        <w:rPr>
          <w:color w:val="FF0000"/>
        </w:rPr>
        <w:t xml:space="preserve"> </w:t>
      </w:r>
      <w:r>
        <w:t xml:space="preserve">paramount importance. </w:t>
      </w:r>
    </w:p>
    <w:p w:rsidR="00005F90" w:rsidRDefault="00005F90" w:rsidP="00005F90">
      <w:pPr>
        <w:spacing w:line="389" w:lineRule="auto"/>
        <w:ind w:left="352" w:right="211"/>
      </w:pPr>
      <w:r>
        <w:t xml:space="preserve">Both parties recognize the mutual need to optimize each others opportunities for developing and achieving continuous improvement, both in their own and each other’s performance, thereby maintaining, enhancing and improving service outcomes through the life of the SLA. In recognition of the above, both parties undertake to adopt the following principles: </w:t>
      </w:r>
    </w:p>
    <w:p w:rsidR="00005F90" w:rsidRDefault="00005F90" w:rsidP="00005F90">
      <w:pPr>
        <w:numPr>
          <w:ilvl w:val="0"/>
          <w:numId w:val="11"/>
        </w:numPr>
        <w:spacing w:line="331" w:lineRule="auto"/>
        <w:ind w:hanging="357"/>
      </w:pPr>
      <w:r>
        <w:t xml:space="preserve">To be open and honest with each other in all respects; this means that they will do what they say they will do, deliver what they say they will deliver and not promise either if unachievable. </w:t>
      </w:r>
    </w:p>
    <w:p w:rsidR="00005F90" w:rsidRDefault="00005F90" w:rsidP="00005F90">
      <w:pPr>
        <w:numPr>
          <w:ilvl w:val="0"/>
          <w:numId w:val="11"/>
        </w:numPr>
        <w:spacing w:after="44"/>
        <w:ind w:hanging="357"/>
      </w:pPr>
      <w:r>
        <w:t xml:space="preserve">To promote transparency in all their activities; this means that they will communicate their activities in relation to managing, implementing and delivering their responsibilities and inputs to the success of service to each other or any agency (voluntary or otherwise) outside the partnering relationship where such transparency is relevant to each other’s business or statutory obligations. </w:t>
      </w:r>
    </w:p>
    <w:p w:rsidR="00005F90" w:rsidRDefault="00005F90" w:rsidP="00005F90">
      <w:pPr>
        <w:numPr>
          <w:ilvl w:val="0"/>
          <w:numId w:val="11"/>
        </w:numPr>
        <w:spacing w:after="43"/>
        <w:ind w:hanging="357"/>
      </w:pPr>
      <w:r>
        <w:t>To establish well structured, good, meaningful and continuous communication; this means, for example, that meetings should be brief and not wasteful of each other’s resource utilization time. In addition, they​</w:t>
      </w:r>
      <w:r>
        <w:rPr>
          <w:color w:val="FF0000"/>
        </w:rPr>
        <w:t xml:space="preserve"> ​</w:t>
      </w:r>
      <w:r>
        <w:t xml:space="preserve">should always be minuted (by partners in rotation if necessary) and the minutes relayed to the personnel distribution list as expeditiously as possible. Verbal communications should be confirmed in writing to avoid ambiguity. Direction clarification and instructions should be strictly in adherence with the hierarchy of personnel set out in the SLA. </w:t>
      </w:r>
    </w:p>
    <w:p w:rsidR="00005F90" w:rsidRDefault="00005F90" w:rsidP="00005F90">
      <w:pPr>
        <w:numPr>
          <w:ilvl w:val="0"/>
          <w:numId w:val="11"/>
        </w:numPr>
        <w:spacing w:after="43"/>
        <w:ind w:hanging="357"/>
      </w:pPr>
      <w:r>
        <w:t xml:space="preserve">To undertake a ‘solution centered and proactive management’ approach to the service; this means that each shall enthuse and develop a proactive approach to resolving joint and each other’s problems arising or likely to arise under the contract.  Each needs to be flexible in his/her approach, welcome opportunity to share ideas, gain understanding from the learning curve, want to know why it (what?) went wrong, and strive to get it right next time. </w:t>
      </w:r>
    </w:p>
    <w:p w:rsidR="00005F90" w:rsidRDefault="00005F90" w:rsidP="00005F90">
      <w:pPr>
        <w:numPr>
          <w:ilvl w:val="0"/>
          <w:numId w:val="11"/>
        </w:numPr>
        <w:spacing w:after="44"/>
        <w:ind w:hanging="357"/>
      </w:pPr>
      <w:r>
        <w:t>To adopt a joint commitment to a cycle of continuous, measurable improvement in service; this means that each will actively seek to do the right things, seek out waste and non­value adding activities impacting on or peripheral to the service inputs in each other’s organization, drive out duplication where it exists and seek to​</w:t>
      </w:r>
      <w:r>
        <w:rPr>
          <w:color w:val="FF0000"/>
        </w:rPr>
        <w:t xml:space="preserve"> ​</w:t>
      </w:r>
      <w:r>
        <w:t xml:space="preserve">optimize the efficiency to both partners mutual benefit. </w:t>
      </w:r>
    </w:p>
    <w:p w:rsidR="00005F90" w:rsidRDefault="00005F90" w:rsidP="00005F90">
      <w:pPr>
        <w:numPr>
          <w:ilvl w:val="0"/>
          <w:numId w:val="11"/>
        </w:numPr>
        <w:spacing w:line="331" w:lineRule="auto"/>
        <w:ind w:hanging="357"/>
      </w:pPr>
      <w:r>
        <w:t xml:space="preserve">To commit to the mutually agreed principles above and understand that trust between the partners can only be retained and developed if the essence and true spirit of this undertaking is owned by both partners. </w:t>
      </w:r>
    </w:p>
    <w:p w:rsidR="00005F90" w:rsidRDefault="00005F90" w:rsidP="00005F90">
      <w:pPr>
        <w:numPr>
          <w:ilvl w:val="0"/>
          <w:numId w:val="11"/>
        </w:numPr>
        <w:spacing w:after="187" w:line="334" w:lineRule="auto"/>
        <w:ind w:hanging="357"/>
      </w:pPr>
      <w:r>
        <w:t xml:space="preserve">CUIT will be proactive in considering value added services and efficiencies to be gained through this agreement. </w:t>
      </w:r>
    </w:p>
    <w:p w:rsidR="00005F90" w:rsidRDefault="00005F90" w:rsidP="00005F90">
      <w:pPr>
        <w:spacing w:after="0" w:line="259" w:lineRule="auto"/>
        <w:ind w:left="357" w:firstLine="0"/>
      </w:pPr>
      <w:r>
        <w:t xml:space="preserve"> </w:t>
      </w:r>
    </w:p>
    <w:p w:rsidR="00005F90" w:rsidRDefault="00005F90"/>
    <w:sectPr w:rsidR="00005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AED"/>
    <w:multiLevelType w:val="hybridMultilevel"/>
    <w:tmpl w:val="9A7C0460"/>
    <w:lvl w:ilvl="0" w:tplc="489AA1C6">
      <w:start w:val="1"/>
      <w:numFmt w:val="decimal"/>
      <w:lvlText w:val="%1."/>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4B4AC">
      <w:start w:val="1"/>
      <w:numFmt w:val="lowerLetter"/>
      <w:lvlText w:val="%2"/>
      <w:lvlJc w:val="left"/>
      <w:pPr>
        <w:ind w:left="1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3CB516">
      <w:start w:val="1"/>
      <w:numFmt w:val="lowerRoman"/>
      <w:lvlText w:val="%3"/>
      <w:lvlJc w:val="left"/>
      <w:pPr>
        <w:ind w:left="2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4C1536">
      <w:start w:val="1"/>
      <w:numFmt w:val="decimal"/>
      <w:lvlText w:val="%4"/>
      <w:lvlJc w:val="left"/>
      <w:pPr>
        <w:ind w:left="3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EA936C">
      <w:start w:val="1"/>
      <w:numFmt w:val="lowerLetter"/>
      <w:lvlText w:val="%5"/>
      <w:lvlJc w:val="left"/>
      <w:pPr>
        <w:ind w:left="3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2A1B00">
      <w:start w:val="1"/>
      <w:numFmt w:val="lowerRoman"/>
      <w:lvlText w:val="%6"/>
      <w:lvlJc w:val="left"/>
      <w:pPr>
        <w:ind w:left="4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7EF096">
      <w:start w:val="1"/>
      <w:numFmt w:val="decimal"/>
      <w:lvlText w:val="%7"/>
      <w:lvlJc w:val="left"/>
      <w:pPr>
        <w:ind w:left="5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1E6652">
      <w:start w:val="1"/>
      <w:numFmt w:val="lowerLetter"/>
      <w:lvlText w:val="%8"/>
      <w:lvlJc w:val="left"/>
      <w:pPr>
        <w:ind w:left="5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003530">
      <w:start w:val="1"/>
      <w:numFmt w:val="lowerRoman"/>
      <w:lvlText w:val="%9"/>
      <w:lvlJc w:val="left"/>
      <w:pPr>
        <w:ind w:left="6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19758D"/>
    <w:multiLevelType w:val="hybridMultilevel"/>
    <w:tmpl w:val="E222DFAE"/>
    <w:lvl w:ilvl="0" w:tplc="C5DC0900">
      <w:start w:val="1"/>
      <w:numFmt w:val="decimal"/>
      <w:lvlText w:val="%1."/>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47152">
      <w:start w:val="1"/>
      <w:numFmt w:val="lowerLetter"/>
      <w:lvlText w:val="%2"/>
      <w:lvlJc w:val="left"/>
      <w:pPr>
        <w:ind w:left="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CE90A6">
      <w:start w:val="1"/>
      <w:numFmt w:val="lowerRoman"/>
      <w:lvlText w:val="%3"/>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8C6004">
      <w:start w:val="1"/>
      <w:numFmt w:val="decimal"/>
      <w:lvlText w:val="%4"/>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69258">
      <w:start w:val="1"/>
      <w:numFmt w:val="lowerLetter"/>
      <w:lvlText w:val="%5"/>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F4BFA0">
      <w:start w:val="1"/>
      <w:numFmt w:val="lowerRoman"/>
      <w:lvlText w:val="%6"/>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D8EB94">
      <w:start w:val="1"/>
      <w:numFmt w:val="decimal"/>
      <w:lvlText w:val="%7"/>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8FD4A">
      <w:start w:val="1"/>
      <w:numFmt w:val="lowerLetter"/>
      <w:lvlText w:val="%8"/>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7A500C">
      <w:start w:val="1"/>
      <w:numFmt w:val="lowerRoman"/>
      <w:lvlText w:val="%9"/>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AD2F79"/>
    <w:multiLevelType w:val="hybridMultilevel"/>
    <w:tmpl w:val="FBA2390E"/>
    <w:lvl w:ilvl="0" w:tplc="2FA8976A">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AE07E">
      <w:start w:val="1"/>
      <w:numFmt w:val="bullet"/>
      <w:lvlText w:val="o"/>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7A1C92">
      <w:start w:val="1"/>
      <w:numFmt w:val="bullet"/>
      <w:lvlText w:val="▪"/>
      <w:lvlJc w:val="left"/>
      <w:pPr>
        <w:ind w:left="2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A23330">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22B7E6">
      <w:start w:val="1"/>
      <w:numFmt w:val="bullet"/>
      <w:lvlText w:val="o"/>
      <w:lvlJc w:val="left"/>
      <w:pPr>
        <w:ind w:left="3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3C9E18">
      <w:start w:val="1"/>
      <w:numFmt w:val="bullet"/>
      <w:lvlText w:val="▪"/>
      <w:lvlJc w:val="left"/>
      <w:pPr>
        <w:ind w:left="4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9A7782">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08B400">
      <w:start w:val="1"/>
      <w:numFmt w:val="bullet"/>
      <w:lvlText w:val="o"/>
      <w:lvlJc w:val="left"/>
      <w:pPr>
        <w:ind w:left="5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2220D6">
      <w:start w:val="1"/>
      <w:numFmt w:val="bullet"/>
      <w:lvlText w:val="▪"/>
      <w:lvlJc w:val="left"/>
      <w:pPr>
        <w:ind w:left="6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6674BA"/>
    <w:multiLevelType w:val="hybridMultilevel"/>
    <w:tmpl w:val="96745D1E"/>
    <w:lvl w:ilvl="0" w:tplc="B7C216BC">
      <w:start w:val="1"/>
      <w:numFmt w:val="decimal"/>
      <w:lvlText w:val="%1."/>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8A37D4">
      <w:start w:val="1"/>
      <w:numFmt w:val="lowerLetter"/>
      <w:lvlText w:val="%2"/>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349164">
      <w:start w:val="1"/>
      <w:numFmt w:val="lowerRoman"/>
      <w:lvlText w:val="%3"/>
      <w:lvlJc w:val="left"/>
      <w:pPr>
        <w:ind w:left="2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C27BE4">
      <w:start w:val="1"/>
      <w:numFmt w:val="decimal"/>
      <w:lvlText w:val="%4"/>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6B000">
      <w:start w:val="1"/>
      <w:numFmt w:val="lowerLetter"/>
      <w:lvlText w:val="%5"/>
      <w:lvlJc w:val="left"/>
      <w:pPr>
        <w:ind w:left="3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0296A8">
      <w:start w:val="1"/>
      <w:numFmt w:val="lowerRoman"/>
      <w:lvlText w:val="%6"/>
      <w:lvlJc w:val="left"/>
      <w:pPr>
        <w:ind w:left="4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920992">
      <w:start w:val="1"/>
      <w:numFmt w:val="decimal"/>
      <w:lvlText w:val="%7"/>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24F8A4">
      <w:start w:val="1"/>
      <w:numFmt w:val="lowerLetter"/>
      <w:lvlText w:val="%8"/>
      <w:lvlJc w:val="left"/>
      <w:pPr>
        <w:ind w:left="5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5289E2">
      <w:start w:val="1"/>
      <w:numFmt w:val="lowerRoman"/>
      <w:lvlText w:val="%9"/>
      <w:lvlJc w:val="left"/>
      <w:pPr>
        <w:ind w:left="6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1019B0"/>
    <w:multiLevelType w:val="multilevel"/>
    <w:tmpl w:val="4ACCDE04"/>
    <w:lvl w:ilvl="0">
      <w:start w:val="4"/>
      <w:numFmt w:val="decimal"/>
      <w:lvlText w:val="%1."/>
      <w:lvlJc w:val="left"/>
      <w:pPr>
        <w:ind w:left="1045"/>
      </w:pPr>
      <w:rPr>
        <w:rFonts w:ascii="Arial" w:eastAsia="Arial" w:hAnsi="Arial" w:cs="Arial"/>
        <w:b w:val="0"/>
        <w:i w:val="0"/>
        <w:strike w:val="0"/>
        <w:dstrike w:val="0"/>
        <w:color w:val="1155CC"/>
        <w:sz w:val="24"/>
        <w:szCs w:val="24"/>
        <w:u w:val="single" w:color="1155CC"/>
        <w:bdr w:val="none" w:sz="0" w:space="0" w:color="auto"/>
        <w:shd w:val="clear" w:color="auto" w:fill="auto"/>
        <w:vertAlign w:val="baseline"/>
      </w:rPr>
    </w:lvl>
    <w:lvl w:ilvl="1">
      <w:start w:val="1"/>
      <w:numFmt w:val="decimal"/>
      <w:lvlText w:val="%1.%2"/>
      <w:lvlJc w:val="left"/>
      <w:pPr>
        <w:ind w:left="1453"/>
      </w:pPr>
      <w:rPr>
        <w:rFonts w:ascii="Arial" w:eastAsia="Arial" w:hAnsi="Arial" w:cs="Arial"/>
        <w:b w:val="0"/>
        <w:i w:val="0"/>
        <w:strike w:val="0"/>
        <w:dstrike w:val="0"/>
        <w:color w:val="1155CC"/>
        <w:sz w:val="24"/>
        <w:szCs w:val="24"/>
        <w:u w:val="single" w:color="1155CC"/>
        <w:bdr w:val="none" w:sz="0" w:space="0" w:color="auto"/>
        <w:shd w:val="clear" w:color="auto" w:fill="auto"/>
        <w:vertAlign w:val="baseline"/>
      </w:rPr>
    </w:lvl>
    <w:lvl w:ilvl="2">
      <w:start w:val="1"/>
      <w:numFmt w:val="lowerRoman"/>
      <w:lvlText w:val="%3"/>
      <w:lvlJc w:val="left"/>
      <w:pPr>
        <w:ind w:left="1794"/>
      </w:pPr>
      <w:rPr>
        <w:rFonts w:ascii="Arial" w:eastAsia="Arial" w:hAnsi="Arial" w:cs="Arial"/>
        <w:b w:val="0"/>
        <w:i w:val="0"/>
        <w:strike w:val="0"/>
        <w:dstrike w:val="0"/>
        <w:color w:val="1155CC"/>
        <w:sz w:val="24"/>
        <w:szCs w:val="24"/>
        <w:u w:val="single" w:color="1155CC"/>
        <w:bdr w:val="none" w:sz="0" w:space="0" w:color="auto"/>
        <w:shd w:val="clear" w:color="auto" w:fill="auto"/>
        <w:vertAlign w:val="baseline"/>
      </w:rPr>
    </w:lvl>
    <w:lvl w:ilvl="3">
      <w:start w:val="1"/>
      <w:numFmt w:val="decimal"/>
      <w:lvlText w:val="%4"/>
      <w:lvlJc w:val="left"/>
      <w:pPr>
        <w:ind w:left="2514"/>
      </w:pPr>
      <w:rPr>
        <w:rFonts w:ascii="Arial" w:eastAsia="Arial" w:hAnsi="Arial" w:cs="Arial"/>
        <w:b w:val="0"/>
        <w:i w:val="0"/>
        <w:strike w:val="0"/>
        <w:dstrike w:val="0"/>
        <w:color w:val="1155CC"/>
        <w:sz w:val="24"/>
        <w:szCs w:val="24"/>
        <w:u w:val="single" w:color="1155CC"/>
        <w:bdr w:val="none" w:sz="0" w:space="0" w:color="auto"/>
        <w:shd w:val="clear" w:color="auto" w:fill="auto"/>
        <w:vertAlign w:val="baseline"/>
      </w:rPr>
    </w:lvl>
    <w:lvl w:ilvl="4">
      <w:start w:val="1"/>
      <w:numFmt w:val="lowerLetter"/>
      <w:lvlText w:val="%5"/>
      <w:lvlJc w:val="left"/>
      <w:pPr>
        <w:ind w:left="3234"/>
      </w:pPr>
      <w:rPr>
        <w:rFonts w:ascii="Arial" w:eastAsia="Arial" w:hAnsi="Arial" w:cs="Arial"/>
        <w:b w:val="0"/>
        <w:i w:val="0"/>
        <w:strike w:val="0"/>
        <w:dstrike w:val="0"/>
        <w:color w:val="1155CC"/>
        <w:sz w:val="24"/>
        <w:szCs w:val="24"/>
        <w:u w:val="single" w:color="1155CC"/>
        <w:bdr w:val="none" w:sz="0" w:space="0" w:color="auto"/>
        <w:shd w:val="clear" w:color="auto" w:fill="auto"/>
        <w:vertAlign w:val="baseline"/>
      </w:rPr>
    </w:lvl>
    <w:lvl w:ilvl="5">
      <w:start w:val="1"/>
      <w:numFmt w:val="lowerRoman"/>
      <w:lvlText w:val="%6"/>
      <w:lvlJc w:val="left"/>
      <w:pPr>
        <w:ind w:left="3954"/>
      </w:pPr>
      <w:rPr>
        <w:rFonts w:ascii="Arial" w:eastAsia="Arial" w:hAnsi="Arial" w:cs="Arial"/>
        <w:b w:val="0"/>
        <w:i w:val="0"/>
        <w:strike w:val="0"/>
        <w:dstrike w:val="0"/>
        <w:color w:val="1155CC"/>
        <w:sz w:val="24"/>
        <w:szCs w:val="24"/>
        <w:u w:val="single" w:color="1155CC"/>
        <w:bdr w:val="none" w:sz="0" w:space="0" w:color="auto"/>
        <w:shd w:val="clear" w:color="auto" w:fill="auto"/>
        <w:vertAlign w:val="baseline"/>
      </w:rPr>
    </w:lvl>
    <w:lvl w:ilvl="6">
      <w:start w:val="1"/>
      <w:numFmt w:val="decimal"/>
      <w:lvlText w:val="%7"/>
      <w:lvlJc w:val="left"/>
      <w:pPr>
        <w:ind w:left="4674"/>
      </w:pPr>
      <w:rPr>
        <w:rFonts w:ascii="Arial" w:eastAsia="Arial" w:hAnsi="Arial" w:cs="Arial"/>
        <w:b w:val="0"/>
        <w:i w:val="0"/>
        <w:strike w:val="0"/>
        <w:dstrike w:val="0"/>
        <w:color w:val="1155CC"/>
        <w:sz w:val="24"/>
        <w:szCs w:val="24"/>
        <w:u w:val="single" w:color="1155CC"/>
        <w:bdr w:val="none" w:sz="0" w:space="0" w:color="auto"/>
        <w:shd w:val="clear" w:color="auto" w:fill="auto"/>
        <w:vertAlign w:val="baseline"/>
      </w:rPr>
    </w:lvl>
    <w:lvl w:ilvl="7">
      <w:start w:val="1"/>
      <w:numFmt w:val="lowerLetter"/>
      <w:lvlText w:val="%8"/>
      <w:lvlJc w:val="left"/>
      <w:pPr>
        <w:ind w:left="5394"/>
      </w:pPr>
      <w:rPr>
        <w:rFonts w:ascii="Arial" w:eastAsia="Arial" w:hAnsi="Arial" w:cs="Arial"/>
        <w:b w:val="0"/>
        <w:i w:val="0"/>
        <w:strike w:val="0"/>
        <w:dstrike w:val="0"/>
        <w:color w:val="1155CC"/>
        <w:sz w:val="24"/>
        <w:szCs w:val="24"/>
        <w:u w:val="single" w:color="1155CC"/>
        <w:bdr w:val="none" w:sz="0" w:space="0" w:color="auto"/>
        <w:shd w:val="clear" w:color="auto" w:fill="auto"/>
        <w:vertAlign w:val="baseline"/>
      </w:rPr>
    </w:lvl>
    <w:lvl w:ilvl="8">
      <w:start w:val="1"/>
      <w:numFmt w:val="lowerRoman"/>
      <w:lvlText w:val="%9"/>
      <w:lvlJc w:val="left"/>
      <w:pPr>
        <w:ind w:left="6114"/>
      </w:pPr>
      <w:rPr>
        <w:rFonts w:ascii="Arial" w:eastAsia="Arial" w:hAnsi="Arial" w:cs="Arial"/>
        <w:b w:val="0"/>
        <w:i w:val="0"/>
        <w:strike w:val="0"/>
        <w:dstrike w:val="0"/>
        <w:color w:val="1155CC"/>
        <w:sz w:val="24"/>
        <w:szCs w:val="24"/>
        <w:u w:val="single" w:color="1155CC"/>
        <w:bdr w:val="none" w:sz="0" w:space="0" w:color="auto"/>
        <w:shd w:val="clear" w:color="auto" w:fill="auto"/>
        <w:vertAlign w:val="baseline"/>
      </w:rPr>
    </w:lvl>
  </w:abstractNum>
  <w:abstractNum w:abstractNumId="5" w15:restartNumberingAfterBreak="0">
    <w:nsid w:val="49951CD8"/>
    <w:multiLevelType w:val="hybridMultilevel"/>
    <w:tmpl w:val="A2DC69E8"/>
    <w:lvl w:ilvl="0" w:tplc="88ACC466">
      <w:start w:val="1"/>
      <w:numFmt w:val="bullet"/>
      <w:lvlText w:val="●"/>
      <w:lvlJc w:val="left"/>
      <w:pPr>
        <w:ind w:left="1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E2586">
      <w:start w:val="1"/>
      <w:numFmt w:val="bullet"/>
      <w:lvlText w:val="o"/>
      <w:lvlJc w:val="left"/>
      <w:pPr>
        <w:ind w:left="2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A65CF4">
      <w:start w:val="1"/>
      <w:numFmt w:val="bullet"/>
      <w:lvlText w:val="▪"/>
      <w:lvlJc w:val="left"/>
      <w:pPr>
        <w:ind w:left="2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60AAB8">
      <w:start w:val="1"/>
      <w:numFmt w:val="bullet"/>
      <w:lvlText w:val="•"/>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30DB0C">
      <w:start w:val="1"/>
      <w:numFmt w:val="bullet"/>
      <w:lvlText w:val="o"/>
      <w:lvlJc w:val="left"/>
      <w:pPr>
        <w:ind w:left="4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969A58">
      <w:start w:val="1"/>
      <w:numFmt w:val="bullet"/>
      <w:lvlText w:val="▪"/>
      <w:lvlJc w:val="left"/>
      <w:pPr>
        <w:ind w:left="5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EAE60A">
      <w:start w:val="1"/>
      <w:numFmt w:val="bullet"/>
      <w:lvlText w:val="•"/>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18A2E8">
      <w:start w:val="1"/>
      <w:numFmt w:val="bullet"/>
      <w:lvlText w:val="o"/>
      <w:lvlJc w:val="left"/>
      <w:pPr>
        <w:ind w:left="6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0C9BF0">
      <w:start w:val="1"/>
      <w:numFmt w:val="bullet"/>
      <w:lvlText w:val="▪"/>
      <w:lvlJc w:val="left"/>
      <w:pPr>
        <w:ind w:left="7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FF5A64"/>
    <w:multiLevelType w:val="hybridMultilevel"/>
    <w:tmpl w:val="DDBC3674"/>
    <w:lvl w:ilvl="0" w:tplc="48181AF2">
      <w:start w:val="1"/>
      <w:numFmt w:val="bullet"/>
      <w:lvlText w:val="o"/>
      <w:lvlJc w:val="left"/>
      <w:pPr>
        <w:ind w:left="12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DF2452A">
      <w:start w:val="1"/>
      <w:numFmt w:val="bullet"/>
      <w:lvlText w:val="o"/>
      <w:lvlJc w:val="left"/>
      <w:pPr>
        <w:ind w:left="1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EDC6D76">
      <w:start w:val="1"/>
      <w:numFmt w:val="bullet"/>
      <w:lvlText w:val="▪"/>
      <w:lvlJc w:val="left"/>
      <w:pPr>
        <w:ind w:left="2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814CF4C">
      <w:start w:val="1"/>
      <w:numFmt w:val="bullet"/>
      <w:lvlText w:val="•"/>
      <w:lvlJc w:val="left"/>
      <w:pPr>
        <w:ind w:left="29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08CC5C2">
      <w:start w:val="1"/>
      <w:numFmt w:val="bullet"/>
      <w:lvlText w:val="o"/>
      <w:lvlJc w:val="left"/>
      <w:pPr>
        <w:ind w:left="36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6401316">
      <w:start w:val="1"/>
      <w:numFmt w:val="bullet"/>
      <w:lvlText w:val="▪"/>
      <w:lvlJc w:val="left"/>
      <w:pPr>
        <w:ind w:left="44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61801B2">
      <w:start w:val="1"/>
      <w:numFmt w:val="bullet"/>
      <w:lvlText w:val="•"/>
      <w:lvlJc w:val="left"/>
      <w:pPr>
        <w:ind w:left="51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16CB7F6">
      <w:start w:val="1"/>
      <w:numFmt w:val="bullet"/>
      <w:lvlText w:val="o"/>
      <w:lvlJc w:val="left"/>
      <w:pPr>
        <w:ind w:left="58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796E628">
      <w:start w:val="1"/>
      <w:numFmt w:val="bullet"/>
      <w:lvlText w:val="▪"/>
      <w:lvlJc w:val="left"/>
      <w:pPr>
        <w:ind w:left="65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287DE7"/>
    <w:multiLevelType w:val="hybridMultilevel"/>
    <w:tmpl w:val="9B5A3124"/>
    <w:lvl w:ilvl="0" w:tplc="8F704DB2">
      <w:start w:val="1"/>
      <w:numFmt w:val="decimal"/>
      <w:lvlText w:val="%1."/>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87CA4">
      <w:start w:val="1"/>
      <w:numFmt w:val="lowerLetter"/>
      <w:lvlText w:val="%2."/>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1E4104">
      <w:start w:val="1"/>
      <w:numFmt w:val="lowerRoman"/>
      <w:lvlText w:val="%3"/>
      <w:lvlJc w:val="left"/>
      <w:pPr>
        <w:ind w:left="3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D01198">
      <w:start w:val="1"/>
      <w:numFmt w:val="decimal"/>
      <w:lvlText w:val="%4"/>
      <w:lvlJc w:val="left"/>
      <w:pPr>
        <w:ind w:left="3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88DBA8">
      <w:start w:val="1"/>
      <w:numFmt w:val="lowerLetter"/>
      <w:lvlText w:val="%5"/>
      <w:lvlJc w:val="left"/>
      <w:pPr>
        <w:ind w:left="4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231FC">
      <w:start w:val="1"/>
      <w:numFmt w:val="lowerRoman"/>
      <w:lvlText w:val="%6"/>
      <w:lvlJc w:val="left"/>
      <w:pPr>
        <w:ind w:left="5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1E27AE">
      <w:start w:val="1"/>
      <w:numFmt w:val="decimal"/>
      <w:lvlText w:val="%7"/>
      <w:lvlJc w:val="left"/>
      <w:pPr>
        <w:ind w:left="6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3A39DE">
      <w:start w:val="1"/>
      <w:numFmt w:val="lowerLetter"/>
      <w:lvlText w:val="%8"/>
      <w:lvlJc w:val="left"/>
      <w:pPr>
        <w:ind w:left="6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DC05CC">
      <w:start w:val="1"/>
      <w:numFmt w:val="lowerRoman"/>
      <w:lvlText w:val="%9"/>
      <w:lvlJc w:val="left"/>
      <w:pPr>
        <w:ind w:left="7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310799"/>
    <w:multiLevelType w:val="hybridMultilevel"/>
    <w:tmpl w:val="5084445E"/>
    <w:lvl w:ilvl="0" w:tplc="4434CF0E">
      <w:start w:val="1"/>
      <w:numFmt w:val="decimal"/>
      <w:lvlText w:val="%1."/>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8F1B0">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BABCAA">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06E32E">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C5BA4">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B81530">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C2E99C">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12D7CE">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0C10B6">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4235E4"/>
    <w:multiLevelType w:val="hybridMultilevel"/>
    <w:tmpl w:val="5A340AC2"/>
    <w:lvl w:ilvl="0" w:tplc="FF9EF470">
      <w:start w:val="1"/>
      <w:numFmt w:val="bullet"/>
      <w:lvlText w:val="●"/>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255E4">
      <w:start w:val="1"/>
      <w:numFmt w:val="bullet"/>
      <w:lvlText w:val="o"/>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A4AC26">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802184">
      <w:start w:val="1"/>
      <w:numFmt w:val="bullet"/>
      <w:lvlText w:val="•"/>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E67732">
      <w:start w:val="1"/>
      <w:numFmt w:val="bullet"/>
      <w:lvlText w:val="o"/>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E8FA00">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C87110">
      <w:start w:val="1"/>
      <w:numFmt w:val="bullet"/>
      <w:lvlText w:val="•"/>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90BE42">
      <w:start w:val="1"/>
      <w:numFmt w:val="bullet"/>
      <w:lvlText w:val="o"/>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AB722">
      <w:start w:val="1"/>
      <w:numFmt w:val="bullet"/>
      <w:lvlText w:val="▪"/>
      <w:lvlJc w:val="left"/>
      <w:pPr>
        <w:ind w:left="6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17501B"/>
    <w:multiLevelType w:val="hybridMultilevel"/>
    <w:tmpl w:val="A5C4BF10"/>
    <w:lvl w:ilvl="0" w:tplc="4F200762">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2231AE">
      <w:start w:val="1"/>
      <w:numFmt w:val="bullet"/>
      <w:lvlText w:val="o"/>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46B98">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60131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70EFE2">
      <w:start w:val="1"/>
      <w:numFmt w:val="bullet"/>
      <w:lvlText w:val="o"/>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CEA51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D2C5C0">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ADEBC">
      <w:start w:val="1"/>
      <w:numFmt w:val="bullet"/>
      <w:lvlText w:val="o"/>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ECFFF4">
      <w:start w:val="1"/>
      <w:numFmt w:val="bullet"/>
      <w:lvlText w:val="▪"/>
      <w:lvlJc w:val="left"/>
      <w:pPr>
        <w:ind w:left="7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97119691">
    <w:abstractNumId w:val="4"/>
  </w:num>
  <w:num w:numId="2" w16cid:durableId="1302268237">
    <w:abstractNumId w:val="6"/>
  </w:num>
  <w:num w:numId="3" w16cid:durableId="1963801186">
    <w:abstractNumId w:val="0"/>
  </w:num>
  <w:num w:numId="4" w16cid:durableId="1423527342">
    <w:abstractNumId w:val="10"/>
  </w:num>
  <w:num w:numId="5" w16cid:durableId="2075733861">
    <w:abstractNumId w:val="7"/>
  </w:num>
  <w:num w:numId="6" w16cid:durableId="1531533103">
    <w:abstractNumId w:val="8"/>
  </w:num>
  <w:num w:numId="7" w16cid:durableId="960501222">
    <w:abstractNumId w:val="5"/>
  </w:num>
  <w:num w:numId="8" w16cid:durableId="1732923456">
    <w:abstractNumId w:val="9"/>
  </w:num>
  <w:num w:numId="9" w16cid:durableId="1785542009">
    <w:abstractNumId w:val="1"/>
  </w:num>
  <w:num w:numId="10" w16cid:durableId="820198734">
    <w:abstractNumId w:val="3"/>
  </w:num>
  <w:num w:numId="11" w16cid:durableId="102499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90"/>
    <w:rsid w:val="00005F90"/>
    <w:rsid w:val="00DD303B"/>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43639040"/>
  <w15:chartTrackingRefBased/>
  <w15:docId w15:val="{94431C0B-C1E1-7541-848B-399F7C7B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90"/>
    <w:pPr>
      <w:spacing w:after="5" w:line="281" w:lineRule="auto"/>
      <w:ind w:left="1081" w:hanging="10"/>
    </w:pPr>
    <w:rPr>
      <w:rFonts w:ascii="Arial" w:eastAsia="Arial" w:hAnsi="Arial" w:cs="Arial"/>
      <w:color w:val="000000"/>
      <w:sz w:val="22"/>
      <w:lang w:eastAsia="en-GB"/>
    </w:rPr>
  </w:style>
  <w:style w:type="paragraph" w:styleId="Heading1">
    <w:name w:val="heading 1"/>
    <w:next w:val="Normal"/>
    <w:link w:val="Heading1Char"/>
    <w:uiPriority w:val="9"/>
    <w:qFormat/>
    <w:rsid w:val="00005F90"/>
    <w:pPr>
      <w:keepNext/>
      <w:keepLines/>
      <w:spacing w:after="137" w:line="259" w:lineRule="auto"/>
      <w:ind w:left="2404" w:hanging="10"/>
      <w:outlineLvl w:val="0"/>
    </w:pPr>
    <w:rPr>
      <w:rFonts w:ascii="Arial" w:eastAsia="Arial" w:hAnsi="Arial" w:cs="Arial"/>
      <w:color w:val="000000"/>
      <w:sz w:val="36"/>
      <w:lang w:eastAsia="en-GB"/>
    </w:rPr>
  </w:style>
  <w:style w:type="paragraph" w:styleId="Heading2">
    <w:name w:val="heading 2"/>
    <w:next w:val="Normal"/>
    <w:link w:val="Heading2Char"/>
    <w:uiPriority w:val="9"/>
    <w:unhideWhenUsed/>
    <w:qFormat/>
    <w:rsid w:val="00005F90"/>
    <w:pPr>
      <w:keepNext/>
      <w:keepLines/>
      <w:spacing w:after="141" w:line="259" w:lineRule="auto"/>
      <w:ind w:left="367" w:hanging="10"/>
      <w:outlineLvl w:val="1"/>
    </w:pPr>
    <w:rPr>
      <w:rFonts w:ascii="Arial" w:eastAsia="Arial" w:hAnsi="Arial" w:cs="Arial"/>
      <w:color w:val="000000"/>
      <w:sz w:val="26"/>
      <w:lang w:eastAsia="en-GB"/>
    </w:rPr>
  </w:style>
  <w:style w:type="paragraph" w:styleId="Heading3">
    <w:name w:val="heading 3"/>
    <w:next w:val="Normal"/>
    <w:link w:val="Heading3Char"/>
    <w:uiPriority w:val="9"/>
    <w:unhideWhenUsed/>
    <w:qFormat/>
    <w:rsid w:val="00005F90"/>
    <w:pPr>
      <w:keepNext/>
      <w:keepLines/>
      <w:spacing w:after="141" w:line="259" w:lineRule="auto"/>
      <w:ind w:left="367" w:hanging="10"/>
      <w:outlineLvl w:val="2"/>
    </w:pPr>
    <w:rPr>
      <w:rFonts w:ascii="Arial" w:eastAsia="Arial" w:hAnsi="Arial" w:cs="Arial"/>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F90"/>
    <w:rPr>
      <w:rFonts w:ascii="Arial" w:eastAsia="Arial" w:hAnsi="Arial" w:cs="Arial"/>
      <w:color w:val="000000"/>
      <w:sz w:val="36"/>
      <w:lang w:eastAsia="en-GB"/>
    </w:rPr>
  </w:style>
  <w:style w:type="character" w:customStyle="1" w:styleId="Heading2Char">
    <w:name w:val="Heading 2 Char"/>
    <w:basedOn w:val="DefaultParagraphFont"/>
    <w:link w:val="Heading2"/>
    <w:uiPriority w:val="9"/>
    <w:rsid w:val="00005F90"/>
    <w:rPr>
      <w:rFonts w:ascii="Arial" w:eastAsia="Arial" w:hAnsi="Arial" w:cs="Arial"/>
      <w:color w:val="000000"/>
      <w:sz w:val="26"/>
      <w:lang w:eastAsia="en-GB"/>
    </w:rPr>
  </w:style>
  <w:style w:type="character" w:customStyle="1" w:styleId="Heading3Char">
    <w:name w:val="Heading 3 Char"/>
    <w:basedOn w:val="DefaultParagraphFont"/>
    <w:link w:val="Heading3"/>
    <w:uiPriority w:val="9"/>
    <w:rsid w:val="00005F90"/>
    <w:rPr>
      <w:rFonts w:ascii="Arial" w:eastAsia="Arial" w:hAnsi="Arial" w:cs="Arial"/>
      <w:color w:val="000000"/>
      <w:sz w:val="26"/>
      <w:lang w:eastAsia="en-GB"/>
    </w:rPr>
  </w:style>
  <w:style w:type="table" w:customStyle="1" w:styleId="TableGrid">
    <w:name w:val="TableGrid"/>
    <w:rsid w:val="00005F90"/>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3803</Words>
  <Characters>21683</Characters>
  <Application>Microsoft Office Word</Application>
  <DocSecurity>0</DocSecurity>
  <Lines>180</Lines>
  <Paragraphs>50</Paragraphs>
  <ScaleCrop>false</ScaleCrop>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Vladimir.Vagner</dc:creator>
  <cp:keywords/>
  <dc:description/>
  <cp:lastModifiedBy>Vladimír Vágner</cp:lastModifiedBy>
  <cp:revision>1</cp:revision>
  <dcterms:created xsi:type="dcterms:W3CDTF">2024-04-10T11:03:00Z</dcterms:created>
  <dcterms:modified xsi:type="dcterms:W3CDTF">2024-04-10T11:03:00Z</dcterms:modified>
</cp:coreProperties>
</file>