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C" w:rsidRDefault="00265C8C" w:rsidP="00265C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Pohybová aktivita v seniorském věku</w:t>
      </w:r>
    </w:p>
    <w:p w:rsidR="00095BBE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>Pravidelná pohybová aktivita slouží primárně jako prevence civilizačních chorob a sekundárně je součástí léčby již projevených onemocnění.</w:t>
      </w:r>
    </w:p>
    <w:p w:rsidR="00BF4D40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>Tělesná aktivita vede ke zvýšení aerobního metabolismu, ekonomizaci srdeční práce, snižuje krevní tlak a zlepšuje metabolismus tuků a cukrů</w:t>
      </w:r>
      <w:r w:rsidR="00265C8C">
        <w:rPr>
          <w:rFonts w:ascii="Times New Roman" w:hAnsi="Times New Roman"/>
          <w:sz w:val="24"/>
          <w:szCs w:val="24"/>
        </w:rPr>
        <w:t>.</w:t>
      </w:r>
    </w:p>
    <w:p w:rsidR="00BF4D40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>Zlepšuje se pohyblivost hrudního koše, bránice a ventilace.</w:t>
      </w:r>
    </w:p>
    <w:p w:rsidR="00BF4D40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>Pohybová aktivita v seniorském věku vede také ke snížení nadváhy způsobené nedostatkem pohybu, zlepšení průchodnosti střev (zácpa je jedním z následků hypokineze), zlepšení spánku a k úbytku depresivních stavů.</w:t>
      </w:r>
    </w:p>
    <w:p w:rsidR="00BF4D40" w:rsidRPr="00BF4D40" w:rsidRDefault="00BF4D40" w:rsidP="00BF4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Hlavní zásady pohybové aktivity seniorů: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Správné technické provedení pohybu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Posloupnost pohybových aktivit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Regenerační fáze po zatížení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Motivační činitel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Přiměřenost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Bezpečnost</w:t>
      </w:r>
    </w:p>
    <w:p w:rsidR="00BF4D40" w:rsidRPr="00BF4D40" w:rsidRDefault="00BF4D40" w:rsidP="00BF4D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Trvalost</w:t>
      </w:r>
    </w:p>
    <w:p w:rsidR="00BF4D40" w:rsidRDefault="00265C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Doporučuje se </w:t>
      </w:r>
      <w:r w:rsidR="00BF4D40" w:rsidRPr="00BF3F45">
        <w:rPr>
          <w:rFonts w:ascii="Times New Roman" w:hAnsi="Times New Roman"/>
          <w:sz w:val="24"/>
          <w:szCs w:val="24"/>
        </w:rPr>
        <w:t xml:space="preserve">zaměřovat pohybovou aktivitu v seniorském věku na vytrvalost a sílu, které v tomto období nejdéle udržují vysokou výkonnostní úroveň. Maximální zátěž však již kvůli riziku selhání organismu omezujeme. Snižujeme rychlostní aktivity a obratnostní cvičení volíme dle psychického stavu cvičenců.   </w:t>
      </w:r>
    </w:p>
    <w:p w:rsidR="00BF4D40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 xml:space="preserve">S vyšším věkem se snižuje úroveň maximální tepové frekvence, což je důležité pro stanovování optimální úrovně srdeční frekvence. Nepřímým ukazatelem určení maximální hodnoty je </w:t>
      </w:r>
      <w:proofErr w:type="spellStart"/>
      <w:r w:rsidRPr="00BF3F45">
        <w:rPr>
          <w:rFonts w:ascii="Times New Roman" w:hAnsi="Times New Roman"/>
          <w:sz w:val="24"/>
          <w:szCs w:val="24"/>
        </w:rPr>
        <w:t>Karvonenova</w:t>
      </w:r>
      <w:proofErr w:type="spellEnd"/>
      <w:r w:rsidRPr="00BF3F45">
        <w:rPr>
          <w:rFonts w:ascii="Times New Roman" w:hAnsi="Times New Roman"/>
          <w:sz w:val="24"/>
          <w:szCs w:val="24"/>
        </w:rPr>
        <w:t xml:space="preserve"> rovnice: </w:t>
      </w:r>
      <w:proofErr w:type="spellStart"/>
      <w:r w:rsidRPr="00BF3F45">
        <w:rPr>
          <w:rFonts w:ascii="Times New Roman" w:hAnsi="Times New Roman"/>
          <w:sz w:val="24"/>
          <w:szCs w:val="24"/>
        </w:rPr>
        <w:t>SFmax</w:t>
      </w:r>
      <w:proofErr w:type="spellEnd"/>
      <w:r w:rsidRPr="00BF3F45">
        <w:rPr>
          <w:rFonts w:ascii="Times New Roman" w:hAnsi="Times New Roman"/>
          <w:sz w:val="24"/>
          <w:szCs w:val="24"/>
        </w:rPr>
        <w:t xml:space="preserve">  = 220 tepů/min – věk měřené osoby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3F45">
        <w:rPr>
          <w:rFonts w:ascii="Times New Roman" w:hAnsi="Times New Roman"/>
          <w:sz w:val="24"/>
          <w:szCs w:val="24"/>
        </w:rPr>
        <w:t xml:space="preserve">Úroveň SF můžeme zjistit palpační metodou na tepně zápěstí, popř. pomocí </w:t>
      </w:r>
      <w:proofErr w:type="spellStart"/>
      <w:r w:rsidRPr="00BF3F45">
        <w:rPr>
          <w:rFonts w:ascii="Times New Roman" w:hAnsi="Times New Roman"/>
          <w:sz w:val="24"/>
          <w:szCs w:val="24"/>
        </w:rPr>
        <w:t>sporttestrů</w:t>
      </w:r>
      <w:proofErr w:type="spellEnd"/>
      <w:r w:rsidRPr="00BF3F45">
        <w:rPr>
          <w:rFonts w:ascii="Times New Roman" w:hAnsi="Times New Roman"/>
          <w:sz w:val="24"/>
          <w:szCs w:val="24"/>
        </w:rPr>
        <w:t>. Pro přesnější výpočet maximální SF je hodné použít zátěžový test, který je doporučován před zahájením pohybové aktivity zejména sportovcům a seniorům.</w:t>
      </w:r>
    </w:p>
    <w:p w:rsidR="00BF4D40" w:rsidRDefault="00265C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Lékaři </w:t>
      </w:r>
      <w:r w:rsidR="00BF4D40" w:rsidRPr="00BF3F45">
        <w:rPr>
          <w:rFonts w:ascii="Times New Roman" w:hAnsi="Times New Roman"/>
          <w:sz w:val="24"/>
          <w:szCs w:val="24"/>
        </w:rPr>
        <w:t>doporučují střední až nižší intenzitu zatížení, 50-60</w:t>
      </w:r>
      <w:r w:rsidR="00BF4D40">
        <w:rPr>
          <w:rFonts w:ascii="Times New Roman" w:hAnsi="Times New Roman"/>
          <w:sz w:val="24"/>
          <w:szCs w:val="24"/>
        </w:rPr>
        <w:t xml:space="preserve"> </w:t>
      </w:r>
      <w:r w:rsidR="00BF4D40" w:rsidRPr="00BF3F45">
        <w:rPr>
          <w:rFonts w:ascii="Times New Roman" w:hAnsi="Times New Roman"/>
          <w:sz w:val="24"/>
          <w:szCs w:val="24"/>
        </w:rPr>
        <w:t xml:space="preserve">% </w:t>
      </w:r>
      <w:r w:rsidR="00BF4D40">
        <w:rPr>
          <w:rFonts w:ascii="Times New Roman" w:hAnsi="Times New Roman"/>
          <w:sz w:val="24"/>
          <w:szCs w:val="24"/>
        </w:rPr>
        <w:t>maximální srdeční frekvence</w:t>
      </w:r>
      <w:r w:rsidR="00BF4D40" w:rsidRPr="00BF3F45">
        <w:rPr>
          <w:rFonts w:ascii="Times New Roman" w:hAnsi="Times New Roman"/>
          <w:sz w:val="24"/>
          <w:szCs w:val="24"/>
        </w:rPr>
        <w:t xml:space="preserve"> pro netrénované jedince. Intenzita se postupně po několika týdnech může zvýšit na 60-70</w:t>
      </w:r>
      <w:r w:rsidR="00BF4D40">
        <w:rPr>
          <w:rFonts w:ascii="Times New Roman" w:hAnsi="Times New Roman"/>
          <w:sz w:val="24"/>
          <w:szCs w:val="24"/>
        </w:rPr>
        <w:t xml:space="preserve"> </w:t>
      </w:r>
      <w:r w:rsidR="00BF4D40" w:rsidRPr="00BF3F45">
        <w:rPr>
          <w:rFonts w:ascii="Times New Roman" w:hAnsi="Times New Roman"/>
          <w:sz w:val="24"/>
          <w:szCs w:val="24"/>
        </w:rPr>
        <w:t>%</w:t>
      </w:r>
      <w:r w:rsidR="00BF4D40" w:rsidRPr="00E95C21">
        <w:rPr>
          <w:rFonts w:ascii="Times New Roman" w:hAnsi="Times New Roman"/>
          <w:sz w:val="24"/>
          <w:szCs w:val="24"/>
        </w:rPr>
        <w:t xml:space="preserve"> </w:t>
      </w:r>
      <w:r w:rsidR="00BF4D40">
        <w:rPr>
          <w:rFonts w:ascii="Times New Roman" w:hAnsi="Times New Roman"/>
          <w:sz w:val="24"/>
          <w:szCs w:val="24"/>
        </w:rPr>
        <w:t>maximální srdeční frekvence</w:t>
      </w:r>
      <w:r w:rsidR="00BF4D40" w:rsidRPr="00BF3F45">
        <w:rPr>
          <w:rFonts w:ascii="Times New Roman" w:hAnsi="Times New Roman"/>
          <w:sz w:val="24"/>
          <w:szCs w:val="24"/>
        </w:rPr>
        <w:t>. Aerobní aktivitu je vhodné zařadit 2-3x týdně. Celková pohybová aktivita seniorů by měla být rozdělena na aerobní aktivitu – 50</w:t>
      </w:r>
      <w:r w:rsidR="00BF4D40">
        <w:rPr>
          <w:rFonts w:ascii="Times New Roman" w:hAnsi="Times New Roman"/>
          <w:sz w:val="24"/>
          <w:szCs w:val="24"/>
        </w:rPr>
        <w:t xml:space="preserve"> </w:t>
      </w:r>
      <w:r w:rsidR="00BF4D40" w:rsidRPr="00BF3F45">
        <w:rPr>
          <w:rFonts w:ascii="Times New Roman" w:hAnsi="Times New Roman"/>
          <w:sz w:val="24"/>
          <w:szCs w:val="24"/>
        </w:rPr>
        <w:t>%, trénink koordinace, rovnováhy a flexibility – 30</w:t>
      </w:r>
      <w:r w:rsidR="00BF4D40">
        <w:rPr>
          <w:rFonts w:ascii="Times New Roman" w:hAnsi="Times New Roman"/>
          <w:sz w:val="24"/>
          <w:szCs w:val="24"/>
        </w:rPr>
        <w:t xml:space="preserve"> </w:t>
      </w:r>
      <w:r w:rsidR="00BF4D40" w:rsidRPr="00BF3F45">
        <w:rPr>
          <w:rFonts w:ascii="Times New Roman" w:hAnsi="Times New Roman"/>
          <w:sz w:val="24"/>
          <w:szCs w:val="24"/>
        </w:rPr>
        <w:t>% a silový trénink – 20</w:t>
      </w:r>
      <w:r w:rsidR="00BF4D40">
        <w:rPr>
          <w:rFonts w:ascii="Times New Roman" w:hAnsi="Times New Roman"/>
          <w:sz w:val="24"/>
          <w:szCs w:val="24"/>
        </w:rPr>
        <w:t xml:space="preserve"> </w:t>
      </w:r>
      <w:r w:rsidR="00BF4D40" w:rsidRPr="00BF3F45">
        <w:rPr>
          <w:rFonts w:ascii="Times New Roman" w:hAnsi="Times New Roman"/>
          <w:sz w:val="24"/>
          <w:szCs w:val="24"/>
        </w:rPr>
        <w:t xml:space="preserve">%.  </w:t>
      </w:r>
    </w:p>
    <w:p w:rsidR="00BF4D40" w:rsidRDefault="00BF4D40">
      <w:pPr>
        <w:rPr>
          <w:rFonts w:ascii="Times New Roman" w:hAnsi="Times New Roman"/>
          <w:sz w:val="24"/>
          <w:szCs w:val="24"/>
        </w:rPr>
      </w:pPr>
      <w:r w:rsidRPr="00BF3F45">
        <w:rPr>
          <w:rFonts w:ascii="Times New Roman" w:hAnsi="Times New Roman"/>
          <w:sz w:val="24"/>
          <w:szCs w:val="24"/>
        </w:rPr>
        <w:t>Při provádění pohybové aktivity je vhodné sledovat a hodnotit také subjektivní pocity, které zátěž u jedinců vyvolává. Subjektivní pocity při zatížení je možno rozdělit například do pětibodové škály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660" w:firstRow="1" w:lastRow="1" w:firstColumn="0" w:lastColumn="0" w:noHBand="1" w:noVBand="1"/>
      </w:tblPr>
      <w:tblGrid>
        <w:gridCol w:w="2385"/>
        <w:gridCol w:w="3268"/>
        <w:gridCol w:w="3635"/>
      </w:tblGrid>
      <w:tr w:rsidR="00BF4D40" w:rsidRPr="00BF4D40" w:rsidTr="00072D83">
        <w:tc>
          <w:tcPr>
            <w:tcW w:w="128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lastRenderedPageBreak/>
              <w:t>Intenzita</w:t>
            </w:r>
          </w:p>
        </w:tc>
        <w:tc>
          <w:tcPr>
            <w:tcW w:w="175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>Subjektivní hodnocení</w:t>
            </w:r>
          </w:p>
        </w:tc>
        <w:tc>
          <w:tcPr>
            <w:tcW w:w="1957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Průměrná </w:t>
            </w:r>
            <w:proofErr w:type="gramStart"/>
            <w:r w:rsidRPr="00BF4D40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>SF  (tepů</w:t>
            </w:r>
            <w:proofErr w:type="gramEnd"/>
            <w:r w:rsidRPr="00BF4D40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za min.)</w:t>
            </w:r>
          </w:p>
        </w:tc>
      </w:tr>
      <w:tr w:rsidR="00BF4D40" w:rsidRPr="00BF4D40" w:rsidTr="00072D83">
        <w:tc>
          <w:tcPr>
            <w:tcW w:w="1284" w:type="pct"/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1</w:t>
            </w:r>
          </w:p>
        </w:tc>
        <w:tc>
          <w:tcPr>
            <w:tcW w:w="1759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Bez zadýchání a únavy</w:t>
            </w:r>
          </w:p>
        </w:tc>
        <w:tc>
          <w:tcPr>
            <w:tcW w:w="1957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77</w:t>
            </w:r>
          </w:p>
        </w:tc>
      </w:tr>
      <w:tr w:rsidR="00BF4D40" w:rsidRPr="00BF4D40" w:rsidTr="00072D83">
        <w:tc>
          <w:tcPr>
            <w:tcW w:w="1284" w:type="pct"/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2</w:t>
            </w:r>
          </w:p>
        </w:tc>
        <w:tc>
          <w:tcPr>
            <w:tcW w:w="1759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S mírným zadýcháním</w:t>
            </w:r>
          </w:p>
        </w:tc>
        <w:tc>
          <w:tcPr>
            <w:tcW w:w="1957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93</w:t>
            </w:r>
          </w:p>
        </w:tc>
      </w:tr>
      <w:tr w:rsidR="00BF4D40" w:rsidRPr="00BF4D40" w:rsidTr="00072D83">
        <w:tc>
          <w:tcPr>
            <w:tcW w:w="1284" w:type="pct"/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3</w:t>
            </w:r>
          </w:p>
        </w:tc>
        <w:tc>
          <w:tcPr>
            <w:tcW w:w="1759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S počátkem pocení</w:t>
            </w:r>
          </w:p>
        </w:tc>
        <w:tc>
          <w:tcPr>
            <w:tcW w:w="1957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108</w:t>
            </w:r>
          </w:p>
        </w:tc>
      </w:tr>
      <w:tr w:rsidR="00BF4D40" w:rsidRPr="00BF4D40" w:rsidTr="00072D83">
        <w:tc>
          <w:tcPr>
            <w:tcW w:w="1284" w:type="pct"/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4</w:t>
            </w:r>
          </w:p>
        </w:tc>
        <w:tc>
          <w:tcPr>
            <w:tcW w:w="1759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Se značným zadýcháním</w:t>
            </w:r>
          </w:p>
        </w:tc>
        <w:tc>
          <w:tcPr>
            <w:tcW w:w="1957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127</w:t>
            </w:r>
          </w:p>
        </w:tc>
      </w:tr>
      <w:tr w:rsidR="00BF4D40" w:rsidRPr="00BF4D40" w:rsidTr="00072D83">
        <w:tc>
          <w:tcPr>
            <w:tcW w:w="1284" w:type="pct"/>
            <w:noWrap/>
          </w:tcPr>
          <w:p w:rsidR="00BF4D40" w:rsidRPr="00BF4D40" w:rsidRDefault="00BF4D40" w:rsidP="00BF4D40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5</w:t>
            </w:r>
          </w:p>
        </w:tc>
        <w:tc>
          <w:tcPr>
            <w:tcW w:w="1759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BF4D40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Ukončeno pro únavu</w:t>
            </w:r>
          </w:p>
        </w:tc>
        <w:tc>
          <w:tcPr>
            <w:tcW w:w="1957" w:type="pct"/>
          </w:tcPr>
          <w:p w:rsidR="00BF4D40" w:rsidRPr="00BF4D40" w:rsidRDefault="00BF4D40" w:rsidP="00BF4D40">
            <w:pPr>
              <w:tabs>
                <w:tab w:val="decimal" w:pos="360"/>
              </w:tabs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:rsidR="00BF4D40" w:rsidRDefault="00BF4D40"/>
    <w:p w:rsidR="00BF4D40" w:rsidRPr="00BF4D40" w:rsidRDefault="00265C8C" w:rsidP="00BF4D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C8C">
        <w:rPr>
          <w:rFonts w:ascii="Times New Roman" w:eastAsia="Calibri" w:hAnsi="Times New Roman" w:cs="Times New Roman"/>
          <w:b/>
          <w:sz w:val="24"/>
          <w:szCs w:val="24"/>
        </w:rPr>
        <w:t xml:space="preserve">Gerontologové </w:t>
      </w:r>
      <w:r w:rsidR="00BF4D40" w:rsidRPr="00BF4D40">
        <w:rPr>
          <w:rFonts w:ascii="Times New Roman" w:eastAsia="Calibri" w:hAnsi="Times New Roman" w:cs="Times New Roman"/>
          <w:b/>
          <w:sz w:val="24"/>
          <w:szCs w:val="24"/>
        </w:rPr>
        <w:t>upozorňují na následující riziková cvičení</w:t>
      </w:r>
      <w:r w:rsidR="00BF4D40" w:rsidRPr="00BF4D40">
        <w:rPr>
          <w:rFonts w:ascii="Times New Roman" w:eastAsia="Calibri" w:hAnsi="Times New Roman" w:cs="Times New Roman"/>
          <w:sz w:val="24"/>
          <w:szCs w:val="24"/>
        </w:rPr>
        <w:t>:</w:t>
      </w:r>
      <w:r w:rsidR="00BF4D40" w:rsidRPr="00BF4D40">
        <w:rPr>
          <w:rFonts w:ascii="Times New Roman" w:eastAsia="Calibri" w:hAnsi="Times New Roman" w:cs="Times New Roman"/>
          <w:sz w:val="24"/>
          <w:szCs w:val="24"/>
        </w:rPr>
        <w:tab/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prudké změny poloh a pohybů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rychlé tempo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izometrické cvičení se zadržováním dechu</w:t>
      </w:r>
      <w:r w:rsidR="00265C8C">
        <w:rPr>
          <w:rFonts w:ascii="Times New Roman" w:eastAsia="Calibri" w:hAnsi="Times New Roman" w:cs="Times New Roman"/>
          <w:sz w:val="24"/>
          <w:szCs w:val="24"/>
        </w:rPr>
        <w:t xml:space="preserve"> (zvýšení </w:t>
      </w:r>
      <w:proofErr w:type="spellStart"/>
      <w:r w:rsidR="00265C8C">
        <w:rPr>
          <w:rFonts w:ascii="Times New Roman" w:eastAsia="Calibri" w:hAnsi="Times New Roman" w:cs="Times New Roman"/>
          <w:sz w:val="24"/>
          <w:szCs w:val="24"/>
        </w:rPr>
        <w:t>vnitrohrudního</w:t>
      </w:r>
      <w:proofErr w:type="spellEnd"/>
      <w:r w:rsidR="00265C8C">
        <w:rPr>
          <w:rFonts w:ascii="Times New Roman" w:eastAsia="Calibri" w:hAnsi="Times New Roman" w:cs="Times New Roman"/>
          <w:sz w:val="24"/>
          <w:szCs w:val="24"/>
        </w:rPr>
        <w:t xml:space="preserve"> tlaku)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skoky, přeskoky, doskoky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polohy hlavy – záklony, hluboké předklony, rotace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náročnější hry a soutěže</w:t>
      </w:r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 (pády, srážky, psychické přetížení)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spinální cvičení při podezření na výhřez meziobratlové plotýnky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cvičení na nářadí (bradla, kladina, kruhy, </w:t>
      </w:r>
      <w:proofErr w:type="gramStart"/>
      <w:r w:rsidRPr="00BF4D40">
        <w:rPr>
          <w:rFonts w:ascii="Times New Roman" w:eastAsia="Calibri" w:hAnsi="Times New Roman" w:cs="Times New Roman"/>
          <w:sz w:val="24"/>
          <w:szCs w:val="24"/>
        </w:rPr>
        <w:t>hrazda,..)</w:t>
      </w:r>
      <w:proofErr w:type="gramEnd"/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cvičení se zátěží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jednostranné cviky</w:t>
      </w:r>
    </w:p>
    <w:p w:rsidR="00BF4D40" w:rsidRPr="00BF4D40" w:rsidRDefault="00BF4D40" w:rsidP="00BF4D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  <w:u w:val="single"/>
        </w:rPr>
        <w:t>dlouhodobé zatěžování nosných kloubů</w:t>
      </w:r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 (zejména při obezitě a kloubních deformitách)</w:t>
      </w:r>
    </w:p>
    <w:p w:rsidR="00BF4D40" w:rsidRPr="00BF4D40" w:rsidRDefault="00BF4D40" w:rsidP="00BF4D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D40" w:rsidRPr="00BF4D40" w:rsidRDefault="00BF4D40" w:rsidP="00BF4D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Po prostudování četných literárních pramenů týkajících se vhodného zatěžování organismu jedinců v období </w:t>
      </w:r>
      <w:proofErr w:type="spellStart"/>
      <w:r w:rsidRPr="00BF4D40">
        <w:rPr>
          <w:rFonts w:ascii="Times New Roman" w:eastAsia="Calibri" w:hAnsi="Times New Roman" w:cs="Times New Roman"/>
          <w:sz w:val="24"/>
          <w:szCs w:val="24"/>
        </w:rPr>
        <w:t>sénia</w:t>
      </w:r>
      <w:proofErr w:type="spellEnd"/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 obecně doporučujeme (s přihlédnutím k aktuálnímu i dlouhodobému zdravotnímu stavu):</w:t>
      </w:r>
    </w:p>
    <w:p w:rsidR="00BF4D40" w:rsidRPr="00BF4D40" w:rsidRDefault="00BF4D40" w:rsidP="00BF4D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sz w:val="24"/>
          <w:szCs w:val="24"/>
        </w:rPr>
        <w:t>vytrvalostní cyklickou činnost – pěší turistika, cykloturistika, lyžařská turistika, plavání)</w:t>
      </w:r>
    </w:p>
    <w:p w:rsidR="00BF4D40" w:rsidRPr="00BF4D40" w:rsidRDefault="00BF4D40" w:rsidP="00BF4D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40">
        <w:rPr>
          <w:rFonts w:ascii="Times New Roman" w:eastAsia="Calibri" w:hAnsi="Times New Roman" w:cs="Times New Roman"/>
          <w:b/>
          <w:sz w:val="24"/>
          <w:szCs w:val="24"/>
        </w:rPr>
        <w:t>zdravotní cvičení</w:t>
      </w:r>
      <w:r w:rsidRPr="00BF4D40">
        <w:rPr>
          <w:rFonts w:ascii="Times New Roman" w:eastAsia="Calibri" w:hAnsi="Times New Roman" w:cs="Times New Roman"/>
          <w:sz w:val="24"/>
          <w:szCs w:val="24"/>
        </w:rPr>
        <w:t xml:space="preserve"> – cvičení kloubní pohyblivosti, protahovací cvičení, posilovací cvičení, relaxační cvičení, dechová cvičení, rytmická cvičení </w:t>
      </w:r>
    </w:p>
    <w:p w:rsidR="00BF4D40" w:rsidRDefault="00BF4D40"/>
    <w:p w:rsidR="00265C8C" w:rsidRDefault="00265C8C">
      <w:r>
        <w:t>Úkol:</w:t>
      </w:r>
      <w:r>
        <w:tab/>
        <w:t>Sestavit tréninkovou jednotku pro seniora s přihlédnutím k aktuálnímu zdravotnímu stavu zaměřenou na cvičení kloubní pohyblivosti, posilování a protažení.</w:t>
      </w:r>
      <w:bookmarkStart w:id="0" w:name="_GoBack"/>
      <w:bookmarkEnd w:id="0"/>
    </w:p>
    <w:sectPr w:rsidR="0026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A58"/>
    <w:multiLevelType w:val="hybridMultilevel"/>
    <w:tmpl w:val="703E5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5345"/>
    <w:multiLevelType w:val="hybridMultilevel"/>
    <w:tmpl w:val="921C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D68E1"/>
    <w:multiLevelType w:val="hybridMultilevel"/>
    <w:tmpl w:val="EC0C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40"/>
    <w:rsid w:val="00265C8C"/>
    <w:rsid w:val="009162D8"/>
    <w:rsid w:val="00BF4D40"/>
    <w:rsid w:val="00C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2013-04-01T17:07:00Z</dcterms:created>
  <dcterms:modified xsi:type="dcterms:W3CDTF">2013-04-01T17:23:00Z</dcterms:modified>
</cp:coreProperties>
</file>