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C5" w:rsidRDefault="008C51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8D70" wp14:editId="4245E7E4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Protokol č. 1</w:t>
                            </w:r>
                          </w:p>
                          <w:p w:rsidR="009446C5" w:rsidRDefault="00E20848" w:rsidP="009446C5">
                            <w:pPr>
                              <w:jc w:val="center"/>
                            </w:pPr>
                            <w:r>
                              <w:t>Aplikovaná patofyziologie a epidemioloie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8D70" id="Obdélník 2" o:spid="_x0000_s1026" style="position:absolute;margin-left:295.15pt;margin-top:-45.35pt;width:211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>Protokol č. 1</w:t>
                      </w:r>
                    </w:p>
                    <w:p w:rsidR="009446C5" w:rsidRDefault="00E20848" w:rsidP="009446C5">
                      <w:pPr>
                        <w:jc w:val="center"/>
                      </w:pPr>
                      <w:r>
                        <w:t>Aplikovaná patofyziologie a epidemioloie</w:t>
                      </w:r>
                    </w:p>
                  </w:txbxContent>
                </v:textbox>
              </v:rect>
            </w:pict>
          </mc:Fallback>
        </mc:AlternateContent>
      </w:r>
      <w:r w:rsidR="009446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FF570" wp14:editId="78F7AB3E">
                <wp:simplePos x="0" y="0"/>
                <wp:positionH relativeFrom="column">
                  <wp:posOffset>-261620</wp:posOffset>
                </wp:positionH>
                <wp:positionV relativeFrom="paragraph">
                  <wp:posOffset>195580</wp:posOffset>
                </wp:positionV>
                <wp:extent cx="6591300" cy="3238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E20848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EPIDEMIOLOGIE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F57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-20.6pt;margin-top:15.4pt;width:519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" fillcolor="white [3201]" strokeweight=".5pt">
                <v:textbox>
                  <w:txbxContent>
                    <w:p w:rsidR="009446C5" w:rsidRPr="00284F5A" w:rsidRDefault="00E20848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EPIDEMIOLOGIE</w:t>
                      </w:r>
                    </w:p>
                  </w:txbxContent>
                </v:textbox>
              </v:shape>
            </w:pict>
          </mc:Fallback>
        </mc:AlternateContent>
      </w:r>
    </w:p>
    <w:p w:rsidR="009446C5" w:rsidRPr="009446C5" w:rsidRDefault="009446C5" w:rsidP="009446C5"/>
    <w:p w:rsidR="009446C5" w:rsidRDefault="008C514E" w:rsidP="009446C5"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 xml:space="preserve">: </w:t>
      </w:r>
      <w:r w:rsidR="00E20848">
        <w:t>observační a intervenční studie, kohortová studie, studie případů a kontrol, průřezová studie, incidence, prevalence, úmrtnost, smrtnost</w:t>
      </w:r>
    </w:p>
    <w:p w:rsidR="008C514E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 xml:space="preserve">cvičení: </w:t>
      </w:r>
      <w:r w:rsidR="00E20848">
        <w:rPr>
          <w:b/>
        </w:rPr>
        <w:t>seznámit se se základy obecné epidemiologie.</w:t>
      </w:r>
      <w:r>
        <w:t xml:space="preserve"> Naučit se získané výsledky interpretovat.</w:t>
      </w:r>
    </w:p>
    <w:p w:rsidR="008C514E" w:rsidRPr="008C514E" w:rsidRDefault="008C514E" w:rsidP="009446C5"/>
    <w:tbl>
      <w:tblPr>
        <w:tblStyle w:val="Mkatabulky"/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E20848" w:rsidTr="00E20848">
        <w:tc>
          <w:tcPr>
            <w:tcW w:w="5637" w:type="dxa"/>
          </w:tcPr>
          <w:p w:rsidR="00E20848" w:rsidRDefault="00E20848" w:rsidP="009446C5">
            <w:r>
              <w:t>Observační studie</w:t>
            </w:r>
          </w:p>
          <w:p w:rsidR="00E20848" w:rsidRDefault="00E20848" w:rsidP="00E20848">
            <w:pPr>
              <w:pStyle w:val="Odstavecseseznamem"/>
              <w:numPr>
                <w:ilvl w:val="0"/>
                <w:numId w:val="1"/>
              </w:numPr>
            </w:pPr>
            <w:r>
              <w:t>deskriptivní</w:t>
            </w:r>
          </w:p>
          <w:p w:rsidR="00E20848" w:rsidRDefault="00E20848" w:rsidP="00E20848">
            <w:pPr>
              <w:pStyle w:val="Odstavecseseznamem"/>
              <w:numPr>
                <w:ilvl w:val="0"/>
                <w:numId w:val="1"/>
              </w:numPr>
            </w:pPr>
            <w:r>
              <w:t>analytické</w:t>
            </w:r>
          </w:p>
          <w:p w:rsidR="00E20848" w:rsidRDefault="00E20848" w:rsidP="009446C5"/>
          <w:p w:rsidR="00E20848" w:rsidRDefault="00E20848" w:rsidP="009446C5"/>
          <w:p w:rsidR="00811768" w:rsidRDefault="0081176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E20848" w:rsidRDefault="00E20848" w:rsidP="009446C5">
            <w:r>
              <w:t>Intervenční studie</w:t>
            </w:r>
          </w:p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E20848" w:rsidRDefault="00E20848" w:rsidP="009446C5">
            <w:r>
              <w:t>Incidence</w:t>
            </w:r>
          </w:p>
          <w:p w:rsidR="00E20848" w:rsidRDefault="00E20848" w:rsidP="009446C5"/>
          <w:p w:rsidR="00E20848" w:rsidRDefault="00E20848" w:rsidP="009446C5"/>
          <w:p w:rsidR="00811768" w:rsidRDefault="00811768" w:rsidP="009446C5"/>
          <w:p w:rsidR="00811768" w:rsidRDefault="00811768" w:rsidP="009446C5"/>
          <w:p w:rsidR="00811768" w:rsidRDefault="00811768" w:rsidP="009446C5"/>
          <w:p w:rsidR="00E20848" w:rsidRDefault="00E20848" w:rsidP="009446C5"/>
          <w:p w:rsidR="00E20848" w:rsidRDefault="00E20848" w:rsidP="009446C5"/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E20848" w:rsidRDefault="00E20848" w:rsidP="009446C5">
            <w:r>
              <w:t>prevalence</w:t>
            </w:r>
          </w:p>
          <w:p w:rsidR="00E20848" w:rsidRDefault="00E20848" w:rsidP="009446C5"/>
          <w:p w:rsidR="00811768" w:rsidRDefault="00811768" w:rsidP="009446C5"/>
          <w:p w:rsidR="00811768" w:rsidRDefault="00811768" w:rsidP="009446C5"/>
          <w:p w:rsidR="00811768" w:rsidRDefault="00811768" w:rsidP="009446C5"/>
          <w:p w:rsidR="00E20848" w:rsidRDefault="00E20848" w:rsidP="009446C5"/>
          <w:p w:rsidR="00E20848" w:rsidRDefault="00E20848" w:rsidP="009446C5"/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E20848" w:rsidRDefault="00E20848" w:rsidP="009446C5">
            <w:r>
              <w:t>Úmrtnost, smrtnost</w:t>
            </w:r>
          </w:p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3521F6" w:rsidTr="00E20848">
        <w:tc>
          <w:tcPr>
            <w:tcW w:w="5637" w:type="dxa"/>
          </w:tcPr>
          <w:p w:rsidR="003521F6" w:rsidRDefault="003521F6" w:rsidP="003521F6">
            <w:pPr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lastRenderedPageBreak/>
              <w:t xml:space="preserve">V kohortě 10 000 sledovaných mužů ve věkové kategorii 66-75 let je v průběhu jednoho roku diagnostikováno 100 případů karcinomů prostaty. </w:t>
            </w:r>
          </w:p>
          <w:p w:rsidR="003521F6" w:rsidRPr="003521F6" w:rsidRDefault="003521F6" w:rsidP="003521F6">
            <w:r>
              <w:t>Vypočítejte kumulativní incidenci.</w:t>
            </w:r>
          </w:p>
          <w:p w:rsidR="003521F6" w:rsidRPr="002E409D" w:rsidRDefault="003521F6" w:rsidP="003521F6">
            <w:pPr>
              <w:rPr>
                <w:i/>
                <w:iCs/>
              </w:rPr>
            </w:pPr>
          </w:p>
        </w:tc>
        <w:tc>
          <w:tcPr>
            <w:tcW w:w="4110" w:type="dxa"/>
          </w:tcPr>
          <w:p w:rsidR="003521F6" w:rsidRDefault="003521F6" w:rsidP="009446C5"/>
        </w:tc>
      </w:tr>
      <w:tr w:rsidR="00E20848" w:rsidTr="00E20848">
        <w:tc>
          <w:tcPr>
            <w:tcW w:w="5637" w:type="dxa"/>
          </w:tcPr>
          <w:p w:rsidR="00E20848" w:rsidRPr="003521F6" w:rsidRDefault="00E20848" w:rsidP="00E20848">
            <w:pPr>
              <w:rPr>
                <w:sz w:val="20"/>
                <w:szCs w:val="20"/>
              </w:rPr>
            </w:pPr>
            <w:r w:rsidRPr="003521F6">
              <w:rPr>
                <w:iCs/>
                <w:sz w:val="20"/>
                <w:szCs w:val="20"/>
              </w:rPr>
              <w:t xml:space="preserve">V roce 2012 ve městě s 850 000 obyvateli (střední stav) bylo zaznamenáno 1372 úmrtí. Z toho úmrtí na chřipku a pneumonii bylo hlášeno u 236 osob. </w:t>
            </w:r>
            <w:r w:rsidRPr="003521F6">
              <w:rPr>
                <w:iCs/>
                <w:sz w:val="20"/>
                <w:szCs w:val="20"/>
              </w:rPr>
              <w:br/>
              <w:t xml:space="preserve">Rozdělení úmrtí na chřipku a pneumonii dle věku: </w:t>
            </w:r>
            <w:r w:rsidRPr="003521F6">
              <w:rPr>
                <w:iCs/>
                <w:sz w:val="20"/>
                <w:szCs w:val="20"/>
              </w:rPr>
              <w:br/>
              <w:t> </w:t>
            </w:r>
          </w:p>
          <w:tbl>
            <w:tblPr>
              <w:tblW w:w="537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117"/>
              <w:gridCol w:w="1701"/>
              <w:gridCol w:w="1559"/>
            </w:tblGrid>
            <w:tr w:rsidR="00E20848" w:rsidRPr="003521F6" w:rsidTr="00E20848"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Věková skupina (roky)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3168"/>
                    <w:left w:val="single" w:sz="8" w:space="0" w:color="000000"/>
                    <w:bottom w:val="single" w:sz="8" w:space="0" w:color="003168"/>
                    <w:right w:val="single" w:sz="8" w:space="0" w:color="00316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Počet zemřelých </w:t>
                  </w:r>
                </w:p>
              </w:tc>
              <w:tc>
                <w:tcPr>
                  <w:tcW w:w="1559" w:type="dxa"/>
                  <w:tcBorders>
                    <w:top w:val="single" w:sz="8" w:space="0" w:color="803468"/>
                    <w:left w:val="single" w:sz="8" w:space="0" w:color="003168"/>
                    <w:bottom w:val="single" w:sz="8" w:space="0" w:color="803468"/>
                    <w:right w:val="single" w:sz="8" w:space="0" w:color="80346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Počet obyvatel </w:t>
                  </w:r>
                </w:p>
              </w:tc>
            </w:tr>
            <w:tr w:rsidR="00E20848" w:rsidRPr="003521F6" w:rsidTr="003521F6">
              <w:trPr>
                <w:trHeight w:val="246"/>
              </w:trPr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C05633"/>
                    <w:bottom w:val="single" w:sz="8" w:space="0" w:color="C05633"/>
                    <w:right w:val="single" w:sz="8" w:space="0" w:color="C05633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- 1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3168"/>
                    <w:left w:val="single" w:sz="8" w:space="0" w:color="C05633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559" w:type="dxa"/>
                  <w:tcBorders>
                    <w:top w:val="single" w:sz="8" w:space="0" w:color="803468"/>
                    <w:left w:val="single" w:sz="8" w:space="0" w:color="000928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1 000 </w:t>
                  </w:r>
                </w:p>
              </w:tc>
            </w:tr>
            <w:tr w:rsidR="00E20848" w:rsidRPr="003521F6" w:rsidTr="00E20848">
              <w:tc>
                <w:tcPr>
                  <w:tcW w:w="2117" w:type="dxa"/>
                  <w:tcBorders>
                    <w:top w:val="single" w:sz="8" w:space="0" w:color="C05633"/>
                    <w:left w:val="single" w:sz="8" w:space="0" w:color="205733"/>
                    <w:bottom w:val="single" w:sz="8" w:space="0" w:color="205733"/>
                    <w:right w:val="single" w:sz="8" w:space="0" w:color="205733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2- 19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928"/>
                    <w:left w:val="single" w:sz="8" w:space="0" w:color="205733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10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928"/>
                    <w:left w:val="single" w:sz="8" w:space="0" w:color="000928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292 000 </w:t>
                  </w:r>
                </w:p>
              </w:tc>
            </w:tr>
            <w:tr w:rsidR="00E20848" w:rsidRPr="003521F6" w:rsidTr="00E20848">
              <w:tc>
                <w:tcPr>
                  <w:tcW w:w="2117" w:type="dxa"/>
                  <w:tcBorders>
                    <w:top w:val="single" w:sz="8" w:space="0" w:color="205733"/>
                    <w:left w:val="single" w:sz="8" w:space="0" w:color="405833"/>
                    <w:bottom w:val="single" w:sz="8" w:space="0" w:color="405833"/>
                    <w:right w:val="single" w:sz="8" w:space="0" w:color="405833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20 - 39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928"/>
                    <w:left w:val="single" w:sz="8" w:space="0" w:color="405833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21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928"/>
                    <w:left w:val="single" w:sz="8" w:space="0" w:color="000928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406 000 </w:t>
                  </w:r>
                </w:p>
              </w:tc>
            </w:tr>
            <w:tr w:rsidR="00E20848" w:rsidRPr="003521F6" w:rsidTr="00E20848">
              <w:tc>
                <w:tcPr>
                  <w:tcW w:w="2117" w:type="dxa"/>
                  <w:tcBorders>
                    <w:top w:val="single" w:sz="8" w:space="0" w:color="405833"/>
                    <w:left w:val="single" w:sz="8" w:space="0" w:color="A05833"/>
                    <w:bottom w:val="single" w:sz="8" w:space="0" w:color="A05833"/>
                    <w:right w:val="single" w:sz="8" w:space="0" w:color="A05833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40 - 59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928"/>
                    <w:left w:val="single" w:sz="8" w:space="0" w:color="A05833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928"/>
                    <w:left w:val="single" w:sz="8" w:space="0" w:color="000928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97 000 </w:t>
                  </w:r>
                </w:p>
              </w:tc>
            </w:tr>
            <w:tr w:rsidR="00E20848" w:rsidRPr="003521F6" w:rsidTr="00E20848">
              <w:tc>
                <w:tcPr>
                  <w:tcW w:w="2117" w:type="dxa"/>
                  <w:tcBorders>
                    <w:top w:val="single" w:sz="8" w:space="0" w:color="A05833"/>
                    <w:left w:val="single" w:sz="8" w:space="0" w:color="005933"/>
                    <w:bottom w:val="single" w:sz="8" w:space="0" w:color="005933"/>
                    <w:right w:val="single" w:sz="8" w:space="0" w:color="005933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60 +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928"/>
                    <w:left w:val="single" w:sz="8" w:space="0" w:color="005933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123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928"/>
                    <w:left w:val="single" w:sz="8" w:space="0" w:color="000928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54 000 </w:t>
                  </w:r>
                </w:p>
              </w:tc>
            </w:tr>
            <w:tr w:rsidR="00E20848" w:rsidRPr="003521F6" w:rsidTr="003521F6">
              <w:trPr>
                <w:trHeight w:val="217"/>
              </w:trPr>
              <w:tc>
                <w:tcPr>
                  <w:tcW w:w="2117" w:type="dxa"/>
                  <w:tcBorders>
                    <w:top w:val="single" w:sz="8" w:space="0" w:color="005933"/>
                    <w:left w:val="single" w:sz="8" w:space="0" w:color="605933"/>
                    <w:bottom w:val="single" w:sz="8" w:space="0" w:color="605933"/>
                    <w:right w:val="single" w:sz="8" w:space="0" w:color="605933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Celkem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928"/>
                    <w:left w:val="single" w:sz="8" w:space="0" w:color="605933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236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928"/>
                    <w:left w:val="single" w:sz="8" w:space="0" w:color="000928"/>
                    <w:bottom w:val="single" w:sz="8" w:space="0" w:color="000928"/>
                    <w:right w:val="single" w:sz="8" w:space="0" w:color="000928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20848" w:rsidRPr="003521F6" w:rsidRDefault="00E20848" w:rsidP="00E20848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3521F6">
                    <w:rPr>
                      <w:i/>
                      <w:iCs/>
                      <w:sz w:val="16"/>
                      <w:szCs w:val="16"/>
                    </w:rPr>
                    <w:t xml:space="preserve">850 000 </w:t>
                  </w:r>
                </w:p>
              </w:tc>
            </w:tr>
          </w:tbl>
          <w:p w:rsidR="00E20848" w:rsidRDefault="00E20848" w:rsidP="00E20848"/>
          <w:p w:rsidR="00E20848" w:rsidRPr="003521F6" w:rsidRDefault="00E20848" w:rsidP="00E20848">
            <w:pPr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>Vypočítejte:</w:t>
            </w:r>
            <w:r w:rsidRPr="003521F6">
              <w:rPr>
                <w:sz w:val="20"/>
                <w:szCs w:val="20"/>
              </w:rPr>
              <w:br/>
              <w:t>1. Jaká byla celková úmrtnost v roce 2012 na 100 000 obyvatel ?</w:t>
            </w:r>
            <w:r w:rsidRPr="003521F6">
              <w:rPr>
                <w:sz w:val="20"/>
                <w:szCs w:val="20"/>
              </w:rPr>
              <w:br/>
              <w:t>2. Jaká byla celková úmrtnost na chřipku a pneumonii v roce 2012na 100 000 obyvatel ?</w:t>
            </w:r>
            <w:r w:rsidRPr="003521F6">
              <w:rPr>
                <w:sz w:val="20"/>
                <w:szCs w:val="20"/>
              </w:rPr>
              <w:br/>
              <w:t>3. Jaká byla specifická úmrtnost ve věkové skupině 20-39 letých a v kategorii osob starších šedesáti let na 100 000 obyvatel?</w:t>
            </w:r>
          </w:p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E20848" w:rsidRPr="003521F6" w:rsidRDefault="00E20848" w:rsidP="00E20848">
            <w:pPr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>10. července 2013 obědvalo v závodní jídelně jistého podniku 87 osob z celkového počtu 460 zaměstnanců. Během 3 dnů z nich 39 onemocnělo salmonelózou. 57 strávníků, ze kterých 33 onemocnělo, byly osoby starší 60ti let.</w:t>
            </w:r>
          </w:p>
          <w:p w:rsidR="00E20848" w:rsidRPr="003521F6" w:rsidRDefault="00E20848" w:rsidP="00E20848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1. Vypočtěte attack rate pro celý kolektiv. </w:t>
            </w:r>
          </w:p>
          <w:p w:rsidR="00E20848" w:rsidRDefault="00E20848" w:rsidP="00E20848">
            <w:pPr>
              <w:ind w:left="360"/>
            </w:pPr>
            <w:r w:rsidRPr="003521F6">
              <w:rPr>
                <w:sz w:val="20"/>
                <w:szCs w:val="20"/>
              </w:rPr>
              <w:t>2. Vypočtěte attack rate pro věkovou skupinu 60+</w:t>
            </w:r>
          </w:p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Ve městě, kde počet obyvatel k 1.1. 2011 činil 152 000 (31.12.2011 153 500 obyvatel), bylo ve sledovaném roce zaznamenáno 65 nově hlášených onemocnění plicní tuberkulózou, ze kterých bylo ještě 41 aktivních k 31.12.2011. </w:t>
            </w:r>
          </w:p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>K 1.1. téhož roku bylo registrováno 136 aktivních případů tbc se začátkem v dřívějším období. Z nich bylo ještě 31.12.20</w:t>
            </w:r>
            <w:r w:rsidR="002107AB"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Pr="003521F6">
              <w:rPr>
                <w:sz w:val="20"/>
                <w:szCs w:val="20"/>
              </w:rPr>
              <w:t xml:space="preserve"> 115 případů aktivních. </w:t>
            </w:r>
          </w:p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>Vypočítejte:</w:t>
            </w:r>
          </w:p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1. ukazatel prevalence k 1.1. 2011 na 100 000 obyvatel </w:t>
            </w:r>
          </w:p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2. ukazatel prevalence k 31.12. 2011 na 100 000 obyvatel </w:t>
            </w:r>
          </w:p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  <w:tr w:rsidR="00E20848" w:rsidTr="00E20848">
        <w:tc>
          <w:tcPr>
            <w:tcW w:w="5637" w:type="dxa"/>
          </w:tcPr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Průzkumem u 382 dětí v mateřské škole bylo zjištěno, že 181 dětí bylo očkováno proti planým neštovicím, zbylých 201 očkováno nebylo. Ve skupině očkovaných dětí došlo k 5 onemocněním, mezi neočkovanými dětmi bylo 72 případů onemocnění. </w:t>
            </w:r>
          </w:p>
          <w:p w:rsidR="003521F6" w:rsidRPr="003521F6" w:rsidRDefault="003521F6" w:rsidP="003521F6">
            <w:pPr>
              <w:ind w:left="36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Vypočtěte </w:t>
            </w:r>
          </w:p>
          <w:p w:rsidR="003521F6" w:rsidRPr="003521F6" w:rsidRDefault="003521F6" w:rsidP="003521F6">
            <w:pPr>
              <w:numPr>
                <w:ilvl w:val="0"/>
                <w:numId w:val="2"/>
              </w:numPr>
              <w:spacing w:after="20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attack-rate pro skupinu očkovaných a neočkovaných. </w:t>
            </w:r>
          </w:p>
          <w:p w:rsidR="003521F6" w:rsidRPr="003521F6" w:rsidRDefault="003521F6" w:rsidP="003521F6">
            <w:pPr>
              <w:numPr>
                <w:ilvl w:val="0"/>
                <w:numId w:val="2"/>
              </w:numPr>
              <w:spacing w:after="20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Lze u těchto údajů vypočítat účinnost vakcíny? </w:t>
            </w:r>
          </w:p>
          <w:p w:rsidR="003521F6" w:rsidRPr="003521F6" w:rsidRDefault="003521F6" w:rsidP="003521F6">
            <w:pPr>
              <w:numPr>
                <w:ilvl w:val="0"/>
                <w:numId w:val="2"/>
              </w:numPr>
              <w:spacing w:after="200"/>
              <w:rPr>
                <w:sz w:val="20"/>
                <w:szCs w:val="20"/>
              </w:rPr>
            </w:pPr>
            <w:r w:rsidRPr="003521F6">
              <w:rPr>
                <w:sz w:val="20"/>
                <w:szCs w:val="20"/>
              </w:rPr>
              <w:t xml:space="preserve">Pokud ano, vypočítejte ji. </w:t>
            </w:r>
          </w:p>
          <w:p w:rsidR="00E20848" w:rsidRDefault="00E20848" w:rsidP="009446C5"/>
        </w:tc>
        <w:tc>
          <w:tcPr>
            <w:tcW w:w="4110" w:type="dxa"/>
          </w:tcPr>
          <w:p w:rsidR="00E20848" w:rsidRDefault="00E20848" w:rsidP="009446C5"/>
        </w:tc>
      </w:tr>
    </w:tbl>
    <w:p w:rsidR="000F3445" w:rsidRDefault="000F3445" w:rsidP="009446C5"/>
    <w:p w:rsidR="008C514E" w:rsidRPr="009446C5" w:rsidRDefault="008C514E" w:rsidP="009446C5"/>
    <w:sectPr w:rsidR="008C514E" w:rsidRPr="009446C5" w:rsidSect="00E20848">
      <w:pgSz w:w="11906" w:h="16838"/>
      <w:pgMar w:top="993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98" w:rsidRDefault="002D4498" w:rsidP="00E20848">
      <w:pPr>
        <w:spacing w:after="0" w:line="240" w:lineRule="auto"/>
      </w:pPr>
      <w:r>
        <w:separator/>
      </w:r>
    </w:p>
  </w:endnote>
  <w:endnote w:type="continuationSeparator" w:id="0">
    <w:p w:rsidR="002D4498" w:rsidRDefault="002D4498" w:rsidP="00E2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98" w:rsidRDefault="002D4498" w:rsidP="00E20848">
      <w:pPr>
        <w:spacing w:after="0" w:line="240" w:lineRule="auto"/>
      </w:pPr>
      <w:r>
        <w:separator/>
      </w:r>
    </w:p>
  </w:footnote>
  <w:footnote w:type="continuationSeparator" w:id="0">
    <w:p w:rsidR="002D4498" w:rsidRDefault="002D4498" w:rsidP="00E2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605FA"/>
    <w:multiLevelType w:val="hybridMultilevel"/>
    <w:tmpl w:val="FC3E6372"/>
    <w:lvl w:ilvl="0" w:tplc="F39AE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2D9B"/>
    <w:multiLevelType w:val="hybridMultilevel"/>
    <w:tmpl w:val="88FEFF54"/>
    <w:lvl w:ilvl="0" w:tplc="054E0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41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6A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65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AE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68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0B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A6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5"/>
    <w:rsid w:val="000F3445"/>
    <w:rsid w:val="00140AA6"/>
    <w:rsid w:val="002107AB"/>
    <w:rsid w:val="00284F5A"/>
    <w:rsid w:val="002D4498"/>
    <w:rsid w:val="003521F6"/>
    <w:rsid w:val="00511A70"/>
    <w:rsid w:val="00811768"/>
    <w:rsid w:val="008C514E"/>
    <w:rsid w:val="009446C5"/>
    <w:rsid w:val="00E20848"/>
    <w:rsid w:val="00E92D6B"/>
    <w:rsid w:val="00F62CDF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3F565-BD7C-4C36-B71E-0D28117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08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848"/>
  </w:style>
  <w:style w:type="paragraph" w:styleId="Zpat">
    <w:name w:val="footer"/>
    <w:basedOn w:val="Normln"/>
    <w:link w:val="ZpatChar"/>
    <w:uiPriority w:val="99"/>
    <w:unhideWhenUsed/>
    <w:rsid w:val="00E2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848"/>
  </w:style>
  <w:style w:type="paragraph" w:styleId="Textbubliny">
    <w:name w:val="Balloon Text"/>
    <w:basedOn w:val="Normln"/>
    <w:link w:val="TextbublinyChar"/>
    <w:uiPriority w:val="99"/>
    <w:semiHidden/>
    <w:unhideWhenUsed/>
    <w:rsid w:val="0081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5</cp:revision>
  <cp:lastPrinted>2016-03-07T05:20:00Z</cp:lastPrinted>
  <dcterms:created xsi:type="dcterms:W3CDTF">2016-03-07T05:18:00Z</dcterms:created>
  <dcterms:modified xsi:type="dcterms:W3CDTF">2016-03-07T10:14:00Z</dcterms:modified>
</cp:coreProperties>
</file>