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25" w:rsidRPr="00C40F25" w:rsidRDefault="00C40F25" w:rsidP="00C40F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C40F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Zajištění a utvrzení dluhu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Podstata zajištění spočívá v možnosti věřitele, který se nedočkal plnění od dlužníka, uspokojit svou pohledávku jiným způsobem.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Věřitel, který nechce spoléhat na to, že se dočká náhrady až v exekuci, má možnost sjednat si některý ze zajišťovacích prostředků, které přijdou na řadu v případě, že dlužník nesplní to, co slíbil. 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O zajišťovací funkci může být tedy řeč jen tehdy, pokud je prostředek schopen splnění dluhu nahradit, tj. dává jistotu, že věřitel nějaké plnění skutečně obdrží. 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Z tohoto důvodu není zcela výstižné, že současný občanský zákoník mezi zajišťovací prostředky řadí i smluvní pokutu a uznání dluhu, neboť ani jeden z nich věřiteli není schopen hospodářsky nahradit splnění dluhu. Uznání dluhu pouze staví na jisto, že dluh v době uznání existoval, a prodlužuje lhůtu pro jeho vymáhání. Smluvní pokuta sice pro věřitele znamená další finanční nárok, o který se zvyšuje celková výše pohledávky, ale pokud dlužník nemá dostatek majetku pro splnění dluhu, nezaplatí ani smluvní pokutu, jedná se tedy spíše o motivační prostředek.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NOZ proto rozlišuje zajištění od pouhého utvrzení dluhu (§ 2010). Do první skupiny (§ 2018 a násl.) patří zástavní a zadržovací právo, ručení, finanční záruka, zajišťovací převod práva a srážky ze mzdy; do druhé je zařazena právě smluvní pokuta a uznání dluhu, které splnění dluhu pouze utvrzují (§ 2048 a násl.). Za určitou formu jistoty lze pokládat i závdav</w:t>
      </w:r>
      <w:bookmarkStart w:id="0" w:name="_GoBack"/>
      <w:bookmarkEnd w:id="0"/>
      <w:r w:rsidRPr="00C40F25">
        <w:rPr>
          <w:rFonts w:ascii="Times New Roman" w:eastAsia="Times New Roman" w:hAnsi="Times New Roman" w:cs="Times New Roman"/>
          <w:lang w:eastAsia="cs-CZ"/>
        </w:rPr>
        <w:t>ek, který NOZ upravuje v § 1808 a 1809.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Úprava zajištění v NOZ je uvedena obecnými ustanoveními o jistotě, v nichž lze najít normy společné pro všechny zajišťovací instituty. Nově je v zákoníku výslovně zmíněna možnost dát jistotu nejen věřiteli, ale i třetí osobě, která ji spravuje ve prospěch věřitele (§ 2010). 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Z ustanovení o zástavním právu bylo převzato právo věřitele žádat od dlužníka doplnění zajištění v případě, kdy poskytnutá jistota ztratila na ceně tak, že jako zajištění již </w:t>
      </w:r>
      <w:proofErr w:type="spellStart"/>
      <w:proofErr w:type="gramStart"/>
      <w:r w:rsidRPr="00C40F25">
        <w:rPr>
          <w:rFonts w:ascii="Times New Roman" w:eastAsia="Times New Roman" w:hAnsi="Times New Roman" w:cs="Times New Roman"/>
          <w:lang w:eastAsia="cs-CZ"/>
        </w:rPr>
        <w:t>nedostačuje</w:t>
      </w:r>
      <w:proofErr w:type="gramEnd"/>
      <w:r w:rsidRPr="00C40F25">
        <w:rPr>
          <w:rFonts w:ascii="Times New Roman" w:eastAsia="Times New Roman" w:hAnsi="Times New Roman" w:cs="Times New Roman"/>
          <w:lang w:eastAsia="cs-CZ"/>
        </w:rPr>
        <w:t>.Nedoplní-</w:t>
      </w:r>
      <w:proofErr w:type="gramStart"/>
      <w:r w:rsidRPr="00C40F25">
        <w:rPr>
          <w:rFonts w:ascii="Times New Roman" w:eastAsia="Times New Roman" w:hAnsi="Times New Roman" w:cs="Times New Roman"/>
          <w:lang w:eastAsia="cs-CZ"/>
        </w:rPr>
        <w:t>li</w:t>
      </w:r>
      <w:proofErr w:type="spellEnd"/>
      <w:proofErr w:type="gramEnd"/>
      <w:r w:rsidRPr="00C40F25">
        <w:rPr>
          <w:rFonts w:ascii="Times New Roman" w:eastAsia="Times New Roman" w:hAnsi="Times New Roman" w:cs="Times New Roman"/>
          <w:lang w:eastAsia="cs-CZ"/>
        </w:rPr>
        <w:t xml:space="preserve"> dlužník jistotu, stane se splatnou ta část pohledávky, která není zajištěna (§ 2017). 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Novinkou je i stanovení rozsahu zajištění ve vztahu k úrokům: Dle § 2015 se zajištění vztahuje jen na výši úroků, která je osobě poskytující jistotu známá. Dává-li tedy jistotu osoba odlišná od dlužníka, musí být o skutečně sjednané výši úroku informována, jinak je rozsah zajištění omezen výší zákonné úrokové sazby.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40F25">
        <w:rPr>
          <w:rFonts w:ascii="Times New Roman" w:eastAsia="Times New Roman" w:hAnsi="Times New Roman" w:cs="Times New Roman"/>
          <w:b/>
          <w:bCs/>
          <w:lang w:eastAsia="cs-CZ"/>
        </w:rPr>
        <w:t>Ručení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NOZ přebírá úpravu ručení z dnešního obchodního zákoníku. To ale neplatí pro způsob vzniku, který naopak vychází z koncepce současného občanského zákoníku vyžadujícího smluvní způsob vzniku ručení. NOZ tedy kromě prohlášení ručitele o převzetí ručení vyžaduje i přijetí ručení věřitelem. Pokud věřitel ručitele nepřijme, nemůže po něm v případě nesplnění dluhu nic žádat (§ 2018).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40F25">
        <w:rPr>
          <w:rFonts w:ascii="Times New Roman" w:eastAsia="Times New Roman" w:hAnsi="Times New Roman" w:cs="Times New Roman"/>
          <w:b/>
          <w:bCs/>
          <w:lang w:eastAsia="cs-CZ"/>
        </w:rPr>
        <w:t>Zajišťovací převod práva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V § 2040 – 2044 nalezneme ustanovení o zajišťovacím převodu práva. V porovnání se současným OZ je tomuto zajišťovacímu instrumentu věnován větší prostor. To je odůvodněno praktickou potřebou, neboť současná kusá úprava v jediném ustanovení (§ 553 OZ) vyvolává výkladové potíže.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Z NOZ byla vypuštěna zvláštní úprava zajištění postoupením pohledávky (§), neboť pohledávka je pouze jedním z druhů práv, která mohou být k zajištění převedena. Na tento druh zajištění se proto také použijí § 2040 a násl. NOZ.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lastRenderedPageBreak/>
        <w:t>Jak vyplývá již z názvu, podstatou tohoto zajišťovacího prostředku je převedení práva dlužníka či jiné osoby na věřitele. Vzhledem k tomu, že účelem převodu je zajištění dluhu, je jeho trvání časově omezeno a podmíněno.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NOZ v § 2044 výslovně zakotvuje právní domněnku, že se právo převádí s rozvazovací podmínkou. To znamená, že okamžikem, kdy dojde ke splnění dluhu, nabývá dlužník (či jiná osoba, která jistotu poskytla) své právo automaticky zpět. Naopak v případě nesplnění dluhu se stává převod práva nepodmíněným, </w:t>
      </w:r>
      <w:proofErr w:type="gramStart"/>
      <w:r w:rsidRPr="00C40F25">
        <w:rPr>
          <w:rFonts w:ascii="Times New Roman" w:eastAsia="Times New Roman" w:hAnsi="Times New Roman" w:cs="Times New Roman"/>
          <w:lang w:eastAsia="cs-CZ"/>
        </w:rPr>
        <w:t>tzn. bylo</w:t>
      </w:r>
      <w:proofErr w:type="gramEnd"/>
      <w:r w:rsidRPr="00C40F25">
        <w:rPr>
          <w:rFonts w:ascii="Times New Roman" w:eastAsia="Times New Roman" w:hAnsi="Times New Roman" w:cs="Times New Roman"/>
          <w:lang w:eastAsia="cs-CZ"/>
        </w:rPr>
        <w:t xml:space="preserve">-li např. k zajištění převedeno vlastnické právo, stává se věřitel vlastníkem. 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Důležité je však zmínit, že strany si mohou ujednat i to, že při splnění dluhu nedochází k automatickému obnovení práv u původního oprávněného, ale že je věřitel povinen právo znovu převést nazpět; § 2044 odst. 2 je pouze dispozitivní, tzn. lze se od něj odchýlit dohodou stran.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Následující ustanovení se věnují vzniku zajištění, jeho trvání a s tím souvisejícím postavením zúčastněných osob. Zejména je třeba zdůraznit povinnost zápisu zajišťovacího převodu práva do veřejného seznamu, týká-li se věci, která se do něj zapisuje. 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40F25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C40F25">
        <w:rPr>
          <w:rFonts w:ascii="Times New Roman" w:eastAsia="Times New Roman" w:hAnsi="Times New Roman" w:cs="Times New Roman"/>
          <w:lang w:eastAsia="cs-CZ"/>
        </w:rPr>
        <w:t>. § 2043 řeší majetkové vyrovnání stran v případě zániku zajištění. Následující ustanovení zakotvuje právo osoby, která zajištění poskytla, na finanční náhradu ve výši rozdílu mezi hodnotou předmětu zajištění a hodnotou zajištěného dluhu.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40F25">
        <w:rPr>
          <w:rFonts w:ascii="Times New Roman" w:eastAsia="Times New Roman" w:hAnsi="Times New Roman" w:cs="Times New Roman"/>
          <w:b/>
          <w:bCs/>
          <w:lang w:eastAsia="cs-CZ"/>
        </w:rPr>
        <w:t>Zástavní právo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Velmi často užívaným zajišťovacím prostředkem je zástavní právo, které se od dalších zajišťovacích prostředků odlišuje v tom, že má věcnou povahu, </w:t>
      </w:r>
      <w:proofErr w:type="gramStart"/>
      <w:r w:rsidRPr="00C40F25">
        <w:rPr>
          <w:rFonts w:ascii="Times New Roman" w:eastAsia="Times New Roman" w:hAnsi="Times New Roman" w:cs="Times New Roman"/>
          <w:lang w:eastAsia="cs-CZ"/>
        </w:rPr>
        <w:t>tzn.</w:t>
      </w:r>
      <w:proofErr w:type="gramEnd"/>
      <w:r w:rsidRPr="00C40F25">
        <w:rPr>
          <w:rFonts w:ascii="Times New Roman" w:eastAsia="Times New Roman" w:hAnsi="Times New Roman" w:cs="Times New Roman"/>
          <w:lang w:eastAsia="cs-CZ"/>
        </w:rPr>
        <w:t xml:space="preserve"> zásadně </w:t>
      </w:r>
      <w:proofErr w:type="gramStart"/>
      <w:r w:rsidRPr="00C40F25">
        <w:rPr>
          <w:rFonts w:ascii="Times New Roman" w:eastAsia="Times New Roman" w:hAnsi="Times New Roman" w:cs="Times New Roman"/>
          <w:lang w:eastAsia="cs-CZ"/>
        </w:rPr>
        <w:t>následuje</w:t>
      </w:r>
      <w:proofErr w:type="gramEnd"/>
      <w:r w:rsidRPr="00C40F25">
        <w:rPr>
          <w:rFonts w:ascii="Times New Roman" w:eastAsia="Times New Roman" w:hAnsi="Times New Roman" w:cs="Times New Roman"/>
          <w:lang w:eastAsia="cs-CZ"/>
        </w:rPr>
        <w:t xml:space="preserve"> právní osud zajištěné věci (zástavy).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Z tohoto důvodu najdeme úpravu tohoto institutu v části o věcných právech (§ a násl.). 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Další výhoda zástavního práva spočívá v tom, že při konkurenci více zajišťovacích prostředků svědčí zástavnímu věřiteli výhodnější pořadí, které se ještě více posiluje, je-li zástavní právo evidováno ve veřejném seznamu (§ 2016).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40F25">
        <w:rPr>
          <w:rFonts w:ascii="Times New Roman" w:eastAsia="Times New Roman" w:hAnsi="Times New Roman" w:cs="Times New Roman"/>
          <w:b/>
          <w:bCs/>
          <w:lang w:eastAsia="cs-CZ"/>
        </w:rPr>
        <w:t>Smluvní pokuta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 xml:space="preserve">Smluvní pokuta je nově zařazena mezi způsoby utvrzení dluhu (§ 2048 a násl.). NOZ oproti stávající úpravě výslovně umožňuje sjednat smluvní pokutu i ve formě jiného, než peněžitého plnění. 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Ve srovnání s § 545 odst. 3 OZ připouští NOZ, aby dlužníkovi vznikla povinnost k zaplacení pokuty i tehdy, když porušení smluvní povinnosti nezavinil. To však nebrání ujednání stran vázat vznik nároku na zaplacení smluvní pokuty výlučně na zaviněné porušení.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Důležitou změnou je také odstranění požadavku písemné formy pro sjednání smluvní pokuty. § 2051 zakotvuje právo dlužníka požadovat u soudu snížení nepřiměřeně vysoké smluvní pokuty.</w:t>
      </w:r>
    </w:p>
    <w:p w:rsidR="00C40F25" w:rsidRPr="00C40F25" w:rsidRDefault="00C40F25" w:rsidP="00C40F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C40F25">
        <w:rPr>
          <w:rFonts w:ascii="Times New Roman" w:eastAsia="Times New Roman" w:hAnsi="Times New Roman" w:cs="Times New Roman"/>
          <w:b/>
          <w:bCs/>
          <w:lang w:eastAsia="cs-CZ"/>
        </w:rPr>
        <w:t>Uznání dluhu</w:t>
      </w:r>
    </w:p>
    <w:p w:rsidR="00C40F25" w:rsidRPr="00C40F25" w:rsidRDefault="00C40F25" w:rsidP="00C4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C40F25">
        <w:rPr>
          <w:rFonts w:ascii="Times New Roman" w:eastAsia="Times New Roman" w:hAnsi="Times New Roman" w:cs="Times New Roman"/>
          <w:lang w:eastAsia="cs-CZ"/>
        </w:rPr>
        <w:t>Úprava uznání dluhu v NOZ vychází převážně z ustanovení dosavadního obchodního zákoníku. Důležitá je především domněnka, že platí-li dlužník úroky, má se za to, že uznal dluh (jistinu), z něhož úroky platí. Pravidlo se ale nepoužije v případě placení již promlčeného dluhu (§ 2054).</w:t>
      </w:r>
    </w:p>
    <w:p w:rsidR="00690D5A" w:rsidRDefault="00C40F25"/>
    <w:sectPr w:rsidR="00690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25"/>
    <w:rsid w:val="008259A4"/>
    <w:rsid w:val="00C40F25"/>
    <w:rsid w:val="00E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4832"/>
  <w15:chartTrackingRefBased/>
  <w15:docId w15:val="{45D4117E-FDF3-4DF2-8E8C-EE2F68E2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40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F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40F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C4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rmace">
    <w:name w:val="informace"/>
    <w:basedOn w:val="Normln"/>
    <w:rsid w:val="00C4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5251</Characters>
  <Application>Microsoft Office Word</Application>
  <DocSecurity>0</DocSecurity>
  <Lines>43</Lines>
  <Paragraphs>12</Paragraphs>
  <ScaleCrop>false</ScaleCrop>
  <Company>Masarykova univerzita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1</cp:revision>
  <cp:lastPrinted>2018-05-03T10:41:00Z</cp:lastPrinted>
  <dcterms:created xsi:type="dcterms:W3CDTF">2018-05-03T10:39:00Z</dcterms:created>
  <dcterms:modified xsi:type="dcterms:W3CDTF">2018-05-03T10:48:00Z</dcterms:modified>
</cp:coreProperties>
</file>