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77A0" w:rsidRPr="00D5476B" w:rsidRDefault="001677A0" w:rsidP="001677A0">
      <w:pPr>
        <w:jc w:val="center"/>
        <w:rPr>
          <w:sz w:val="36"/>
          <w:szCs w:val="36"/>
        </w:rPr>
      </w:pPr>
      <w:r w:rsidRPr="00D5476B">
        <w:rPr>
          <w:sz w:val="36"/>
          <w:szCs w:val="36"/>
        </w:rPr>
        <w:t>MASARYKOVA UNIVERZITA</w:t>
      </w:r>
    </w:p>
    <w:p w:rsidR="001677A0" w:rsidRPr="00D5476B" w:rsidRDefault="001677A0" w:rsidP="001677A0">
      <w:pPr>
        <w:jc w:val="center"/>
        <w:rPr>
          <w:sz w:val="36"/>
          <w:szCs w:val="36"/>
        </w:rPr>
      </w:pPr>
      <w:r w:rsidRPr="00D5476B">
        <w:rPr>
          <w:sz w:val="36"/>
          <w:szCs w:val="36"/>
        </w:rPr>
        <w:t>FAKULTA SPORTOVNÍCH STUDIÍ</w:t>
      </w:r>
    </w:p>
    <w:p w:rsidR="001677A0" w:rsidRPr="001677A0" w:rsidRDefault="001677A0" w:rsidP="001677A0">
      <w:pPr>
        <w:jc w:val="center"/>
        <w:rPr>
          <w:sz w:val="28"/>
        </w:rPr>
      </w:pPr>
      <w:r w:rsidRPr="001677A0">
        <w:rPr>
          <w:sz w:val="28"/>
        </w:rPr>
        <w:t>Regenerace a výživa ve sportu</w:t>
      </w:r>
    </w:p>
    <w:p w:rsidR="001677A0" w:rsidRDefault="001677A0" w:rsidP="001677A0"/>
    <w:p w:rsidR="001677A0" w:rsidRDefault="001677A0" w:rsidP="001677A0">
      <w:pPr>
        <w:jc w:val="center"/>
      </w:pPr>
      <w:r w:rsidRPr="001677A0">
        <w:rPr>
          <w:noProof/>
        </w:rPr>
        <w:drawing>
          <wp:inline distT="0" distB="0" distL="0" distR="0">
            <wp:extent cx="2476508" cy="2432285"/>
            <wp:effectExtent l="19050" t="0" r="0" b="0"/>
            <wp:docPr id="1" name="Obrázek 1" descr="http://www.fsps.muni.cz/simi/fsp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fsps.muni.cz/simi/fsp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37" cy="244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A0" w:rsidRPr="00D5476B" w:rsidRDefault="001677A0" w:rsidP="001677A0">
      <w:pPr>
        <w:rPr>
          <w:sz w:val="32"/>
          <w:szCs w:val="32"/>
        </w:rPr>
      </w:pPr>
    </w:p>
    <w:p w:rsidR="001677A0" w:rsidRDefault="001677A0" w:rsidP="001677A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Fitness – posilovna</w:t>
      </w:r>
    </w:p>
    <w:p w:rsidR="001677A0" w:rsidRDefault="001677A0" w:rsidP="009F39E8">
      <w:pPr>
        <w:jc w:val="center"/>
        <w:rPr>
          <w:b/>
          <w:sz w:val="40"/>
          <w:szCs w:val="72"/>
        </w:rPr>
      </w:pPr>
      <w:proofErr w:type="spellStart"/>
      <w:r>
        <w:rPr>
          <w:b/>
          <w:sz w:val="40"/>
          <w:szCs w:val="72"/>
        </w:rPr>
        <w:t>Bench-press</w:t>
      </w:r>
      <w:proofErr w:type="spellEnd"/>
    </w:p>
    <w:p w:rsidR="001677A0" w:rsidRPr="001677A0" w:rsidRDefault="001677A0" w:rsidP="001677A0">
      <w:pPr>
        <w:jc w:val="center"/>
        <w:rPr>
          <w:sz w:val="32"/>
          <w:szCs w:val="72"/>
        </w:rPr>
      </w:pPr>
      <w:r>
        <w:rPr>
          <w:sz w:val="32"/>
          <w:szCs w:val="72"/>
        </w:rPr>
        <w:t>Seminární práce</w:t>
      </w:r>
    </w:p>
    <w:p w:rsidR="001677A0" w:rsidRDefault="001677A0" w:rsidP="001677A0">
      <w:pPr>
        <w:jc w:val="center"/>
        <w:rPr>
          <w:sz w:val="32"/>
          <w:szCs w:val="32"/>
        </w:rPr>
      </w:pPr>
    </w:p>
    <w:p w:rsidR="001677A0" w:rsidRDefault="001677A0" w:rsidP="001677A0"/>
    <w:p w:rsidR="009F39E8" w:rsidRDefault="009F39E8" w:rsidP="001677A0"/>
    <w:p w:rsidR="001677A0" w:rsidRPr="00517086" w:rsidRDefault="001677A0" w:rsidP="001677A0">
      <w:pPr>
        <w:rPr>
          <w:sz w:val="28"/>
          <w:szCs w:val="28"/>
        </w:rPr>
      </w:pPr>
      <w:r w:rsidRPr="00517086">
        <w:rPr>
          <w:sz w:val="28"/>
          <w:szCs w:val="28"/>
        </w:rPr>
        <w:t xml:space="preserve">Brno, 18.4.2020 </w:t>
      </w:r>
      <w:r w:rsidRPr="00517086">
        <w:rPr>
          <w:sz w:val="28"/>
          <w:szCs w:val="28"/>
        </w:rPr>
        <w:tab/>
      </w:r>
      <w:r w:rsidRPr="00517086">
        <w:rPr>
          <w:sz w:val="28"/>
          <w:szCs w:val="28"/>
        </w:rPr>
        <w:tab/>
      </w:r>
      <w:r w:rsidRPr="00517086">
        <w:rPr>
          <w:sz w:val="28"/>
          <w:szCs w:val="28"/>
        </w:rPr>
        <w:tab/>
      </w:r>
      <w:r w:rsidRPr="00517086">
        <w:rPr>
          <w:sz w:val="28"/>
          <w:szCs w:val="28"/>
        </w:rPr>
        <w:tab/>
      </w:r>
      <w:r w:rsidRPr="00517086">
        <w:rPr>
          <w:sz w:val="28"/>
          <w:szCs w:val="28"/>
        </w:rPr>
        <w:tab/>
      </w:r>
      <w:r w:rsidRPr="00517086">
        <w:rPr>
          <w:sz w:val="28"/>
          <w:szCs w:val="28"/>
        </w:rPr>
        <w:tab/>
      </w:r>
    </w:p>
    <w:p w:rsidR="001677A0" w:rsidRPr="00517086" w:rsidRDefault="001677A0" w:rsidP="001677A0">
      <w:pPr>
        <w:rPr>
          <w:sz w:val="28"/>
          <w:szCs w:val="28"/>
        </w:rPr>
      </w:pPr>
      <w:r w:rsidRPr="00517086">
        <w:rPr>
          <w:sz w:val="28"/>
          <w:szCs w:val="28"/>
        </w:rPr>
        <w:t>Vypracoval</w:t>
      </w:r>
      <w:r w:rsidR="00282892" w:rsidRPr="00517086">
        <w:rPr>
          <w:sz w:val="28"/>
          <w:szCs w:val="28"/>
        </w:rPr>
        <w:t>y</w:t>
      </w:r>
      <w:r w:rsidRPr="00517086">
        <w:rPr>
          <w:sz w:val="28"/>
          <w:szCs w:val="28"/>
        </w:rPr>
        <w:t xml:space="preserve">: </w:t>
      </w:r>
      <w:r w:rsidR="00282892" w:rsidRPr="00517086">
        <w:rPr>
          <w:sz w:val="28"/>
          <w:szCs w:val="28"/>
        </w:rPr>
        <w:t>Lucie Nová</w:t>
      </w:r>
      <w:r w:rsidRPr="00517086">
        <w:rPr>
          <w:sz w:val="28"/>
          <w:szCs w:val="28"/>
        </w:rPr>
        <w:t>, Kateřina Šišková</w:t>
      </w:r>
    </w:p>
    <w:sdt>
      <w:sdtPr>
        <w:id w:val="698048112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4"/>
          <w:szCs w:val="22"/>
          <w:lang w:eastAsia="en-US"/>
        </w:rPr>
      </w:sdtEndPr>
      <w:sdtContent>
        <w:p w:rsidR="00237828" w:rsidRDefault="008205FC">
          <w:pPr>
            <w:pStyle w:val="Nadpisobsahu"/>
            <w:rPr>
              <w:color w:val="auto"/>
            </w:rPr>
          </w:pPr>
          <w:r w:rsidRPr="008205FC">
            <w:rPr>
              <w:color w:val="auto"/>
            </w:rPr>
            <w:t>Obsah</w:t>
          </w:r>
        </w:p>
        <w:p w:rsidR="008205FC" w:rsidRPr="008205FC" w:rsidRDefault="008205FC" w:rsidP="008205FC">
          <w:pPr>
            <w:rPr>
              <w:lang w:eastAsia="cs-CZ"/>
            </w:rPr>
          </w:pPr>
        </w:p>
        <w:p w:rsidR="008205FC" w:rsidRDefault="00237828" w:rsidP="008205FC">
          <w:pPr>
            <w:pStyle w:val="Obsah2"/>
            <w:tabs>
              <w:tab w:val="right" w:leader="dot" w:pos="9062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225044" w:history="1">
            <w:r w:rsidR="008205FC" w:rsidRPr="00150DB9">
              <w:rPr>
                <w:rStyle w:val="Hypertextovodkaz"/>
                <w:noProof/>
              </w:rPr>
              <w:t>1. Úvod</w:t>
            </w:r>
            <w:r w:rsidR="008205FC">
              <w:rPr>
                <w:noProof/>
                <w:webHidden/>
              </w:rPr>
              <w:tab/>
            </w:r>
            <w:r w:rsidR="008205FC">
              <w:rPr>
                <w:noProof/>
                <w:webHidden/>
              </w:rPr>
              <w:fldChar w:fldCharType="begin"/>
            </w:r>
            <w:r w:rsidR="008205FC">
              <w:rPr>
                <w:noProof/>
                <w:webHidden/>
              </w:rPr>
              <w:instrText xml:space="preserve"> PAGEREF _Toc38225044 \h </w:instrText>
            </w:r>
            <w:r w:rsidR="008205FC">
              <w:rPr>
                <w:noProof/>
                <w:webHidden/>
              </w:rPr>
            </w:r>
            <w:r w:rsidR="008205FC">
              <w:rPr>
                <w:noProof/>
                <w:webHidden/>
              </w:rPr>
              <w:fldChar w:fldCharType="separate"/>
            </w:r>
            <w:r w:rsidR="008205FC">
              <w:rPr>
                <w:noProof/>
                <w:webHidden/>
              </w:rPr>
              <w:t>3</w:t>
            </w:r>
            <w:r w:rsidR="008205FC">
              <w:rPr>
                <w:noProof/>
                <w:webHidden/>
              </w:rPr>
              <w:fldChar w:fldCharType="end"/>
            </w:r>
          </w:hyperlink>
        </w:p>
        <w:p w:rsidR="008205FC" w:rsidRDefault="008205FC" w:rsidP="008205FC">
          <w:pPr>
            <w:pStyle w:val="Obsah2"/>
            <w:tabs>
              <w:tab w:val="right" w:leader="dot" w:pos="9062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8225045" w:history="1">
            <w:r w:rsidRPr="00150DB9">
              <w:rPr>
                <w:rStyle w:val="Hypertextovodkaz"/>
                <w:noProof/>
              </w:rPr>
              <w:t>2. Provedení cviku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5FC" w:rsidRDefault="008205FC" w:rsidP="008205FC">
          <w:pPr>
            <w:pStyle w:val="Obsah3"/>
            <w:tabs>
              <w:tab w:val="right" w:leader="dot" w:pos="9062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8225046" w:history="1">
            <w:r w:rsidRPr="00150DB9">
              <w:rPr>
                <w:rStyle w:val="Hypertextovodkaz"/>
                <w:noProof/>
              </w:rPr>
              <w:t>2.1</w:t>
            </w:r>
            <w:r>
              <w:rPr>
                <w:rStyle w:val="Hypertextovodkaz"/>
                <w:noProof/>
              </w:rPr>
              <w:t xml:space="preserve"> </w:t>
            </w:r>
            <w:r w:rsidRPr="00150DB9">
              <w:rPr>
                <w:rStyle w:val="Hypertextovodkaz"/>
                <w:noProof/>
              </w:rPr>
              <w:t>Technika provedení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5FC" w:rsidRDefault="008205FC" w:rsidP="008205FC">
          <w:pPr>
            <w:pStyle w:val="Obsah2"/>
            <w:tabs>
              <w:tab w:val="right" w:leader="dot" w:pos="9062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8225047" w:history="1">
            <w:r w:rsidRPr="00150DB9">
              <w:rPr>
                <w:rStyle w:val="Hypertextovodkaz"/>
                <w:noProof/>
              </w:rPr>
              <w:t>3. Zapojené svaly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5FC" w:rsidRDefault="008205FC" w:rsidP="008205FC">
          <w:pPr>
            <w:pStyle w:val="Obsah2"/>
            <w:tabs>
              <w:tab w:val="right" w:leader="dot" w:pos="9062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8225048" w:history="1">
            <w:r w:rsidRPr="00150DB9">
              <w:rPr>
                <w:rStyle w:val="Hypertextovodkaz"/>
                <w:noProof/>
              </w:rPr>
              <w:t>4. Chybné provedení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05FC" w:rsidRDefault="008205FC" w:rsidP="008205FC">
          <w:pPr>
            <w:pStyle w:val="Obsah2"/>
            <w:tabs>
              <w:tab w:val="right" w:leader="dot" w:pos="9062"/>
            </w:tabs>
            <w:ind w:left="0" w:firstLine="0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38225049" w:history="1">
            <w:r w:rsidRPr="00150DB9">
              <w:rPr>
                <w:rStyle w:val="Hypertextovodkaz"/>
                <w:noProof/>
              </w:rPr>
              <w:t>5.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_Toc38225049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37828" w:rsidRDefault="00237828">
          <w:r>
            <w:rPr>
              <w:b/>
              <w:bCs/>
            </w:rPr>
            <w:fldChar w:fldCharType="end"/>
          </w:r>
        </w:p>
      </w:sdtContent>
    </w:sdt>
    <w:p w:rsidR="00E17B5E" w:rsidRDefault="00E17B5E" w:rsidP="00E17B5E">
      <w:pPr>
        <w:ind w:firstLine="0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>
        <w:br w:type="page"/>
      </w:r>
    </w:p>
    <w:p w:rsidR="00517086" w:rsidRDefault="00BA170B" w:rsidP="00E17B5E">
      <w:pPr>
        <w:pStyle w:val="Nadpis2"/>
        <w:spacing w:line="240" w:lineRule="auto"/>
        <w:contextualSpacing/>
      </w:pPr>
      <w:bookmarkStart w:id="0" w:name="_Toc38225044"/>
      <w:r>
        <w:lastRenderedPageBreak/>
        <w:t xml:space="preserve">1. </w:t>
      </w:r>
      <w:r w:rsidR="00034BE8">
        <w:t>Úvod</w:t>
      </w:r>
      <w:bookmarkEnd w:id="0"/>
    </w:p>
    <w:p w:rsidR="00E17B5E" w:rsidRDefault="00E17B5E" w:rsidP="00E17B5E">
      <w:pPr>
        <w:spacing w:line="240" w:lineRule="auto"/>
        <w:ind w:firstLine="0"/>
        <w:contextualSpacing/>
      </w:pPr>
    </w:p>
    <w:p w:rsidR="00BA170B" w:rsidRDefault="001677A0" w:rsidP="00E17B5E">
      <w:pPr>
        <w:spacing w:line="240" w:lineRule="auto"/>
        <w:ind w:firstLine="708"/>
        <w:contextualSpacing/>
      </w:pPr>
      <w:proofErr w:type="gramStart"/>
      <w:r>
        <w:t>Benchpress</w:t>
      </w:r>
      <w:r w:rsidR="009F39E8">
        <w:t>,</w:t>
      </w:r>
      <w:proofErr w:type="gramEnd"/>
      <w:r w:rsidR="009F39E8">
        <w:t xml:space="preserve"> neboli tlak s činkou na lavici,</w:t>
      </w:r>
      <w:r>
        <w:t xml:space="preserve"> je </w:t>
      </w:r>
      <w:r w:rsidR="00282892">
        <w:t>jeden z</w:t>
      </w:r>
      <w:r w:rsidR="009F39E8">
        <w:t> </w:t>
      </w:r>
      <w:r>
        <w:t>nejznámější</w:t>
      </w:r>
      <w:r w:rsidR="00282892">
        <w:t>ch</w:t>
      </w:r>
      <w:r w:rsidR="009F39E8">
        <w:t xml:space="preserve"> a také</w:t>
      </w:r>
      <w:r>
        <w:t xml:space="preserve"> velice účinný</w:t>
      </w:r>
      <w:r w:rsidR="00282892">
        <w:t>ch</w:t>
      </w:r>
      <w:r>
        <w:t xml:space="preserve"> cvik</w:t>
      </w:r>
      <w:r w:rsidR="00282892">
        <w:t>ů</w:t>
      </w:r>
      <w:r>
        <w:t xml:space="preserve"> pro rozvinutí objemu prsních svalů.</w:t>
      </w:r>
      <w:r w:rsidR="00056091">
        <w:t xml:space="preserve"> Společně s dřepem a mrtvým tahem </w:t>
      </w:r>
      <w:r w:rsidR="00056091">
        <w:t xml:space="preserve">tvoří silový trojboj (anglicky </w:t>
      </w:r>
      <w:proofErr w:type="spellStart"/>
      <w:r w:rsidR="00056091">
        <w:t>Powerlifting</w:t>
      </w:r>
      <w:proofErr w:type="spellEnd"/>
      <w:r w:rsidR="00056091">
        <w:t>)</w:t>
      </w:r>
      <w:r w:rsidR="00056091">
        <w:t>.</w:t>
      </w:r>
      <w:r w:rsidR="00E17B5E">
        <w:t xml:space="preserve"> Jedná se o oblíbený cvik u profesionálních silových, ale také u rekreačních sportovců. </w:t>
      </w:r>
    </w:p>
    <w:p w:rsidR="00E17B5E" w:rsidRDefault="00E17B5E" w:rsidP="00E17B5E">
      <w:pPr>
        <w:spacing w:line="240" w:lineRule="auto"/>
        <w:ind w:firstLine="708"/>
        <w:contextualSpacing/>
      </w:pPr>
    </w:p>
    <w:p w:rsidR="00BA170B" w:rsidRDefault="00BA170B" w:rsidP="00E17B5E">
      <w:pPr>
        <w:spacing w:line="240" w:lineRule="auto"/>
        <w:ind w:firstLine="708"/>
        <w:contextualSpacing/>
      </w:pPr>
      <w:r>
        <w:rPr>
          <w:noProof/>
        </w:rPr>
        <w:drawing>
          <wp:inline distT="0" distB="0" distL="0" distR="0">
            <wp:extent cx="3756815" cy="2857500"/>
            <wp:effectExtent l="0" t="0" r="0" b="0"/>
            <wp:docPr id="2" name="Obrázek 2" descr="Obsah obrázku interiér, kočka, vsedě, stůl&#10;&#10;Popis byl vytvořen automatick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, kočka, vsedě, stůl&#10;&#10;Popis byl vytvořen automaticky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098" cy="28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0B" w:rsidRPr="00BA170B" w:rsidRDefault="00BA170B" w:rsidP="00E17B5E">
      <w:pPr>
        <w:spacing w:line="240" w:lineRule="auto"/>
        <w:ind w:firstLine="708"/>
        <w:contextualSpacing/>
        <w:rPr>
          <w:sz w:val="20"/>
          <w:szCs w:val="20"/>
        </w:rPr>
      </w:pPr>
      <w:r w:rsidRPr="00BA170B">
        <w:rPr>
          <w:sz w:val="20"/>
          <w:szCs w:val="20"/>
        </w:rPr>
        <w:t xml:space="preserve">Obr.1 - </w:t>
      </w:r>
      <w:hyperlink r:id="rId9" w:history="1">
        <w:r w:rsidRPr="00BA170B">
          <w:rPr>
            <w:rStyle w:val="Hypertextovodkaz"/>
            <w:sz w:val="20"/>
            <w:szCs w:val="20"/>
          </w:rPr>
          <w:t>http://www.provecko.cz/m/klub-19/cviky/hrudnik/bench-press/</w:t>
        </w:r>
      </w:hyperlink>
    </w:p>
    <w:p w:rsidR="00BA170B" w:rsidRDefault="00BA170B" w:rsidP="00E17B5E">
      <w:pPr>
        <w:spacing w:line="240" w:lineRule="auto"/>
        <w:ind w:firstLine="708"/>
        <w:contextualSpacing/>
      </w:pPr>
    </w:p>
    <w:p w:rsidR="00E17B5E" w:rsidRDefault="00E17B5E" w:rsidP="00E17B5E">
      <w:pPr>
        <w:spacing w:line="240" w:lineRule="auto"/>
        <w:ind w:firstLine="708"/>
        <w:contextualSpacing/>
      </w:pPr>
    </w:p>
    <w:p w:rsidR="00BA170B" w:rsidRDefault="00BA170B" w:rsidP="00237828">
      <w:pPr>
        <w:pStyle w:val="Nadpis2"/>
        <w:spacing w:line="240" w:lineRule="auto"/>
        <w:ind w:firstLine="0"/>
        <w:contextualSpacing/>
      </w:pPr>
      <w:bookmarkStart w:id="1" w:name="_Toc38225045"/>
      <w:r>
        <w:t>2</w:t>
      </w:r>
      <w:r w:rsidR="00237828">
        <w:t xml:space="preserve">. </w:t>
      </w:r>
      <w:r>
        <w:t>Provedení cviku</w:t>
      </w:r>
      <w:bookmarkEnd w:id="1"/>
    </w:p>
    <w:p w:rsidR="00E17B5E" w:rsidRDefault="00E17B5E" w:rsidP="00E17B5E">
      <w:pPr>
        <w:spacing w:line="240" w:lineRule="auto"/>
        <w:ind w:firstLine="708"/>
        <w:contextualSpacing/>
      </w:pPr>
    </w:p>
    <w:p w:rsidR="00E17B5E" w:rsidRDefault="00056091" w:rsidP="00E17B5E">
      <w:pPr>
        <w:spacing w:line="240" w:lineRule="auto"/>
        <w:ind w:firstLine="708"/>
        <w:contextualSpacing/>
      </w:pPr>
      <w:r>
        <w:t xml:space="preserve">Benchpress se provádí v lehu na zádech na lavičce. Pohyb činky je směřován na hrudník, ale může směřovat i k horní částí břišních svalů. Pohyb je zahájen pokrčením loktů. Činka by měla být bez odrazu tlačena zpět vzhůru. </w:t>
      </w:r>
      <w:r>
        <w:t>Na základě různých faktorů je možné zvolit techniku</w:t>
      </w:r>
      <w:r w:rsidR="00BA170B">
        <w:t xml:space="preserve"> cviku.</w:t>
      </w:r>
      <w:r>
        <w:t xml:space="preserve"> Mezi tyto faktory patří </w:t>
      </w:r>
      <w:r>
        <w:t>šířku úchopu, postavení nohou, dráh</w:t>
      </w:r>
      <w:r>
        <w:t>a</w:t>
      </w:r>
      <w:r>
        <w:t xml:space="preserve"> činky a položení zad na lavici.</w:t>
      </w:r>
      <w:r w:rsidR="00BA170B">
        <w:t xml:space="preserve"> </w:t>
      </w:r>
      <w:r w:rsidR="00BA170B">
        <w:t xml:space="preserve">V silovém trojboji je nejvíce využívána technika pro demonstraci maximální síly, a to je tzv. </w:t>
      </w:r>
      <w:proofErr w:type="spellStart"/>
      <w:r w:rsidR="00BA170B">
        <w:t>mostování</w:t>
      </w:r>
      <w:proofErr w:type="spellEnd"/>
      <w:r w:rsidR="00BA170B">
        <w:t xml:space="preserve"> – sportovec se snaží zkrátit dráhu pohybu co největším prohnutím v bederní části, dochází k lepší fixaci lopatek a zpevnění celého těla. Před užíváním této techniky je ale samozřejmě nutné zvládnout klasickou techniku benchpressu, tedy se zády plně položenými, nebo jen velmi mírně prohnutými v bedrech (</w:t>
      </w:r>
      <w:proofErr w:type="spellStart"/>
      <w:r w:rsidR="00BA170B">
        <w:t>Manocchia</w:t>
      </w:r>
      <w:proofErr w:type="spellEnd"/>
      <w:r w:rsidR="00BA170B">
        <w:t>, 2014; Tlapák, 2014; Vella</w:t>
      </w:r>
      <w:r w:rsidR="00237828">
        <w:t xml:space="preserve"> &amp; </w:t>
      </w:r>
      <w:proofErr w:type="spellStart"/>
      <w:r w:rsidR="00237828">
        <w:t>Berrangé</w:t>
      </w:r>
      <w:proofErr w:type="spellEnd"/>
      <w:r w:rsidR="00BA170B">
        <w:t xml:space="preserve">, 2007). </w:t>
      </w:r>
    </w:p>
    <w:p w:rsidR="00E17B5E" w:rsidRDefault="00E17B5E" w:rsidP="00E17B5E">
      <w:pPr>
        <w:spacing w:line="240" w:lineRule="auto"/>
        <w:ind w:firstLine="0"/>
        <w:contextualSpacing/>
      </w:pPr>
    </w:p>
    <w:p w:rsidR="00E17B5E" w:rsidRPr="00E17B5E" w:rsidRDefault="002B6749" w:rsidP="00E17B5E">
      <w:pPr>
        <w:pStyle w:val="Odstavecseseznamem"/>
        <w:numPr>
          <w:ilvl w:val="0"/>
          <w:numId w:val="17"/>
        </w:numPr>
        <w:spacing w:line="240" w:lineRule="auto"/>
      </w:pPr>
      <w:r w:rsidRPr="00E17B5E">
        <w:rPr>
          <w:bCs/>
          <w:u w:val="single"/>
        </w:rPr>
        <w:t>Provádění cviku na rovné lavici lze pomocí 3 variant</w:t>
      </w:r>
    </w:p>
    <w:p w:rsidR="00E17B5E" w:rsidRPr="00E17B5E" w:rsidRDefault="00E17B5E" w:rsidP="00E17B5E">
      <w:pPr>
        <w:pStyle w:val="Odstavecseseznamem"/>
        <w:spacing w:line="240" w:lineRule="auto"/>
        <w:ind w:firstLine="0"/>
      </w:pPr>
    </w:p>
    <w:p w:rsidR="002B6749" w:rsidRDefault="002B6749" w:rsidP="00E17B5E">
      <w:pPr>
        <w:pStyle w:val="Odstavecseseznamem"/>
        <w:numPr>
          <w:ilvl w:val="0"/>
          <w:numId w:val="4"/>
        </w:numPr>
        <w:spacing w:line="240" w:lineRule="auto"/>
      </w:pPr>
      <w:r>
        <w:t>nohy skrčené ve vzduchu</w:t>
      </w:r>
    </w:p>
    <w:p w:rsidR="002B6749" w:rsidRDefault="002B6749" w:rsidP="00E17B5E">
      <w:pPr>
        <w:pStyle w:val="Odstavecseseznamem"/>
        <w:numPr>
          <w:ilvl w:val="0"/>
          <w:numId w:val="4"/>
        </w:numPr>
        <w:spacing w:line="240" w:lineRule="auto"/>
      </w:pPr>
      <w:r>
        <w:t>silový benchpress</w:t>
      </w:r>
    </w:p>
    <w:p w:rsidR="00866061" w:rsidRDefault="002B6749" w:rsidP="00E17B5E">
      <w:pPr>
        <w:pStyle w:val="Odstavecseseznamem"/>
        <w:numPr>
          <w:ilvl w:val="0"/>
          <w:numId w:val="4"/>
        </w:numPr>
        <w:spacing w:line="240" w:lineRule="auto"/>
      </w:pPr>
      <w:r>
        <w:t>klasická pozice – nohy na zemi (úhel v kolenním kloubu je přibližně 90°), minimální prohnutí v bederní oblasti</w:t>
      </w:r>
    </w:p>
    <w:p w:rsidR="002B6749" w:rsidRDefault="002B6749" w:rsidP="00E17B5E">
      <w:pPr>
        <w:spacing w:line="240" w:lineRule="auto"/>
        <w:contextualSpacing/>
      </w:pPr>
    </w:p>
    <w:p w:rsidR="00E17B5E" w:rsidRDefault="00E17B5E" w:rsidP="00E17B5E">
      <w:pPr>
        <w:spacing w:line="240" w:lineRule="auto"/>
        <w:contextualSpacing/>
      </w:pPr>
    </w:p>
    <w:p w:rsidR="00BA170B" w:rsidRDefault="00237828" w:rsidP="00237828">
      <w:pPr>
        <w:pStyle w:val="Nadpis3"/>
        <w:spacing w:line="240" w:lineRule="auto"/>
        <w:ind w:left="720" w:firstLine="0"/>
        <w:contextualSpacing/>
      </w:pPr>
      <w:bookmarkStart w:id="2" w:name="_Toc38225046"/>
      <w:r>
        <w:lastRenderedPageBreak/>
        <w:t xml:space="preserve">2.1 </w:t>
      </w:r>
      <w:r w:rsidR="00BA170B" w:rsidRPr="00E17B5E">
        <w:t>Technika provedení</w:t>
      </w:r>
      <w:bookmarkEnd w:id="2"/>
    </w:p>
    <w:p w:rsidR="00E17B5E" w:rsidRPr="00E17B5E" w:rsidRDefault="00E17B5E" w:rsidP="00E17B5E">
      <w:pPr>
        <w:spacing w:line="240" w:lineRule="auto"/>
        <w:contextualSpacing/>
      </w:pPr>
    </w:p>
    <w:p w:rsidR="00282892" w:rsidRDefault="001677A0" w:rsidP="00E17B5E">
      <w:pPr>
        <w:spacing w:line="240" w:lineRule="auto"/>
        <w:contextualSpacing/>
      </w:pPr>
      <w:r>
        <w:t xml:space="preserve">Doporučení ke správné technice je především v dýchání. </w:t>
      </w:r>
      <w:r w:rsidR="00282892" w:rsidRPr="00BA170B">
        <w:rPr>
          <w:b/>
        </w:rPr>
        <w:t>Nádech (inspirace)</w:t>
      </w:r>
      <w:r w:rsidR="00282892">
        <w:t xml:space="preserve"> při spouštění osy k</w:t>
      </w:r>
      <w:r w:rsidR="00BA170B">
        <w:t> </w:t>
      </w:r>
      <w:r w:rsidR="00282892">
        <w:t>hrudníku</w:t>
      </w:r>
      <w:r w:rsidR="00BA170B">
        <w:t xml:space="preserve"> a </w:t>
      </w:r>
      <w:r w:rsidR="00BA170B">
        <w:rPr>
          <w:b/>
        </w:rPr>
        <w:t>v</w:t>
      </w:r>
      <w:r w:rsidR="00282892" w:rsidRPr="00BA170B">
        <w:rPr>
          <w:b/>
        </w:rPr>
        <w:t>ýdech (exspirace</w:t>
      </w:r>
      <w:r w:rsidR="00282892">
        <w:t>) s tlakem od hrudníku</w:t>
      </w:r>
      <w:r w:rsidR="00BA170B">
        <w:t xml:space="preserve">. </w:t>
      </w:r>
      <w:r>
        <w:t xml:space="preserve">Při správném dýchání lze zvětšit i vitální kapacitu plic. </w:t>
      </w:r>
    </w:p>
    <w:p w:rsidR="00866061" w:rsidRDefault="00282892" w:rsidP="00E17B5E">
      <w:pPr>
        <w:spacing w:line="240" w:lineRule="auto"/>
        <w:contextualSpacing/>
      </w:pPr>
      <w:r>
        <w:t xml:space="preserve">Úchop se používá </w:t>
      </w:r>
      <w:r w:rsidRPr="00282892">
        <w:rPr>
          <w:b/>
        </w:rPr>
        <w:t>nadhmatový</w:t>
      </w:r>
      <w:r>
        <w:t xml:space="preserve">. Pro zvýšení bezpečnosti se doporučuje používat </w:t>
      </w:r>
      <w:r w:rsidRPr="00282892">
        <w:rPr>
          <w:b/>
        </w:rPr>
        <w:t>palcový</w:t>
      </w:r>
      <w:r>
        <w:t xml:space="preserve"> </w:t>
      </w:r>
      <w:r w:rsidRPr="00282892">
        <w:rPr>
          <w:b/>
        </w:rPr>
        <w:t>úchop</w:t>
      </w:r>
      <w:r>
        <w:t xml:space="preserve"> (palec brání překlopení zápěstí a následnému pádu činky na hrudník).</w:t>
      </w:r>
    </w:p>
    <w:p w:rsidR="002B6749" w:rsidRDefault="002B6749" w:rsidP="00E17B5E">
      <w:pPr>
        <w:spacing w:line="240" w:lineRule="auto"/>
        <w:contextualSpacing/>
      </w:pPr>
    </w:p>
    <w:p w:rsidR="00E17B5E" w:rsidRDefault="00866061" w:rsidP="00E17B5E">
      <w:pPr>
        <w:pStyle w:val="Odstavecseseznamem"/>
        <w:numPr>
          <w:ilvl w:val="0"/>
          <w:numId w:val="17"/>
        </w:numPr>
        <w:spacing w:line="240" w:lineRule="auto"/>
        <w:rPr>
          <w:bCs/>
          <w:u w:val="single"/>
        </w:rPr>
      </w:pPr>
      <w:r w:rsidRPr="00E17B5E">
        <w:rPr>
          <w:bCs/>
          <w:u w:val="single"/>
        </w:rPr>
        <w:t xml:space="preserve">Základní fáze provedení cviku: </w:t>
      </w:r>
    </w:p>
    <w:p w:rsidR="00E17B5E" w:rsidRDefault="00E17B5E" w:rsidP="00E17B5E">
      <w:pPr>
        <w:pStyle w:val="Odstavecseseznamem"/>
        <w:spacing w:line="240" w:lineRule="auto"/>
        <w:ind w:left="1068" w:firstLine="0"/>
        <w:rPr>
          <w:bCs/>
          <w:u w:val="single"/>
        </w:rPr>
      </w:pPr>
    </w:p>
    <w:p w:rsidR="00E17B5E" w:rsidRPr="00E17B5E" w:rsidRDefault="002B6749" w:rsidP="00E17B5E">
      <w:pPr>
        <w:pStyle w:val="Odstavecseseznamem"/>
        <w:numPr>
          <w:ilvl w:val="0"/>
          <w:numId w:val="22"/>
        </w:numPr>
        <w:spacing w:line="240" w:lineRule="auto"/>
        <w:rPr>
          <w:bCs/>
          <w:u w:val="single"/>
        </w:rPr>
      </w:pPr>
      <w:r>
        <w:t>v</w:t>
      </w:r>
      <w:r>
        <w:t>ýchozí pozicí je leh na lavici, chodidla pevně přitisknutá k</w:t>
      </w:r>
      <w:r>
        <w:t> </w:t>
      </w:r>
      <w:r>
        <w:t>podložce</w:t>
      </w:r>
      <w:r>
        <w:t>; ú</w:t>
      </w:r>
      <w:r>
        <w:t>hel v</w:t>
      </w:r>
      <w:r>
        <w:tab/>
      </w:r>
      <w:r>
        <w:t> kolenním kloubu cca 90°</w:t>
      </w:r>
    </w:p>
    <w:p w:rsidR="00E17B5E" w:rsidRPr="00E17B5E" w:rsidRDefault="00866061" w:rsidP="00E17B5E">
      <w:pPr>
        <w:pStyle w:val="Odstavecseseznamem"/>
        <w:numPr>
          <w:ilvl w:val="0"/>
          <w:numId w:val="22"/>
        </w:numPr>
        <w:spacing w:line="240" w:lineRule="auto"/>
        <w:rPr>
          <w:bCs/>
          <w:u w:val="single"/>
        </w:rPr>
      </w:pPr>
      <w:r>
        <w:t>sejmutí činky ze stojanu (osa činky je v úrovni očí)</w:t>
      </w:r>
    </w:p>
    <w:p w:rsidR="00E17B5E" w:rsidRPr="00E17B5E" w:rsidRDefault="00866061" w:rsidP="00E17B5E">
      <w:pPr>
        <w:pStyle w:val="Odstavecseseznamem"/>
        <w:numPr>
          <w:ilvl w:val="0"/>
          <w:numId w:val="22"/>
        </w:numPr>
        <w:spacing w:line="240" w:lineRule="auto"/>
        <w:rPr>
          <w:bCs/>
          <w:u w:val="single"/>
        </w:rPr>
      </w:pPr>
      <w:r>
        <w:t>stabilizace pohybu v předpažení, šířka nadhmatového úchopu je zhruba o 10-20 cm širší než šířka ramen</w:t>
      </w:r>
    </w:p>
    <w:p w:rsidR="00E17B5E" w:rsidRPr="00E17B5E" w:rsidRDefault="002B6749" w:rsidP="00E17B5E">
      <w:pPr>
        <w:pStyle w:val="Odstavecseseznamem"/>
        <w:numPr>
          <w:ilvl w:val="0"/>
          <w:numId w:val="22"/>
        </w:numPr>
        <w:spacing w:line="240" w:lineRule="auto"/>
        <w:rPr>
          <w:bCs/>
          <w:u w:val="single"/>
        </w:rPr>
      </w:pPr>
      <w:r w:rsidRPr="00E17B5E">
        <w:rPr>
          <w:bCs/>
        </w:rPr>
        <w:t xml:space="preserve">s nádechem </w:t>
      </w:r>
      <w:r w:rsidR="00866061" w:rsidRPr="00866061">
        <w:t>kontrolovaný</w:t>
      </w:r>
      <w:r w:rsidR="00866061">
        <w:t xml:space="preserve"> pohyb na hrudník (brzdící fáze) = </w:t>
      </w:r>
      <w:r w:rsidR="00866061" w:rsidRPr="00E17B5E">
        <w:rPr>
          <w:b/>
        </w:rPr>
        <w:t>excentrická kontrakce</w:t>
      </w:r>
      <w:r w:rsidR="00866061" w:rsidRPr="00E17B5E">
        <w:rPr>
          <w:b/>
        </w:rPr>
        <w:t xml:space="preserve"> -&gt;</w:t>
      </w:r>
      <w:r w:rsidR="00866061" w:rsidRPr="00E17B5E">
        <w:rPr>
          <w:b/>
        </w:rPr>
        <w:t xml:space="preserve"> </w:t>
      </w:r>
      <w:r w:rsidR="00866061">
        <w:t>d</w:t>
      </w:r>
      <w:r w:rsidR="00866061">
        <w:t>ochází k flexi v loketních kloubech a k addukci v ramenních kloubech</w:t>
      </w:r>
    </w:p>
    <w:p w:rsidR="00596543" w:rsidRPr="00E17B5E" w:rsidRDefault="00866061" w:rsidP="00E17B5E">
      <w:pPr>
        <w:pStyle w:val="Odstavecseseznamem"/>
        <w:numPr>
          <w:ilvl w:val="0"/>
          <w:numId w:val="22"/>
        </w:numPr>
        <w:spacing w:line="240" w:lineRule="auto"/>
        <w:rPr>
          <w:bCs/>
          <w:u w:val="single"/>
        </w:rPr>
      </w:pPr>
      <w:r>
        <w:t xml:space="preserve">aktivní tlak od hrudníku do výchozí pozice = </w:t>
      </w:r>
      <w:r w:rsidRPr="00E17B5E">
        <w:rPr>
          <w:b/>
        </w:rPr>
        <w:t>koncentrická kontrakce</w:t>
      </w:r>
      <w:r w:rsidRPr="00E17B5E">
        <w:rPr>
          <w:b/>
        </w:rPr>
        <w:t xml:space="preserve"> -&gt; </w:t>
      </w:r>
      <w:r w:rsidRPr="00E17B5E">
        <w:rPr>
          <w:bCs/>
        </w:rPr>
        <w:t>d</w:t>
      </w:r>
      <w:r>
        <w:t>ochází k extenzi v loketních kloubech a k abdukci v ramenních kloubech</w:t>
      </w:r>
    </w:p>
    <w:p w:rsidR="00E17B5E" w:rsidRDefault="00E17B5E" w:rsidP="00E17B5E">
      <w:pPr>
        <w:spacing w:line="240" w:lineRule="auto"/>
        <w:ind w:left="708" w:firstLine="1"/>
        <w:contextualSpacing/>
      </w:pPr>
    </w:p>
    <w:p w:rsidR="00E17B5E" w:rsidRDefault="002B6749" w:rsidP="00237828">
      <w:pPr>
        <w:pStyle w:val="Nadpis2"/>
        <w:spacing w:line="240" w:lineRule="auto"/>
        <w:ind w:firstLine="0"/>
        <w:contextualSpacing/>
      </w:pPr>
      <w:bookmarkStart w:id="3" w:name="_Toc38225047"/>
      <w:r>
        <w:t>3. Zapojené svaly</w:t>
      </w:r>
      <w:bookmarkEnd w:id="3"/>
    </w:p>
    <w:p w:rsidR="00E17B5E" w:rsidRPr="00E17B5E" w:rsidRDefault="00E17B5E" w:rsidP="00E17B5E"/>
    <w:p w:rsidR="00596543" w:rsidRDefault="00596543" w:rsidP="00E17B5E">
      <w:pPr>
        <w:spacing w:line="240" w:lineRule="auto"/>
        <w:contextualSpacing/>
      </w:pPr>
      <w:r>
        <w:t>Hlavními mobilizujícími svaly jsou m</w:t>
      </w:r>
      <w:r w:rsidR="002B6749">
        <w:t>.</w:t>
      </w:r>
      <w:r>
        <w:t xml:space="preserve"> triceps </w:t>
      </w:r>
      <w:proofErr w:type="spellStart"/>
      <w:r>
        <w:t>brachii</w:t>
      </w:r>
      <w:proofErr w:type="spellEnd"/>
      <w:r>
        <w:t xml:space="preserve"> (trojhlavý sval pažní), m</w:t>
      </w:r>
      <w:r w:rsidR="002B6749">
        <w:t>.</w:t>
      </w:r>
      <w:r>
        <w:t xml:space="preserve"> </w:t>
      </w:r>
      <w:proofErr w:type="spellStart"/>
      <w:r>
        <w:t>anconeus</w:t>
      </w:r>
      <w:proofErr w:type="spellEnd"/>
      <w:r>
        <w:t xml:space="preserve"> (sval loketní), m</w:t>
      </w:r>
      <w:r w:rsidR="002B6749">
        <w:t>.</w:t>
      </w:r>
      <w:r>
        <w:t xml:space="preserve"> </w:t>
      </w:r>
      <w:proofErr w:type="spellStart"/>
      <w:r>
        <w:t>pectoralis</w:t>
      </w:r>
      <w:proofErr w:type="spellEnd"/>
      <w:r>
        <w:t xml:space="preserve"> major (velký prsní sval), m</w:t>
      </w:r>
      <w:r w:rsidR="002B6749">
        <w:t>.</w:t>
      </w:r>
      <w:r>
        <w:t xml:space="preserve"> </w:t>
      </w:r>
      <w:proofErr w:type="spellStart"/>
      <w:r>
        <w:t>coracobrachialis</w:t>
      </w:r>
      <w:proofErr w:type="spellEnd"/>
      <w:r>
        <w:t xml:space="preserve"> (vnitřní sval pažní), přední část m</w:t>
      </w:r>
      <w:r w:rsidR="002B6749">
        <w:t>.</w:t>
      </w:r>
      <w:r>
        <w:t xml:space="preserve"> </w:t>
      </w:r>
      <w:proofErr w:type="spellStart"/>
      <w:r>
        <w:t>deltoideus</w:t>
      </w:r>
      <w:proofErr w:type="spellEnd"/>
      <w:r>
        <w:t xml:space="preserve"> (sval ramenní) a </w:t>
      </w:r>
      <w:r w:rsidR="002B6749">
        <w:t xml:space="preserve">m. </w:t>
      </w:r>
      <w:proofErr w:type="spellStart"/>
      <w:r>
        <w:t>serratus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(pilovitý sval přední)</w:t>
      </w:r>
      <w:r w:rsidR="002B6749">
        <w:t xml:space="preserve"> </w:t>
      </w:r>
      <w:r>
        <w:t>(</w:t>
      </w:r>
      <w:proofErr w:type="spellStart"/>
      <w:r>
        <w:t>Manocchia</w:t>
      </w:r>
      <w:proofErr w:type="spellEnd"/>
      <w:r>
        <w:t>, 2014; Tlapák, 2014; Vella, 2007)</w:t>
      </w:r>
      <w:r w:rsidR="002B6749">
        <w:t>.</w:t>
      </w:r>
    </w:p>
    <w:p w:rsidR="00596543" w:rsidRPr="00BA170B" w:rsidRDefault="00596543" w:rsidP="00E17B5E">
      <w:pPr>
        <w:spacing w:line="240" w:lineRule="auto"/>
        <w:contextualSpacing/>
        <w:sectPr w:rsidR="00596543" w:rsidRPr="00BA170B" w:rsidSect="00D53CE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Svaly, které se podílejí na pohybu lze rozdělit na svaly hlavní, svaly vedlejší a svaly stabilizačn</w:t>
      </w:r>
      <w:r w:rsidR="00BA170B">
        <w:t>í</w:t>
      </w:r>
      <w:r w:rsidR="002B6749">
        <w:t xml:space="preserve">: </w:t>
      </w:r>
    </w:p>
    <w:tbl>
      <w:tblPr>
        <w:tblpPr w:leftFromText="141" w:rightFromText="141" w:vertAnchor="text" w:horzAnchor="margin" w:tblpY="794"/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2740"/>
        <w:gridCol w:w="3000"/>
      </w:tblGrid>
      <w:tr w:rsidR="00BA170B" w:rsidRPr="00BA170B" w:rsidTr="008205FC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Svaly hlavní: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Svaly vedlejší: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Svaly stabilizační:</w:t>
            </w:r>
          </w:p>
        </w:tc>
      </w:tr>
      <w:tr w:rsidR="00BA170B" w:rsidRPr="00BA170B" w:rsidTr="008205FC">
        <w:trPr>
          <w:trHeight w:val="6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pectoralis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major (velký sval prsní)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biceps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brachii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(dvojhlavý sval pažní)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vzpřimovače</w:t>
            </w:r>
          </w:p>
        </w:tc>
      </w:tr>
      <w:tr w:rsidR="00BA170B" w:rsidRPr="00BA170B" w:rsidTr="008205FC">
        <w:trPr>
          <w:trHeight w:val="6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pectoralis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minor (malý sval prsní)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extensory předloktí a zápěstí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latissimus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dorsi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(široký sval zádový)</w:t>
            </w:r>
          </w:p>
        </w:tc>
      </w:tr>
      <w:tr w:rsidR="00BA170B" w:rsidRPr="00BA170B" w:rsidTr="008205FC">
        <w:trPr>
          <w:trHeight w:val="6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m. deltoidem (sval deltový)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flexory předloktí a zápěstí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rectus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abdominis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(přímý sval břišní)</w:t>
            </w:r>
          </w:p>
        </w:tc>
      </w:tr>
      <w:tr w:rsidR="00BA170B" w:rsidRPr="00BA170B" w:rsidTr="008205FC">
        <w:trPr>
          <w:trHeight w:val="94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triceps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brachii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(trojhlavý sval pažní)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serratus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anterior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(přední pilovitý sval)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obliquus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internus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et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externus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abdominis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(šikmé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břisní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svaly vnitřní a vnější)</w:t>
            </w:r>
          </w:p>
        </w:tc>
      </w:tr>
      <w:tr w:rsidR="00BA170B" w:rsidRPr="00BA170B" w:rsidTr="008205FC">
        <w:trPr>
          <w:trHeight w:val="6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anconeus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(sval loketní)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170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intercostales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(mezižeberní svaly)</w:t>
            </w:r>
          </w:p>
        </w:tc>
      </w:tr>
      <w:tr w:rsidR="00BA170B" w:rsidRPr="00BA170B" w:rsidTr="008205FC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BA170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BA170B" w:rsidRPr="00BA170B" w:rsidRDefault="00BA170B" w:rsidP="008205FC">
            <w:pPr>
              <w:spacing w:after="0" w:line="240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m. </w:t>
            </w:r>
            <w:proofErr w:type="spellStart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>trapezius</w:t>
            </w:r>
            <w:proofErr w:type="spellEnd"/>
            <w:r w:rsidRPr="00BA170B">
              <w:rPr>
                <w:rFonts w:eastAsia="Times New Roman" w:cs="Times New Roman"/>
                <w:color w:val="000000"/>
                <w:szCs w:val="24"/>
                <w:lang w:eastAsia="cs-CZ"/>
              </w:rPr>
              <w:t xml:space="preserve"> (sval trapézový)</w:t>
            </w:r>
          </w:p>
        </w:tc>
      </w:tr>
    </w:tbl>
    <w:p w:rsidR="00BA170B" w:rsidRDefault="00BA170B" w:rsidP="00E17B5E">
      <w:pPr>
        <w:spacing w:line="240" w:lineRule="auto"/>
        <w:ind w:firstLine="0"/>
        <w:contextualSpacing/>
        <w:rPr>
          <w:b/>
        </w:rPr>
      </w:pPr>
    </w:p>
    <w:p w:rsidR="008205FC" w:rsidRDefault="008205FC" w:rsidP="00E17B5E">
      <w:pPr>
        <w:spacing w:line="240" w:lineRule="auto"/>
        <w:ind w:firstLine="708"/>
        <w:contextualSpacing/>
      </w:pPr>
    </w:p>
    <w:p w:rsidR="00866061" w:rsidRDefault="00866061" w:rsidP="00E17B5E">
      <w:pPr>
        <w:spacing w:line="240" w:lineRule="auto"/>
        <w:ind w:firstLine="708"/>
        <w:contextualSpacing/>
      </w:pPr>
      <w:r>
        <w:lastRenderedPageBreak/>
        <w:t xml:space="preserve">Při klasickém benchpressu na rovné lavici se podílí spíše střední část prsního svalu a přední část deltového svalu, vlivem techniky lze zapojit i triceps. Při silové technice (tzv. </w:t>
      </w:r>
      <w:proofErr w:type="spellStart"/>
      <w:r>
        <w:t>mostování</w:t>
      </w:r>
      <w:proofErr w:type="spellEnd"/>
      <w:r>
        <w:t>) se naopak zapojuje především spodní část prsního svalu. Cvik lze modifikovat pomocí polohovatelné lavice s možností úhlové změny opěrky trupu. Sklon určuje účinek na horní, střední nebo spodní část velkého prsního svalu. Horní část prsního svalu je zatěžována při poloze hlavy vzhůru, střední část svalu v poloze vodorovné, a spodní část prsního svalu je zatěžována při poloze hlavy dolů (</w:t>
      </w:r>
      <w:proofErr w:type="spellStart"/>
      <w:r>
        <w:t>Delavier</w:t>
      </w:r>
      <w:proofErr w:type="spellEnd"/>
      <w:r>
        <w:t>, 2007). Další možností modifikace je distanční pozice rukou. Při úzkém úchopu jsou zatěžovány vice vnitřní části prsních svalů směrem k hrudní kosti, a naopak při širokém úchopu jsou zatěžovány více vnější části prsních svalů (</w:t>
      </w:r>
      <w:proofErr w:type="spellStart"/>
      <w:r>
        <w:t>Evans</w:t>
      </w:r>
      <w:proofErr w:type="spellEnd"/>
      <w:r>
        <w:t>, 2007).</w:t>
      </w:r>
    </w:p>
    <w:p w:rsidR="002B6749" w:rsidRDefault="002B6749" w:rsidP="00E17B5E">
      <w:pPr>
        <w:spacing w:line="240" w:lineRule="auto"/>
        <w:ind w:firstLine="0"/>
        <w:contextualSpacing/>
      </w:pPr>
    </w:p>
    <w:p w:rsidR="00237828" w:rsidRDefault="00237828" w:rsidP="00E17B5E">
      <w:pPr>
        <w:spacing w:line="240" w:lineRule="auto"/>
        <w:ind w:firstLine="0"/>
        <w:contextualSpacing/>
      </w:pPr>
    </w:p>
    <w:p w:rsidR="00237828" w:rsidRDefault="002B6749" w:rsidP="00237828">
      <w:pPr>
        <w:pStyle w:val="Nadpis2"/>
        <w:spacing w:line="240" w:lineRule="auto"/>
        <w:ind w:firstLine="0"/>
        <w:contextualSpacing/>
      </w:pPr>
      <w:bookmarkStart w:id="4" w:name="_Toc38225048"/>
      <w:r>
        <w:t>4. Chybné provedení</w:t>
      </w:r>
      <w:bookmarkEnd w:id="4"/>
      <w:r>
        <w:t xml:space="preserve"> </w:t>
      </w:r>
    </w:p>
    <w:p w:rsidR="008205FC" w:rsidRDefault="008205FC" w:rsidP="008205FC">
      <w:pPr>
        <w:spacing w:line="240" w:lineRule="auto"/>
        <w:ind w:firstLine="0"/>
      </w:pPr>
    </w:p>
    <w:p w:rsidR="00AA33AD" w:rsidRDefault="00AA33AD" w:rsidP="008205FC">
      <w:pPr>
        <w:pStyle w:val="Odstavecseseznamem"/>
        <w:numPr>
          <w:ilvl w:val="0"/>
          <w:numId w:val="25"/>
        </w:numPr>
        <w:spacing w:line="240" w:lineRule="auto"/>
      </w:pPr>
      <w:r w:rsidRPr="008205FC">
        <w:t>Ohýbání zápěstí</w:t>
      </w:r>
      <w:r>
        <w:t xml:space="preserve"> – pravděpodobně jedna z nejčastějších chyb, která může způsobit vážné zranění. Doporučuje se ubrat váhu na ose. </w:t>
      </w:r>
    </w:p>
    <w:p w:rsidR="008205FC" w:rsidRPr="00AA33AD" w:rsidRDefault="008205FC" w:rsidP="008205FC">
      <w:pPr>
        <w:pStyle w:val="Odstavecseseznamem"/>
        <w:spacing w:line="240" w:lineRule="auto"/>
        <w:ind w:firstLine="0"/>
      </w:pPr>
    </w:p>
    <w:p w:rsidR="00AA33AD" w:rsidRDefault="00AA33AD" w:rsidP="008205FC">
      <w:pPr>
        <w:pStyle w:val="Odstavecseseznamem"/>
        <w:numPr>
          <w:ilvl w:val="0"/>
          <w:numId w:val="25"/>
        </w:numPr>
        <w:spacing w:line="240" w:lineRule="auto"/>
        <w:rPr>
          <w:bCs/>
        </w:rPr>
      </w:pPr>
      <w:r w:rsidRPr="008205FC">
        <w:rPr>
          <w:bCs/>
        </w:rPr>
        <w:t xml:space="preserve">Prohýbání zad – užívá se spíše v rámci zvedání maximálních vah při soutěži. Při klasickém provedení benchpressu se jedná o chybu (viz vysvětlení v textu v kapitole 2. Provedení cviku). </w:t>
      </w:r>
    </w:p>
    <w:p w:rsidR="008205FC" w:rsidRPr="008205FC" w:rsidRDefault="008205FC" w:rsidP="008205FC">
      <w:pPr>
        <w:pStyle w:val="Odstavecseseznamem"/>
        <w:spacing w:line="240" w:lineRule="auto"/>
        <w:ind w:firstLine="0"/>
        <w:rPr>
          <w:bCs/>
        </w:rPr>
      </w:pPr>
    </w:p>
    <w:p w:rsidR="00866061" w:rsidRPr="008205FC" w:rsidRDefault="00AA33AD" w:rsidP="008205FC">
      <w:pPr>
        <w:pStyle w:val="Odstavecseseznamem"/>
        <w:numPr>
          <w:ilvl w:val="0"/>
          <w:numId w:val="25"/>
        </w:numPr>
        <w:spacing w:line="240" w:lineRule="auto"/>
        <w:rPr>
          <w:bCs/>
        </w:rPr>
      </w:pPr>
      <w:r w:rsidRPr="008205FC">
        <w:rPr>
          <w:bCs/>
        </w:rPr>
        <w:t>Kladení činky příliš ke krku nebo až pod prsní svaly; propínání loktů; příliš rychlý pohyb; o</w:t>
      </w:r>
      <w:r w:rsidRPr="008205FC">
        <w:rPr>
          <w:bCs/>
        </w:rPr>
        <w:t>drážení osy od hrudníku</w:t>
      </w:r>
      <w:r w:rsidRPr="008205FC">
        <w:rPr>
          <w:bCs/>
        </w:rPr>
        <w:t>; nedostatečná aktivace svalů</w:t>
      </w:r>
      <w:r w:rsidRPr="008205FC">
        <w:rPr>
          <w:bCs/>
        </w:rPr>
        <w:t xml:space="preserve"> </w:t>
      </w:r>
      <w:r w:rsidRPr="008205FC">
        <w:rPr>
          <w:bCs/>
        </w:rPr>
        <w:t xml:space="preserve">– souhrn běžných chyb, které pravděpodobně souvisí s nedostatečnou znalostí techniky provedení a mohou být nebezpečné (vznik zranění). </w:t>
      </w:r>
    </w:p>
    <w:p w:rsidR="00BA170B" w:rsidRDefault="00BA170B" w:rsidP="00596543">
      <w:pPr>
        <w:ind w:firstLine="0"/>
        <w:rPr>
          <w:b/>
        </w:rPr>
        <w:sectPr w:rsidR="00BA170B" w:rsidSect="0059654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431E" w:rsidRDefault="0049431E" w:rsidP="00596543">
      <w:pPr>
        <w:ind w:firstLine="0"/>
      </w:pPr>
    </w:p>
    <w:p w:rsidR="008205FC" w:rsidRPr="008205FC" w:rsidRDefault="00237828" w:rsidP="008205FC">
      <w:pPr>
        <w:pStyle w:val="Nadpis2"/>
        <w:ind w:firstLine="0"/>
      </w:pPr>
      <w:bookmarkStart w:id="5" w:name="_Toc38225049"/>
      <w:r>
        <w:t>5. Zdroje</w:t>
      </w:r>
      <w:bookmarkEnd w:id="5"/>
    </w:p>
    <w:p w:rsidR="008205FC" w:rsidRDefault="008205FC" w:rsidP="008205FC">
      <w:pPr>
        <w:ind w:firstLine="0"/>
        <w:rPr>
          <w:rFonts w:cs="Times New Roman"/>
          <w:color w:val="222222"/>
          <w:szCs w:val="24"/>
          <w:shd w:val="clear" w:color="auto" w:fill="FFFFFF"/>
        </w:rPr>
      </w:pPr>
    </w:p>
    <w:p w:rsidR="008205FC" w:rsidRPr="008205FC" w:rsidRDefault="009F39E8" w:rsidP="008205FC">
      <w:pPr>
        <w:pStyle w:val="Odstavecseseznamem"/>
        <w:numPr>
          <w:ilvl w:val="0"/>
          <w:numId w:val="27"/>
        </w:numPr>
      </w:pPr>
      <w:r w:rsidRPr="008205FC">
        <w:rPr>
          <w:rFonts w:cs="Times New Roman"/>
          <w:color w:val="222222"/>
          <w:szCs w:val="24"/>
          <w:shd w:val="clear" w:color="auto" w:fill="FFFFFF"/>
        </w:rPr>
        <w:t>ČIHÁK, Radomír. Anatomie 1. 2. upravené a doplněné vydání. </w:t>
      </w:r>
      <w:r w:rsidRPr="008205FC">
        <w:rPr>
          <w:rFonts w:cs="Times New Roman"/>
          <w:i/>
          <w:iCs/>
          <w:color w:val="222222"/>
          <w:szCs w:val="24"/>
          <w:shd w:val="clear" w:color="auto" w:fill="FFFFFF"/>
        </w:rPr>
        <w:t>Avicenum, Praha</w:t>
      </w:r>
      <w:r w:rsidRPr="008205FC">
        <w:rPr>
          <w:rFonts w:cs="Times New Roman"/>
          <w:color w:val="222222"/>
          <w:szCs w:val="24"/>
          <w:shd w:val="clear" w:color="auto" w:fill="FFFFFF"/>
        </w:rPr>
        <w:t>, 2001.</w:t>
      </w:r>
    </w:p>
    <w:p w:rsidR="008205FC" w:rsidRPr="008205FC" w:rsidRDefault="009F39E8" w:rsidP="008205FC">
      <w:pPr>
        <w:pStyle w:val="Odstavecseseznamem"/>
        <w:numPr>
          <w:ilvl w:val="0"/>
          <w:numId w:val="27"/>
        </w:numPr>
      </w:pPr>
      <w:r w:rsidRPr="008205FC">
        <w:rPr>
          <w:rFonts w:cs="Times New Roman"/>
          <w:color w:val="222222"/>
          <w:szCs w:val="24"/>
          <w:shd w:val="clear" w:color="auto" w:fill="FFFFFF"/>
        </w:rPr>
        <w:t>DELAVIER, F. Posilování–anatomický průvodce. </w:t>
      </w:r>
      <w:r w:rsidRPr="008205FC">
        <w:rPr>
          <w:rFonts w:cs="Times New Roman"/>
          <w:i/>
          <w:iCs/>
          <w:color w:val="222222"/>
          <w:szCs w:val="24"/>
          <w:shd w:val="clear" w:color="auto" w:fill="FFFFFF"/>
        </w:rPr>
        <w:t>České Budějovice: Kopp</w:t>
      </w:r>
      <w:r w:rsidRPr="008205FC">
        <w:rPr>
          <w:rFonts w:cs="Times New Roman"/>
          <w:color w:val="222222"/>
          <w:szCs w:val="24"/>
          <w:shd w:val="clear" w:color="auto" w:fill="FFFFFF"/>
        </w:rPr>
        <w:t>, 2007.</w:t>
      </w:r>
    </w:p>
    <w:p w:rsidR="008205FC" w:rsidRPr="008205FC" w:rsidRDefault="009F39E8" w:rsidP="008205FC">
      <w:pPr>
        <w:pStyle w:val="Odstavecseseznamem"/>
        <w:numPr>
          <w:ilvl w:val="0"/>
          <w:numId w:val="27"/>
        </w:numPr>
      </w:pPr>
      <w:r w:rsidRPr="008205FC">
        <w:rPr>
          <w:rFonts w:cs="Times New Roman"/>
          <w:color w:val="222222"/>
          <w:szCs w:val="24"/>
          <w:shd w:val="clear" w:color="auto" w:fill="FFFFFF"/>
        </w:rPr>
        <w:t>EVANS, Nick. </w:t>
      </w:r>
      <w:r w:rsidRPr="008205FC">
        <w:rPr>
          <w:rFonts w:cs="Times New Roman"/>
          <w:i/>
          <w:iCs/>
          <w:color w:val="222222"/>
          <w:szCs w:val="24"/>
          <w:shd w:val="clear" w:color="auto" w:fill="FFFFFF"/>
        </w:rPr>
        <w:t>Bodybuilding a posilování</w:t>
      </w:r>
      <w:r w:rsidRPr="008205FC">
        <w:rPr>
          <w:rFonts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8205FC">
        <w:rPr>
          <w:rFonts w:cs="Times New Roman"/>
          <w:color w:val="222222"/>
          <w:szCs w:val="24"/>
          <w:shd w:val="clear" w:color="auto" w:fill="FFFFFF"/>
        </w:rPr>
        <w:t>CPress</w:t>
      </w:r>
      <w:proofErr w:type="spellEnd"/>
      <w:r w:rsidRPr="008205FC">
        <w:rPr>
          <w:rFonts w:cs="Times New Roman"/>
          <w:color w:val="222222"/>
          <w:szCs w:val="24"/>
          <w:shd w:val="clear" w:color="auto" w:fill="FFFFFF"/>
        </w:rPr>
        <w:t>, Albatros Media as, 2017.</w:t>
      </w:r>
    </w:p>
    <w:p w:rsidR="008205FC" w:rsidRPr="008205FC" w:rsidRDefault="00237828" w:rsidP="008205FC">
      <w:pPr>
        <w:pStyle w:val="Odstavecseseznamem"/>
        <w:numPr>
          <w:ilvl w:val="0"/>
          <w:numId w:val="27"/>
        </w:numPr>
      </w:pPr>
      <w:r w:rsidRPr="008205FC">
        <w:rPr>
          <w:rFonts w:cs="Times New Roman"/>
          <w:color w:val="222222"/>
          <w:szCs w:val="24"/>
          <w:shd w:val="clear" w:color="auto" w:fill="FFFFFF"/>
        </w:rPr>
        <w:t>MANOCCHIA, Pat. </w:t>
      </w:r>
      <w:r w:rsidRPr="008205FC">
        <w:rPr>
          <w:rFonts w:cs="Times New Roman"/>
          <w:i/>
          <w:iCs/>
          <w:color w:val="222222"/>
          <w:szCs w:val="24"/>
          <w:shd w:val="clear" w:color="auto" w:fill="FFFFFF"/>
        </w:rPr>
        <w:t>Posilování-anatomie: pět základních cviků</w:t>
      </w:r>
      <w:r w:rsidRPr="008205FC">
        <w:rPr>
          <w:rFonts w:cs="Times New Roman"/>
          <w:color w:val="222222"/>
          <w:szCs w:val="24"/>
          <w:shd w:val="clear" w:color="auto" w:fill="FFFFFF"/>
        </w:rPr>
        <w:t xml:space="preserve">. </w:t>
      </w:r>
      <w:proofErr w:type="spellStart"/>
      <w:r w:rsidRPr="008205FC">
        <w:rPr>
          <w:rFonts w:cs="Times New Roman"/>
          <w:color w:val="222222"/>
          <w:szCs w:val="24"/>
          <w:shd w:val="clear" w:color="auto" w:fill="FFFFFF"/>
        </w:rPr>
        <w:t>CPress</w:t>
      </w:r>
      <w:proofErr w:type="spellEnd"/>
      <w:r w:rsidRPr="008205FC">
        <w:rPr>
          <w:rFonts w:cs="Times New Roman"/>
          <w:color w:val="222222"/>
          <w:szCs w:val="24"/>
          <w:shd w:val="clear" w:color="auto" w:fill="FFFFFF"/>
        </w:rPr>
        <w:t>, 2014.</w:t>
      </w:r>
    </w:p>
    <w:p w:rsidR="008205FC" w:rsidRPr="008205FC" w:rsidRDefault="00237828" w:rsidP="008205FC">
      <w:pPr>
        <w:pStyle w:val="Odstavecseseznamem"/>
        <w:numPr>
          <w:ilvl w:val="0"/>
          <w:numId w:val="27"/>
        </w:numPr>
      </w:pPr>
      <w:r w:rsidRPr="008205FC">
        <w:rPr>
          <w:rFonts w:cs="Times New Roman"/>
          <w:color w:val="222222"/>
          <w:szCs w:val="24"/>
          <w:shd w:val="clear" w:color="auto" w:fill="FFFFFF"/>
        </w:rPr>
        <w:t>STOPPANI, Jim. </w:t>
      </w:r>
      <w:r w:rsidRPr="008205FC">
        <w:rPr>
          <w:rFonts w:cs="Times New Roman"/>
          <w:i/>
          <w:iCs/>
          <w:color w:val="222222"/>
          <w:szCs w:val="24"/>
          <w:shd w:val="clear" w:color="auto" w:fill="FFFFFF"/>
        </w:rPr>
        <w:t>Velká kniha posilování</w:t>
      </w:r>
      <w:r w:rsidRPr="008205FC">
        <w:rPr>
          <w:rFonts w:cs="Times New Roman"/>
          <w:color w:val="222222"/>
          <w:szCs w:val="24"/>
          <w:shd w:val="clear" w:color="auto" w:fill="FFFFFF"/>
        </w:rPr>
        <w:t xml:space="preserve">. Grada </w:t>
      </w:r>
      <w:proofErr w:type="spellStart"/>
      <w:r w:rsidRPr="008205FC">
        <w:rPr>
          <w:rFonts w:cs="Times New Roman"/>
          <w:color w:val="222222"/>
          <w:szCs w:val="24"/>
          <w:shd w:val="clear" w:color="auto" w:fill="FFFFFF"/>
        </w:rPr>
        <w:t>Publishing</w:t>
      </w:r>
      <w:proofErr w:type="spellEnd"/>
      <w:r w:rsidRPr="008205FC">
        <w:rPr>
          <w:rFonts w:cs="Times New Roman"/>
          <w:color w:val="222222"/>
          <w:szCs w:val="24"/>
          <w:shd w:val="clear" w:color="auto" w:fill="FFFFFF"/>
        </w:rPr>
        <w:t xml:space="preserve"> as, 2008.</w:t>
      </w:r>
    </w:p>
    <w:p w:rsidR="008205FC" w:rsidRPr="008205FC" w:rsidRDefault="009F39E8" w:rsidP="008205FC">
      <w:pPr>
        <w:pStyle w:val="Odstavecseseznamem"/>
        <w:numPr>
          <w:ilvl w:val="0"/>
          <w:numId w:val="27"/>
        </w:numPr>
      </w:pPr>
      <w:r w:rsidRPr="008205FC">
        <w:rPr>
          <w:rFonts w:cs="Times New Roman"/>
          <w:szCs w:val="24"/>
        </w:rPr>
        <w:t xml:space="preserve">TLAPÁK, Petr. </w:t>
      </w:r>
      <w:r w:rsidRPr="008205FC">
        <w:rPr>
          <w:rFonts w:cs="Times New Roman"/>
          <w:i/>
          <w:iCs/>
          <w:szCs w:val="24"/>
        </w:rPr>
        <w:t>Tvarování těla pro muže a ženy.</w:t>
      </w:r>
      <w:r w:rsidRPr="008205FC">
        <w:rPr>
          <w:rFonts w:cs="Times New Roman"/>
          <w:szCs w:val="24"/>
        </w:rPr>
        <w:t xml:space="preserve"> 10. vydání. Praha: ARSCI, 2014. </w:t>
      </w:r>
    </w:p>
    <w:p w:rsidR="00D53CE0" w:rsidRPr="008205FC" w:rsidRDefault="00237828" w:rsidP="008205FC">
      <w:pPr>
        <w:pStyle w:val="Odstavecseseznamem"/>
        <w:numPr>
          <w:ilvl w:val="0"/>
          <w:numId w:val="27"/>
        </w:numPr>
      </w:pPr>
      <w:r w:rsidRPr="008205FC">
        <w:rPr>
          <w:rFonts w:cs="Times New Roman"/>
          <w:color w:val="222222"/>
          <w:szCs w:val="24"/>
          <w:shd w:val="clear" w:color="auto" w:fill="FFFFFF"/>
        </w:rPr>
        <w:t>VELLA, Mark; BERRANGÉ, James. </w:t>
      </w:r>
      <w:r w:rsidRPr="008205FC">
        <w:rPr>
          <w:rFonts w:cs="Times New Roman"/>
          <w:i/>
          <w:iCs/>
          <w:color w:val="222222"/>
          <w:szCs w:val="24"/>
          <w:shd w:val="clear" w:color="auto" w:fill="FFFFFF"/>
        </w:rPr>
        <w:t>Anatomie pro trénink svalové síly a vytrvalosti</w:t>
      </w:r>
      <w:r w:rsidRPr="008205FC">
        <w:rPr>
          <w:rFonts w:cs="Times New Roman"/>
          <w:color w:val="222222"/>
          <w:szCs w:val="24"/>
          <w:shd w:val="clear" w:color="auto" w:fill="FFFFFF"/>
        </w:rPr>
        <w:t>. Mladá fronta, 2007.</w:t>
      </w:r>
    </w:p>
    <w:sectPr w:rsidR="00D53CE0" w:rsidRPr="008205FC" w:rsidSect="005965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sa Offc Serif Pro">
    <w:charset w:val="00"/>
    <w:family w:val="auto"/>
    <w:pitch w:val="variable"/>
    <w:sig w:usb0="A00002E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A3E"/>
    <w:multiLevelType w:val="hybridMultilevel"/>
    <w:tmpl w:val="8BB07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807"/>
    <w:multiLevelType w:val="hybridMultilevel"/>
    <w:tmpl w:val="41E2F270"/>
    <w:lvl w:ilvl="0" w:tplc="5B06648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0B306E"/>
    <w:multiLevelType w:val="hybridMultilevel"/>
    <w:tmpl w:val="31C248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C441D"/>
    <w:multiLevelType w:val="hybridMultilevel"/>
    <w:tmpl w:val="CB18CD50"/>
    <w:lvl w:ilvl="0" w:tplc="EF6CC3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693230"/>
    <w:multiLevelType w:val="hybridMultilevel"/>
    <w:tmpl w:val="5C42ABCA"/>
    <w:lvl w:ilvl="0" w:tplc="5B066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E0268"/>
    <w:multiLevelType w:val="hybridMultilevel"/>
    <w:tmpl w:val="ECA89D1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7557DF"/>
    <w:multiLevelType w:val="hybridMultilevel"/>
    <w:tmpl w:val="81307E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D5461"/>
    <w:multiLevelType w:val="hybridMultilevel"/>
    <w:tmpl w:val="C4884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23DA"/>
    <w:multiLevelType w:val="hybridMultilevel"/>
    <w:tmpl w:val="5552BEB0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9E2F45"/>
    <w:multiLevelType w:val="hybridMultilevel"/>
    <w:tmpl w:val="F4F4FC6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DB4487"/>
    <w:multiLevelType w:val="hybridMultilevel"/>
    <w:tmpl w:val="77A0BA4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784F52"/>
    <w:multiLevelType w:val="hybridMultilevel"/>
    <w:tmpl w:val="B34AD1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3806B1"/>
    <w:multiLevelType w:val="hybridMultilevel"/>
    <w:tmpl w:val="B0B817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7235B2"/>
    <w:multiLevelType w:val="hybridMultilevel"/>
    <w:tmpl w:val="8C0E84D4"/>
    <w:lvl w:ilvl="0" w:tplc="E73EFD9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BF05E3"/>
    <w:multiLevelType w:val="hybridMultilevel"/>
    <w:tmpl w:val="81F408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990407"/>
    <w:multiLevelType w:val="hybridMultilevel"/>
    <w:tmpl w:val="B5146778"/>
    <w:lvl w:ilvl="0" w:tplc="E73EF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2563E"/>
    <w:multiLevelType w:val="hybridMultilevel"/>
    <w:tmpl w:val="BEA656F8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5C630F"/>
    <w:multiLevelType w:val="hybridMultilevel"/>
    <w:tmpl w:val="59EE75A4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7435BC"/>
    <w:multiLevelType w:val="hybridMultilevel"/>
    <w:tmpl w:val="33209C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A1C27F8"/>
    <w:multiLevelType w:val="hybridMultilevel"/>
    <w:tmpl w:val="F8E648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577AB8"/>
    <w:multiLevelType w:val="multilevel"/>
    <w:tmpl w:val="9DBE2240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EB3AEE"/>
    <w:multiLevelType w:val="hybridMultilevel"/>
    <w:tmpl w:val="0AB2A52A"/>
    <w:lvl w:ilvl="0" w:tplc="E73EFD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366B5F"/>
    <w:multiLevelType w:val="hybridMultilevel"/>
    <w:tmpl w:val="D54449F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953A89"/>
    <w:multiLevelType w:val="hybridMultilevel"/>
    <w:tmpl w:val="C9CC369C"/>
    <w:lvl w:ilvl="0" w:tplc="E73EFD9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6D55B0"/>
    <w:multiLevelType w:val="hybridMultilevel"/>
    <w:tmpl w:val="1BE457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C14067"/>
    <w:multiLevelType w:val="hybridMultilevel"/>
    <w:tmpl w:val="DD42F1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17"/>
  </w:num>
  <w:num w:numId="5">
    <w:abstractNumId w:val="0"/>
  </w:num>
  <w:num w:numId="6">
    <w:abstractNumId w:val="7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24"/>
  </w:num>
  <w:num w:numId="10">
    <w:abstractNumId w:val="9"/>
  </w:num>
  <w:num w:numId="11">
    <w:abstractNumId w:val="18"/>
  </w:num>
  <w:num w:numId="12">
    <w:abstractNumId w:val="5"/>
  </w:num>
  <w:num w:numId="13">
    <w:abstractNumId w:val="10"/>
  </w:num>
  <w:num w:numId="14">
    <w:abstractNumId w:val="25"/>
  </w:num>
  <w:num w:numId="15">
    <w:abstractNumId w:val="22"/>
  </w:num>
  <w:num w:numId="16">
    <w:abstractNumId w:val="2"/>
  </w:num>
  <w:num w:numId="17">
    <w:abstractNumId w:val="14"/>
  </w:num>
  <w:num w:numId="18">
    <w:abstractNumId w:val="15"/>
  </w:num>
  <w:num w:numId="19">
    <w:abstractNumId w:val="13"/>
  </w:num>
  <w:num w:numId="20">
    <w:abstractNumId w:val="21"/>
  </w:num>
  <w:num w:numId="21">
    <w:abstractNumId w:val="1"/>
  </w:num>
  <w:num w:numId="22">
    <w:abstractNumId w:val="23"/>
  </w:num>
  <w:num w:numId="23">
    <w:abstractNumId w:val="16"/>
  </w:num>
  <w:num w:numId="24">
    <w:abstractNumId w:val="6"/>
  </w:num>
  <w:num w:numId="25">
    <w:abstractNumId w:val="11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A0"/>
    <w:rsid w:val="00034BE8"/>
    <w:rsid w:val="00056091"/>
    <w:rsid w:val="001677A0"/>
    <w:rsid w:val="00237828"/>
    <w:rsid w:val="0025561F"/>
    <w:rsid w:val="00282892"/>
    <w:rsid w:val="002B6749"/>
    <w:rsid w:val="00306495"/>
    <w:rsid w:val="003D539E"/>
    <w:rsid w:val="0049431E"/>
    <w:rsid w:val="004E70D1"/>
    <w:rsid w:val="00517086"/>
    <w:rsid w:val="00596543"/>
    <w:rsid w:val="005B017D"/>
    <w:rsid w:val="005D0AB4"/>
    <w:rsid w:val="006E371C"/>
    <w:rsid w:val="008205FC"/>
    <w:rsid w:val="00866061"/>
    <w:rsid w:val="009F39E8"/>
    <w:rsid w:val="00AA33AD"/>
    <w:rsid w:val="00BA170B"/>
    <w:rsid w:val="00D53CE0"/>
    <w:rsid w:val="00DD4C53"/>
    <w:rsid w:val="00E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08E7"/>
  <w15:docId w15:val="{74DC9AD4-FF5E-4EC8-B464-946FB98C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seminarni normal"/>
    <w:qFormat/>
    <w:rsid w:val="00282892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61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0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17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61F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05FC"/>
    <w:rPr>
      <w:rFonts w:asciiTheme="majorHAnsi" w:eastAsiaTheme="majorEastAsia" w:hAnsiTheme="majorHAnsi" w:cstheme="majorBidi"/>
      <w:b/>
      <w:bCs/>
      <w:sz w:val="28"/>
      <w:szCs w:val="26"/>
      <w:u w:val="single"/>
    </w:rPr>
  </w:style>
  <w:style w:type="paragraph" w:styleId="Bezmezer">
    <w:name w:val="No Spacing"/>
    <w:uiPriority w:val="1"/>
    <w:qFormat/>
    <w:rsid w:val="001677A0"/>
    <w:pPr>
      <w:spacing w:after="0" w:line="240" w:lineRule="auto"/>
    </w:pPr>
    <w:rPr>
      <w:rFonts w:ascii="Tisa Offc Serif Pro" w:hAnsi="Tisa Offc Serif Pro"/>
      <w:sz w:val="24"/>
    </w:rPr>
  </w:style>
  <w:style w:type="paragraph" w:styleId="Odstavecseseznamem">
    <w:name w:val="List Paragraph"/>
    <w:basedOn w:val="Normln"/>
    <w:uiPriority w:val="34"/>
    <w:qFormat/>
    <w:rsid w:val="00167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A170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17B5E"/>
    <w:rPr>
      <w:rFonts w:asciiTheme="majorHAnsi" w:eastAsiaTheme="majorEastAsia" w:hAnsiTheme="majorHAnsi" w:cstheme="majorBid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37828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3782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3782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://www.provecko.cz/m/klub-19/cviky/hrudnik/bench-pre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vecko.cz/m/klub-19/cviky/hrudnik/bench-press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75D3-6D2D-46B2-BEC4-E5570BD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Nová</dc:creator>
  <cp:lastModifiedBy>Kateřina Šišková</cp:lastModifiedBy>
  <cp:revision>2</cp:revision>
  <dcterms:created xsi:type="dcterms:W3CDTF">2020-04-19T19:46:00Z</dcterms:created>
  <dcterms:modified xsi:type="dcterms:W3CDTF">2020-04-19T19:46:00Z</dcterms:modified>
</cp:coreProperties>
</file>