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BOBATH KONCEPT / NDT (neurodevelopmental treatment)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Bobath koncept, kterému dali jméno manželé Karel (neurofyziolog) a Berta (fyzioterapeutka) Bobathovi, je terapeutický přístup pracující na neurovývojovém podkladě.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Pomáhá všem, kteří mají omezenou schopnost účastnit se každodenního života z důvodů poruchy či poškození centrální nervové soustavy. Řeší individuálně konkrétní problém  dítěte.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rtl w:val="0"/>
        </w:rPr>
        <w:t xml:space="preserve">Cílem je vždy funkční aktivita.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Používá se ve velké části světa pro léčbu zejména dětské mozkové obrny, ale také pro léčbu mnohých neurologických onemocnění v dospělosti – například je často využívaná v problematice stavů po mozkové příhodě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Jde 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rtl w:val="0"/>
        </w:rPr>
        <w:t xml:space="preserve">24 hodinový koncept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, který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rtl w:val="0"/>
        </w:rPr>
        <w:t xml:space="preserve">propojuje denní péči, hru a podíl na společných každodenních aktivitách s terapií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.  Vždy uvažuje dopředu s vizí do budoucnosti: Jaké problémy bude pacient řešit v budoucnosti, jak ho jeho hendikep bude ovlivňovat Řeší i otázky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rtl w:val="0"/>
        </w:rPr>
        <w:t xml:space="preserve">prevence kontraktur a deformit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 nejen pro aktuální situaci, ale  i pro budoucí život dítěte.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Koncept je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rtl w:val="0"/>
        </w:rPr>
        <w:t xml:space="preserve">založen na podrobné analýze a porozumění senzomotorických funkcí, napětí na těle, pohybových vzorů a toho, jakým způsobem tyto skutečnosti ovlivňují schopnosti dítěte vykonávat běžné denní aktivity, hru a zapojení mezi vrstevníky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b w:val="1"/>
          <w:color w:val="212529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b w:val="1"/>
          <w:color w:val="54595d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u w:val="single"/>
          <w:rtl w:val="0"/>
        </w:rPr>
        <w:t xml:space="preserve">Vyšetření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120" w:line="276" w:lineRule="auto"/>
        <w:ind w:left="708.661417322834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Všeobecný dojem: chování dítěte, fyzická zdatnost, emoční vývoj, </w:t>
      </w: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kognitivní funkce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porozumění úkolům, schopnost koncentrace.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="276" w:lineRule="auto"/>
        <w:ind w:left="708.661417322834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Analýza funkčních dovedností, případně důvodů, proč pacient danou aktivitu nezvládne.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="276" w:lineRule="auto"/>
        <w:ind w:left="708.661417322834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Posturální tonus.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="276" w:lineRule="auto"/>
        <w:ind w:left="708.661417322834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Plynulost pohybů (reciproční interakce svalů), schopnost vyhodnocování signálu z periferie a správné zapojování agonistů či antagonistů.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="276" w:lineRule="auto"/>
        <w:ind w:left="708.661417322834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Různorodost používaných pohybových a posturálních vzorů.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="276" w:lineRule="auto"/>
        <w:ind w:left="708.661417322834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Přidružené problémy (poruchy zraku, sluchu).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20" w:before="0" w:beforeAutospacing="0" w:line="276" w:lineRule="auto"/>
        <w:ind w:left="708.661417322834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Stanovení úplného rozsahu pohybů.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rtl w:val="0"/>
        </w:rPr>
        <w:t xml:space="preserve">Cílem je kvalita života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 nejen kvalita pohybu. Vychází z poznatku, že jedna dosažená aktivita připravuje druhou. Zdůrazňuje funkční projev člověka a význam jeho aktivního podílení se na běžných denních aktivitách a sebeobsluze.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b w:val="1"/>
          <w:i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rtl w:val="0"/>
        </w:rPr>
        <w:t xml:space="preserve">Rodina 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je plnohodnotným partnerem při stanovení cílů terapie. Po analýze je vždy společně s rodiči a dalšími terapeuty, kteří jsou součástí týmu (fyzioterapeut, ergoterapeut, logoped, lékař) vytvořen cíl. Pochopení problémů dítěte je tedy jednotné a stejně tak přístup k jejich řešení. Rodiče jsou součástí týmu. Zaslouží si dostat veškeré informace včetně prognózy, aby si mohli společně s terapeuty stanovit reálné cíle, které jsou pro rodinu důležité. Rodič ale v Bobath konceptu vždy zůstává rodičem, ne terapeutem!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důležité je vnímání a reagování nemocného na používané techniky. Dle reakcí poté terapeut přizpůsobuje svou terapii. Jedním ze zásadních prvků terapie je handling (manipulace s dítětem)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304.6153846153846" w:lineRule="auto"/>
        <w:ind w:left="0" w:firstLine="0"/>
        <w:jc w:val="both"/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</w:rPr>
      </w:pPr>
      <w:bookmarkStart w:colFirst="0" w:colLast="0" w:name="_gclc6qvrlll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304.6153846153846" w:lineRule="auto"/>
        <w:ind w:left="0" w:firstLine="0"/>
        <w:jc w:val="both"/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</w:rPr>
      </w:pPr>
      <w:bookmarkStart w:colFirst="0" w:colLast="0" w:name="_8bepjy1243am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  <w:rtl w:val="0"/>
        </w:rPr>
        <w:t xml:space="preserve">Metoda manželů Bobathových vede k facilitaci (usnadnění) správných pohybových vzorů a inhibici spasticity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304.6153846153846" w:lineRule="auto"/>
        <w:ind w:left="0" w:firstLine="0"/>
        <w:jc w:val="both"/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u w:val="single"/>
        </w:rPr>
      </w:pPr>
      <w:bookmarkStart w:colFirst="0" w:colLast="0" w:name="_a3t6p4v7fy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304.6153846153846" w:lineRule="auto"/>
        <w:ind w:left="0" w:firstLine="0"/>
        <w:jc w:val="both"/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u w:val="single"/>
        </w:rPr>
      </w:pPr>
      <w:bookmarkStart w:colFirst="0" w:colLast="0" w:name="_8ni4gylek9b9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u w:val="single"/>
          <w:rtl w:val="0"/>
        </w:rPr>
        <w:t xml:space="preserve">1.Handling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304.6153846153846" w:lineRule="auto"/>
        <w:ind w:left="0" w:firstLine="0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bookmarkStart w:colFirst="0" w:colLast="0" w:name="_bw5zjj93ptlx" w:id="4"/>
      <w:bookmarkEnd w:id="4"/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Technika handlingu vede k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e2e2e"/>
          <w:sz w:val="24"/>
          <w:szCs w:val="24"/>
          <w:highlight w:val="white"/>
          <w:rtl w:val="0"/>
        </w:rPr>
        <w:t xml:space="preserve">optimalizaci patologického tonu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(napětí) svalů a díky tomu může dítě provést pohyb co nejsnadněji a nejsprávněji. 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304.6153846153846" w:lineRule="auto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  <w:highlight w:val="white"/>
        </w:rPr>
      </w:pPr>
      <w:bookmarkStart w:colFirst="0" w:colLast="0" w:name="_laluoqynoovv" w:id="5"/>
      <w:bookmarkEnd w:id="5"/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Využívá 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highlight w:val="white"/>
          <w:rtl w:val="0"/>
        </w:rPr>
        <w:t xml:space="preserve">vzpřimovací, rovnovážné a obranné reakce. Používají se minimální opory na správných místech a v určitý čas pohybu. Touto korekcí získává dítě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highlight w:val="white"/>
          <w:rtl w:val="0"/>
        </w:rPr>
        <w:t xml:space="preserve">správný senzorický vjem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highlight w:val="white"/>
          <w:rtl w:val="0"/>
        </w:rPr>
        <w:t xml:space="preserve"> normálně provedeného pohybu. Opakováním vzniká schopnost dítěte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highlight w:val="white"/>
          <w:rtl w:val="0"/>
        </w:rPr>
        <w:t xml:space="preserve"> samostatně korigovat a kontrolovat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highlight w:val="white"/>
          <w:rtl w:val="0"/>
        </w:rPr>
        <w:t xml:space="preserve"> vlastní tělo a jeho držení. 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304.6153846153846" w:lineRule="auto"/>
        <w:ind w:left="0" w:firstLine="0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bookmarkStart w:colFirst="0" w:colLast="0" w:name="_s15ljx6cgmw6" w:id="6"/>
      <w:bookmarkEnd w:id="6"/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Handling poté využívají hlavně rodiče v běžných denních činnostech a aktivitách. Naučí se, jak s dítětem manipulovat, jak jej nosit, krmit, oblékat, v jakých polohách a situacích si s ním hrát, aby podpořili jeho správný vývoj.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304.6153846153846" w:lineRule="auto"/>
        <w:ind w:left="0" w:firstLine="0"/>
        <w:jc w:val="both"/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u w:val="single"/>
        </w:rPr>
      </w:pPr>
      <w:bookmarkStart w:colFirst="0" w:colLast="0" w:name="_z0vssp7lo8oz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304.6153846153846" w:lineRule="auto"/>
        <w:ind w:left="0" w:firstLine="0"/>
        <w:jc w:val="both"/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</w:rPr>
      </w:pPr>
      <w:bookmarkStart w:colFirst="0" w:colLast="0" w:name="_y9mjcrkhz73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u w:val="single"/>
          <w:rtl w:val="0"/>
        </w:rPr>
        <w:t xml:space="preserve">2.Senzomotorická stimulace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276" w:lineRule="auto"/>
        <w:ind w:left="0" w:firstLine="0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bookmarkStart w:colFirst="0" w:colLast="0" w:name="_xwrw0xmjr26s" w:id="9"/>
      <w:bookmarkEnd w:id="9"/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posouvá správný vývoj dítěte dopředu. Do senzomotorické stimulace patří mimo jiného i cvičení na nejrůznějších labilních plošinách, pro příklad: gymball, overball, Posturomed, labilní úseče, lavičky, BOSU a mnoho jiných. Proto je také Bobathova metoda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velmi úspěšná při léčbě nestabilit a poruch kořenových kloubů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, jako 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např. zmrzlé rameno nebo bolesti kyčelních kloubů. 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276" w:lineRule="auto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  <w:highlight w:val="white"/>
        </w:rPr>
      </w:pPr>
      <w:bookmarkStart w:colFirst="0" w:colLast="0" w:name="_izwrjsfkpmk" w:id="10"/>
      <w:bookmarkEnd w:id="10"/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highlight w:val="white"/>
          <w:rtl w:val="0"/>
        </w:rPr>
        <w:t xml:space="preserve">Cílem je zvýšení posturálního tonu a vytvoření souhry mezi agonisty, antagonisty a synergisty. 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160" w:before="220" w:line="276" w:lineRule="auto"/>
        <w:ind w:left="0" w:firstLine="0"/>
        <w:jc w:val="both"/>
        <w:rPr>
          <w:rFonts w:ascii="Calibri" w:cs="Calibri" w:eastAsia="Calibri" w:hAnsi="Calibri"/>
          <w:b w:val="1"/>
          <w:i w:val="1"/>
          <w:color w:val="212529"/>
          <w:sz w:val="24"/>
          <w:szCs w:val="24"/>
          <w:highlight w:val="white"/>
        </w:rPr>
      </w:pPr>
      <w:bookmarkStart w:colFirst="0" w:colLast="0" w:name="_a7nsfzdja5gb" w:id="11"/>
      <w:bookmarkEnd w:id="11"/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highlight w:val="white"/>
          <w:rtl w:val="0"/>
        </w:rPr>
        <w:t xml:space="preserve">Mezi stimulační techniky patří: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120" w:line="276" w:lineRule="auto"/>
        <w:ind w:left="14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bookmarkStart w:colFirst="0" w:colLast="0" w:name="_xwrw0xmjr26s" w:id="9"/>
      <w:bookmarkEnd w:id="9"/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highlight w:val="white"/>
          <w:u w:val="single"/>
          <w:rtl w:val="0"/>
        </w:rPr>
        <w:t xml:space="preserve">Nesení váhy, tlak a odpor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highlight w:val="white"/>
          <w:rtl w:val="0"/>
        </w:rPr>
        <w:t xml:space="preserve">: prostřednictvím tlaku a odporu se trup a končetiny automaticky přizpůsobují nově vzniklé situaci.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="276" w:lineRule="auto"/>
        <w:ind w:left="14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bookmarkStart w:colFirst="0" w:colLast="0" w:name="_xwrw0xmjr26s" w:id="9"/>
      <w:bookmarkEnd w:id="9"/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highlight w:val="white"/>
          <w:u w:val="single"/>
          <w:rtl w:val="0"/>
        </w:rPr>
        <w:t xml:space="preserve">Placing a holding: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highlight w:val="white"/>
          <w:rtl w:val="0"/>
        </w:rPr>
        <w:t xml:space="preserve"> placing je automatická adaptace svalů na posturální změnu provedenou terapeutem. Holding je schopnost pacienta pohyb kontrolovat a udržet.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20" w:before="0" w:beforeAutospacing="0" w:line="276" w:lineRule="auto"/>
        <w:ind w:left="14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bookmarkStart w:colFirst="0" w:colLast="0" w:name="_kow9w135yofy" w:id="12"/>
      <w:bookmarkEnd w:id="12"/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highlight w:val="white"/>
          <w:u w:val="single"/>
          <w:rtl w:val="0"/>
        </w:rPr>
        <w:t xml:space="preserve">Tapping 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highlight w:val="white"/>
          <w:rtl w:val="0"/>
        </w:rPr>
        <w:t xml:space="preserve">je proprioreceptivní a exteroreceptivní stimulace různých částí těla taktilními podněty (klepání, hlazení, tlak, potřásání). Odpověď je jak lokální, tak celková. Tapping zlepšuje funkci svalů tím, že inhibuje antagonisty, dekontrahuje agonisty, stimuluje synergisty a specifické svalové skupiny.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Využití u CMP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160" w:lineRule="auto"/>
        <w:ind w:left="720" w:hanging="360"/>
        <w:jc w:val="both"/>
        <w:rPr>
          <w:rFonts w:ascii="Roboto" w:cs="Roboto" w:eastAsia="Roboto" w:hAnsi="Roboto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Bobathovi ukázali, že i po překonání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cévní mozkové příhody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(CMP) je možné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zlepšit si svou kondici a koordinaci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pomocí vybraných cvičení z jejich konceptu, který těmto lidem pomáhá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znovu se plnohodnotně zapojit do běžných denních činností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Roboto" w:cs="Roboto" w:eastAsia="Roboto" w:hAnsi="Roboto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Bobathovi přišli s důležitým poznatkem, že pacienty neomezuje nedostatek svalové síly, ale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problém spočívá v neschopnosti vykonat různé pohybové kombinace pohybových stereotypů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Roboto" w:cs="Roboto" w:eastAsia="Roboto" w:hAnsi="Roboto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Existují však cvičení, která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pomohou zapojit tělo do správných pohybových stereotypů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. Prostřednictvím těchto cviků se snažíme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potlačit chybné pohybové reakce 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vzniklé při poškození centrální nervové soustavy (CNS) a naopak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navodit nové, kvalitnější pohybové reakce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zaměřené na podporu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 stabilnější chůze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 pevnějšího úchopu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a ostatních každodenně vykonávaných pohybů, nad kterými se úplně zdravý člověk ani nepozastavuje, nezamýšlí a provádí je automaticky.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Roboto" w:cs="Roboto" w:eastAsia="Roboto" w:hAnsi="Roboto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Jedná se o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důležité cvičení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, které postupně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 zlepší ovládání a stabilitu trupu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, jež je nevyhnutná pro jistotu při chůzi, úchopech, vstávání z postele atd.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Roboto" w:cs="Roboto" w:eastAsia="Roboto" w:hAnsi="Roboto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S cvičením je možné začít hned po odeznění akutní fáze postižení cévní mozkovou příhodou, kdy je potřeba zaměřit se na tzv. doladění pohybů.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160" w:before="0" w:beforeAutospacing="0" w:lineRule="auto"/>
        <w:ind w:left="720" w:hanging="360"/>
        <w:jc w:val="both"/>
        <w:rPr>
          <w:rFonts w:ascii="Roboto" w:cs="Roboto" w:eastAsia="Roboto" w:hAnsi="Roboto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Klíčová je zde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volní koordinace pohybů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 mírně stabilní stoj bez pomoci druhé osoby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160" w:before="160" w:lineRule="auto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160" w:before="160" w:lineRule="auto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160" w:before="160" w:line="276" w:lineRule="auto"/>
        <w:ind w:left="0" w:firstLine="0"/>
        <w:jc w:val="both"/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160" w:before="160" w:line="276" w:lineRule="auto"/>
        <w:ind w:left="0" w:firstLine="0"/>
        <w:jc w:val="both"/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160" w:before="160" w:line="276" w:lineRule="auto"/>
        <w:ind w:left="0" w:firstLine="0"/>
        <w:jc w:val="both"/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Cvičení se zaměřuje na několik základních rovin:</w:t>
      </w:r>
    </w:p>
    <w:p w:rsidR="00000000" w:rsidDel="00000000" w:rsidP="00000000" w:rsidRDefault="00000000" w:rsidRPr="00000000" w14:paraId="00000035">
      <w:pPr>
        <w:widowControl w:val="0"/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highlight w:val="white"/>
            <w:u w:val="single"/>
            <w:rtl w:val="0"/>
          </w:rPr>
          <w:t xml:space="preserve">Cvik v pozici tzv. mostku</w:t>
        </w:r>
      </w:hyperlink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– pomáhá plně zapojit a zpevnit trup. 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4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280" w:line="276" w:lineRule="auto"/>
        <w:ind w:left="1440" w:hanging="360"/>
        <w:jc w:val="both"/>
        <w:rPr>
          <w:sz w:val="24"/>
          <w:szCs w:val="24"/>
          <w:highlight w:val="whit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https://www.fyzioklinika.cz/navody-na-cviceni/bobath-cviceni-pozice-mostu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highlight w:val="white"/>
            <w:u w:val="single"/>
            <w:rtl w:val="0"/>
          </w:rPr>
          <w:t xml:space="preserve">Cvik v pozici vsedě ve vzporu o dlaně s přetočením trupu</w:t>
        </w:r>
      </w:hyperlink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– pomáhá zlepšit koordinaci horní části trupu a horních končetin. 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4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280" w:line="276" w:lineRule="auto"/>
        <w:ind w:left="1440" w:hanging="360"/>
        <w:jc w:val="both"/>
        <w:rPr>
          <w:sz w:val="24"/>
          <w:szCs w:val="24"/>
          <w:highlight w:val="white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https://www.fyzioklinika.cz/navody-na-cviceni/bobath-cviceni-cvik-pro-zlepseni-koordinace-trupu-a-hornich-koncetin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highlight w:val="white"/>
            <w:u w:val="single"/>
            <w:rtl w:val="0"/>
          </w:rPr>
          <w:t xml:space="preserve">Cvik chůze</w:t>
        </w:r>
      </w:hyperlink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– pomáhá zlepšit koordinaci při chůzi s cílem dosáhnout normální rytmické chůze. Při zdokonalování chůze je důležité neustále cítit jistotu při plném zatížení jedné anebo druhé nohy podle toho, která z nich má poskytovat prioritní oporu. Procítění opory nám pomáhá uvědomění a cílené kontrolování chůze. V daných polohách pracujeme se změnami opěrné báze a přenášení těžiště.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4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280" w:line="276" w:lineRule="auto"/>
        <w:ind w:left="1440" w:hanging="360"/>
        <w:jc w:val="both"/>
        <w:rPr>
          <w:sz w:val="24"/>
          <w:szCs w:val="24"/>
          <w:highlight w:val="white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https://www.fyzioklinika.cz/navody-na-cviceni/bobath-cviceni-cvik-pro-zlepseni-koordinace-pri-chuzi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highlight w:val="white"/>
            <w:u w:val="single"/>
            <w:rtl w:val="0"/>
          </w:rPr>
          <w:t xml:space="preserve">Cvik chůze na zdravou stranu</w:t>
        </w:r>
      </w:hyperlink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– opět se snažíme dosáhnout zlepšení koordinace při chůzi, tentokrát se změnou na zdravou stranu a dosáhnout tak normální rytmické chůze. Pro nezbytné maximální soustředění a správné vykonávání cviků doporučujeme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cvičit před zrcadlem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. Mozek se tak lépe naučí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vykonávat pohyb maximálně přesně a uvědoměle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. Jakmile dokážete pohyb vykonávat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precizně a s maximálním soustředěním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, teprve poté jej můžete postupně začít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zapojovat podvědomě i do běžných činností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. Pocit </w:t>
      </w:r>
      <w:r w:rsidDel="00000000" w:rsidR="00000000" w:rsidRPr="00000000">
        <w:rPr>
          <w:rFonts w:ascii="Calibri" w:cs="Calibri" w:eastAsia="Calibri" w:hAnsi="Calibri"/>
          <w:b w:val="1"/>
          <w:color w:val="2e2e2e"/>
          <w:sz w:val="24"/>
          <w:szCs w:val="24"/>
          <w:highlight w:val="white"/>
          <w:rtl w:val="0"/>
        </w:rPr>
        <w:t xml:space="preserve">zlepšení a znovunalezení jistoty</w:t>
      </w:r>
      <w:r w:rsidDel="00000000" w:rsidR="00000000" w:rsidRPr="00000000">
        <w:rPr>
          <w:rFonts w:ascii="Calibri" w:cs="Calibri" w:eastAsia="Calibri" w:hAnsi="Calibri"/>
          <w:color w:val="2e2e2e"/>
          <w:sz w:val="24"/>
          <w:szCs w:val="24"/>
          <w:highlight w:val="white"/>
          <w:rtl w:val="0"/>
        </w:rPr>
        <w:t xml:space="preserve"> je nejlepší motivací k cvičení.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4"/>
        </w:numPr>
        <w:pBdr>
          <w:top w:color="auto" w:space="0" w:sz="0" w:val="none"/>
          <w:left w:color="auto" w:space="7" w:sz="0" w:val="none"/>
          <w:bottom w:color="auto" w:space="22" w:sz="0" w:val="none"/>
          <w:right w:color="auto" w:space="0" w:sz="0" w:val="none"/>
        </w:pBdr>
        <w:shd w:fill="ffffff" w:val="clear"/>
        <w:spacing w:after="280" w:line="276" w:lineRule="auto"/>
        <w:ind w:left="1440" w:hanging="360"/>
        <w:jc w:val="both"/>
        <w:rPr>
          <w:rFonts w:ascii="Calibri" w:cs="Calibri" w:eastAsia="Calibri" w:hAnsi="Calibri"/>
          <w:color w:val="2e2e2e"/>
          <w:sz w:val="24"/>
          <w:szCs w:val="24"/>
          <w:highlight w:val="white"/>
          <w:u w:val="none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https://www.fyzioklinika.cz/navody-na-cviceni/bobath-cviceni-cvik-pro-zlepseni-chuze-na-zdravou-stranu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Zdroje: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https://www.fyzioklinika.cz/clanky-o-zdravi/bobath-koncept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https://www.cadbt.cz/bobath-koncept-ndt/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https://www.wikiskripta.eu/w/Metoda_man%C5%BEel%C5%AF_Bobathov%C3%BDch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20" w:before="120" w:lineRule="auto"/>
        <w:ind w:left="0" w:firstLine="0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KOLÁŘ, P. </w:t>
      </w:r>
      <w:r w:rsidDel="00000000" w:rsidR="00000000" w:rsidRPr="00000000">
        <w:rPr>
          <w:rFonts w:ascii="Roboto" w:cs="Roboto" w:eastAsia="Roboto" w:hAnsi="Roboto"/>
          <w:i w:val="1"/>
          <w:color w:val="212529"/>
          <w:rtl w:val="0"/>
        </w:rPr>
        <w:t xml:space="preserve">Rehabilitace v klinické praxi. 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1. vydání. Praha : Galén, 2010. 713 s. s. 311-312. </w:t>
      </w:r>
      <w:hyperlink r:id="rId18">
        <w:r w:rsidDel="00000000" w:rsidR="00000000" w:rsidRPr="00000000">
          <w:rPr>
            <w:rFonts w:ascii="Roboto" w:cs="Roboto" w:eastAsia="Roboto" w:hAnsi="Roboto"/>
            <w:color w:val="007bff"/>
            <w:rtl w:val="0"/>
          </w:rPr>
          <w:t xml:space="preserve">ISBN 978-80-7262-657-1</w:t>
        </w:r>
      </w:hyperlink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spacing w:after="20" w:before="120" w:lineRule="auto"/>
        <w:ind w:left="0" w:firstLine="0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VOTAVA, Jiří, et al. </w:t>
      </w:r>
      <w:r w:rsidDel="00000000" w:rsidR="00000000" w:rsidRPr="00000000">
        <w:rPr>
          <w:rFonts w:ascii="Roboto" w:cs="Roboto" w:eastAsia="Roboto" w:hAnsi="Roboto"/>
          <w:i w:val="1"/>
          <w:color w:val="212529"/>
          <w:rtl w:val="0"/>
        </w:rPr>
        <w:t xml:space="preserve">Základy rehabilitace. 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1. vydání. Praha : Karolinum, 1997. 139 s. </w:t>
      </w:r>
      <w:hyperlink r:id="rId19">
        <w:r w:rsidDel="00000000" w:rsidR="00000000" w:rsidRPr="00000000">
          <w:rPr>
            <w:rFonts w:ascii="Roboto" w:cs="Roboto" w:eastAsia="Roboto" w:hAnsi="Roboto"/>
            <w:color w:val="007bff"/>
            <w:rtl w:val="0"/>
          </w:rPr>
          <w:t xml:space="preserve">ISBN 80-7184-385-7</w:t>
        </w:r>
      </w:hyperlink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hd w:fill="ffffff" w:val="clear"/>
        <w:ind w:left="0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12529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08.6614173228347" w:hanging="360.00000000000006"/>
      </w:pPr>
      <w:rPr>
        <w:rFonts w:ascii="Roboto" w:cs="Roboto" w:eastAsia="Roboto" w:hAnsi="Roboto"/>
        <w:color w:val="212529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yzioklinika.cz/navody-na-cviceni/bobath-cviceni-cvik-pro-zlepseni-koordinace-pri-chuzi" TargetMode="External"/><Relationship Id="rId10" Type="http://schemas.openxmlformats.org/officeDocument/2006/relationships/hyperlink" Target="https://www.fyzioklinika.cz/navody-na-cviceni/bobath-cviceni-cvik-pro-zlepseni-koordinace-trupu-a-hornich-koncetin" TargetMode="External"/><Relationship Id="rId13" Type="http://schemas.openxmlformats.org/officeDocument/2006/relationships/hyperlink" Target="https://www.fyzioklinika.cz/navody-na-cviceni/bobath-cviceni-cvik-pro-zlepseni-chuze-na-zdravou-stranu" TargetMode="External"/><Relationship Id="rId12" Type="http://schemas.openxmlformats.org/officeDocument/2006/relationships/hyperlink" Target="https://www.fyzioklinika.cz/navody-na-cviceni/bobath-cviceni-cvik-pro-zlepseni-koordinace-pri-chuz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yzioklinika.cz/navody-na-cviceni/bobath-cviceni-cvik-pro-zlepseni-koordinace-trupu-a-hornich-koncetin" TargetMode="External"/><Relationship Id="rId15" Type="http://schemas.openxmlformats.org/officeDocument/2006/relationships/hyperlink" Target="https://www.fyzioklinika.cz/clanky-o-zdravi/bobath-koncept" TargetMode="External"/><Relationship Id="rId14" Type="http://schemas.openxmlformats.org/officeDocument/2006/relationships/hyperlink" Target="https://www.fyzioklinika.cz/navody-na-cviceni/bobath-cviceni-cvik-pro-zlepseni-chuze-na-zdravou-stranu" TargetMode="External"/><Relationship Id="rId17" Type="http://schemas.openxmlformats.org/officeDocument/2006/relationships/hyperlink" Target="https://www.wikiskripta.eu/w/Metoda_man%C5%BEel%C5%AF_Bobathov%C3%BDch" TargetMode="External"/><Relationship Id="rId16" Type="http://schemas.openxmlformats.org/officeDocument/2006/relationships/hyperlink" Target="https://www.cadbt.cz/bobath-koncept-ndt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wikiskripta.eu/w/Speci%C3%A1ln%C3%AD:Zdroje_knih/80-7184-385-7" TargetMode="External"/><Relationship Id="rId6" Type="http://schemas.openxmlformats.org/officeDocument/2006/relationships/hyperlink" Target="https://www.wikiskripta.eu/w/My%C5%A1len%C3%AD_a_jeho_poruchy" TargetMode="External"/><Relationship Id="rId18" Type="http://schemas.openxmlformats.org/officeDocument/2006/relationships/hyperlink" Target="https://www.wikiskripta.eu/w/Speci%C3%A1ln%C3%AD:Zdroje_knih/978-80-7262-657-1" TargetMode="External"/><Relationship Id="rId7" Type="http://schemas.openxmlformats.org/officeDocument/2006/relationships/hyperlink" Target="https://www.fyzioklinika.cz/navody-na-cviceni/bobath-cviceni-pozice-mostu" TargetMode="External"/><Relationship Id="rId8" Type="http://schemas.openxmlformats.org/officeDocument/2006/relationships/hyperlink" Target="https://www.fyzioklinika.cz/navody-na-cviceni/bobath-cviceni-pozice-most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