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u w:val="single"/>
          <w:rtl w:val="0"/>
        </w:rPr>
        <w:t xml:space="preserve">Brügger koncept</w:t>
      </w:r>
    </w:p>
    <w:p w:rsidR="00000000" w:rsidDel="00000000" w:rsidP="00000000" w:rsidRDefault="00000000" w:rsidRPr="00000000" w14:paraId="00000002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Metodu vytvořil švýcarský neurolog Dr. Alois Brugger. Zabýval se teorií funkčních poruch pohybového systému - t.j. porucha/bolest, která není způsobena strukturální změnou. Funkční porucha je reverzibilní a většinou má charakter inhibice svalové činnosti. Dr. Brugger vyvinul vlastní diagnostickou a terapeutickou koncepci.</w:t>
      </w:r>
    </w:p>
    <w:p w:rsidR="00000000" w:rsidDel="00000000" w:rsidP="00000000" w:rsidRDefault="00000000" w:rsidRPr="00000000" w14:paraId="00000004">
      <w:pPr>
        <w:shd w:fill="ffffff" w:val="clear"/>
        <w:spacing w:after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Působením patologicky změněné aferentní signalizace (=rušivé faktory) dochází v pohybovém systému ke vzniku reflektorických a ochranných mechanismů (=nociceptivní somatomotorický blokující efekt NSB).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Tyto mechanismy vyvolávají v pohybové soustavě ochranné artrotendomyotické reakce a následně dochází ke změně fyziologických průběhů pohybů a držení tak, že se tyto stávají neekonomické (ochrannou reakcí vznikne přetížení jiných struktur).</w:t>
      </w:r>
    </w:p>
    <w:p w:rsidR="00000000" w:rsidDel="00000000" w:rsidP="00000000" w:rsidRDefault="00000000" w:rsidRPr="00000000" w14:paraId="00000006">
      <w:pPr>
        <w:shd w:fill="ffffff" w:val="clear"/>
        <w:spacing w:after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Cílem terapie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je na základě určení patologicky změněné aferentní signalizace patologicky působící jevy eliminovat a nastolit fyziologické a ekonomické průběhy pohybů a držení (snaha dosáhnout vzpřímeného držení těla s přítomností thorakolumbální lordózy od os sacrum po Th5).</w:t>
      </w:r>
    </w:p>
    <w:p w:rsidR="00000000" w:rsidDel="00000000" w:rsidP="00000000" w:rsidRDefault="00000000" w:rsidRPr="00000000" w14:paraId="00000007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Calibri" w:cs="Calibri" w:eastAsia="Calibri" w:hAnsi="Calibri"/>
          <w:b w:val="1"/>
          <w:sz w:val="26"/>
          <w:szCs w:val="26"/>
          <w:highlight w:val="white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white"/>
          <w:u w:val="single"/>
          <w:rtl w:val="0"/>
        </w:rPr>
        <w:t xml:space="preserve">Brügger koncept má vlastní, podrobně vypracovaný diagnostický i terapeutický postup.</w:t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60" w:lineRule="auto"/>
        <w:jc w:val="both"/>
        <w:rPr>
          <w:rFonts w:ascii="Calibri" w:cs="Calibri" w:eastAsia="Calibri" w:hAnsi="Calibri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color w:val="333333"/>
          <w:sz w:val="24"/>
          <w:szCs w:val="24"/>
          <w:highlight w:val="white"/>
          <w:rtl w:val="0"/>
        </w:rPr>
        <w:t xml:space="preserve">Anamnéza </w:t>
      </w:r>
      <w:r w:rsidDel="00000000" w:rsidR="00000000" w:rsidRPr="00000000">
        <w:rPr>
          <w:rFonts w:ascii="Calibri" w:cs="Calibri" w:eastAsia="Calibri" w:hAnsi="Calibri"/>
          <w:color w:val="333333"/>
          <w:sz w:val="24"/>
          <w:szCs w:val="24"/>
          <w:highlight w:val="white"/>
          <w:rtl w:val="0"/>
        </w:rPr>
        <w:t xml:space="preserve">– na anamnézu je kladen velký důraz. Mimo běžné anamnestické údaje jsou velmi detailně hodnoceny aktivity, které pacient vykonává.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60" w:lineRule="auto"/>
        <w:jc w:val="both"/>
        <w:rPr>
          <w:rFonts w:ascii="Calibri" w:cs="Calibri" w:eastAsia="Calibri" w:hAnsi="Calibri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color w:val="333333"/>
          <w:sz w:val="24"/>
          <w:szCs w:val="24"/>
          <w:highlight w:val="white"/>
          <w:rtl w:val="0"/>
        </w:rPr>
        <w:t xml:space="preserve">Inspekční vyšetření </w:t>
      </w:r>
      <w:r w:rsidDel="00000000" w:rsidR="00000000" w:rsidRPr="00000000">
        <w:rPr>
          <w:rFonts w:ascii="Calibri" w:cs="Calibri" w:eastAsia="Calibri" w:hAnsi="Calibri"/>
          <w:color w:val="333333"/>
          <w:sz w:val="24"/>
          <w:szCs w:val="24"/>
          <w:highlight w:val="white"/>
          <w:rtl w:val="0"/>
        </w:rPr>
        <w:t xml:space="preserve">– hodnocení přítomnosti tzv. rušivých faktorů, které mohou pramenit např. z oblečení, obuvi, nábytku, jizev, otoků, poruch prokrvení, psychických poruch a jiných.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60" w:lineRule="auto"/>
        <w:jc w:val="both"/>
        <w:rPr>
          <w:rFonts w:ascii="Calibri" w:cs="Calibri" w:eastAsia="Calibri" w:hAnsi="Calibri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color w:val="333333"/>
          <w:sz w:val="24"/>
          <w:szCs w:val="24"/>
          <w:highlight w:val="white"/>
          <w:rtl w:val="0"/>
        </w:rPr>
        <w:t xml:space="preserve">Funkční vyšetření </w:t>
      </w:r>
      <w:r w:rsidDel="00000000" w:rsidR="00000000" w:rsidRPr="00000000">
        <w:rPr>
          <w:rFonts w:ascii="Calibri" w:cs="Calibri" w:eastAsia="Calibri" w:hAnsi="Calibri"/>
          <w:color w:val="333333"/>
          <w:sz w:val="24"/>
          <w:szCs w:val="24"/>
          <w:highlight w:val="white"/>
          <w:rtl w:val="0"/>
        </w:rPr>
        <w:t xml:space="preserve">– ohodnocení návykového držení těla (vyšetření sedu, stoje, chůze), hodnocení korigovaného držení. Srovnáním ohodnocení při návykovém a při korigovaném držení určuje terapeut velikost funkční poruchy a prognózu předpokládané úspěšnosti terapie.</w:t>
      </w:r>
    </w:p>
    <w:p w:rsidR="00000000" w:rsidDel="00000000" w:rsidP="00000000" w:rsidRDefault="00000000" w:rsidRPr="00000000" w14:paraId="0000000C">
      <w:pPr>
        <w:shd w:fill="ffffff" w:val="clear"/>
        <w:spacing w:after="240" w:lineRule="auto"/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u w:val="single"/>
          <w:rtl w:val="0"/>
        </w:rPr>
        <w:t xml:space="preserve">I. Hodnocení návykového (habituálního) držení:</w:t>
      </w:r>
    </w:p>
    <w:p w:rsidR="00000000" w:rsidDel="00000000" w:rsidP="00000000" w:rsidRDefault="00000000" w:rsidRPr="00000000" w14:paraId="0000000D">
      <w:pPr>
        <w:numPr>
          <w:ilvl w:val="0"/>
          <w:numId w:val="14"/>
        </w:numPr>
        <w:shd w:fill="ffffff" w:val="clear"/>
        <w:spacing w:after="0" w:afterAutospacing="0" w:before="120" w:lineRule="auto"/>
        <w:ind w:left="1080" w:hanging="360"/>
        <w:jc w:val="both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Provádí se nejčastěji v sedu, který je pro pacienta běžný (může se provádět i ve stoji, chůzi)</w:t>
      </w:r>
    </w:p>
    <w:p w:rsidR="00000000" w:rsidDel="00000000" w:rsidP="00000000" w:rsidRDefault="00000000" w:rsidRPr="00000000" w14:paraId="0000000E">
      <w:pPr>
        <w:numPr>
          <w:ilvl w:val="0"/>
          <w:numId w:val="14"/>
        </w:numPr>
        <w:shd w:fill="ffffff" w:val="clear"/>
        <w:spacing w:after="0" w:afterAutospacing="0" w:before="0" w:beforeAutospacing="0" w:lineRule="auto"/>
        <w:ind w:left="1080" w:hanging="360"/>
        <w:jc w:val="both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Terapeut provádí hodnocení odchylky od pomyslné normy= hodnotí velikost či sílu vadného držení, ve kterém se pacient nachází.</w:t>
      </w:r>
    </w:p>
    <w:p w:rsidR="00000000" w:rsidDel="00000000" w:rsidP="00000000" w:rsidRDefault="00000000" w:rsidRPr="00000000" w14:paraId="0000000F">
      <w:pPr>
        <w:numPr>
          <w:ilvl w:val="0"/>
          <w:numId w:val="14"/>
        </w:numPr>
        <w:shd w:fill="ffffff" w:val="clear"/>
        <w:spacing w:after="0" w:afterAutospacing="0" w:before="0" w:beforeAutospacing="0" w:lineRule="auto"/>
        <w:ind w:left="1080" w:hanging="360"/>
        <w:jc w:val="both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Nejprve se hodnotí: klopení pánve vpřed, zvedání hrudníku, protažení šíje.</w:t>
      </w:r>
    </w:p>
    <w:p w:rsidR="00000000" w:rsidDel="00000000" w:rsidP="00000000" w:rsidRDefault="00000000" w:rsidRPr="00000000" w14:paraId="00000010">
      <w:pPr>
        <w:numPr>
          <w:ilvl w:val="0"/>
          <w:numId w:val="14"/>
        </w:numPr>
        <w:shd w:fill="ffffff" w:val="clear"/>
        <w:spacing w:after="0" w:afterAutospacing="0" w:before="0" w:beforeAutospacing="0" w:lineRule="auto"/>
        <w:ind w:left="1080" w:hanging="360"/>
        <w:jc w:val="both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Dále se hodnotí: postavení v ostatních tělesných segmentech.</w:t>
      </w:r>
    </w:p>
    <w:p w:rsidR="00000000" w:rsidDel="00000000" w:rsidP="00000000" w:rsidRDefault="00000000" w:rsidRPr="00000000" w14:paraId="00000011">
      <w:pPr>
        <w:numPr>
          <w:ilvl w:val="0"/>
          <w:numId w:val="14"/>
        </w:numPr>
        <w:shd w:fill="ffffff" w:val="clear"/>
        <w:spacing w:after="20" w:before="0" w:beforeAutospacing="0" w:lineRule="auto"/>
        <w:ind w:left="1080" w:hanging="360"/>
        <w:jc w:val="both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Využívá se třístupňová škála hodnocení.</w:t>
      </w:r>
    </w:p>
    <w:p w:rsidR="00000000" w:rsidDel="00000000" w:rsidP="00000000" w:rsidRDefault="00000000" w:rsidRPr="00000000" w14:paraId="00000012">
      <w:pPr>
        <w:shd w:fill="ffffff" w:val="clear"/>
        <w:spacing w:after="240" w:lineRule="auto"/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240" w:lineRule="auto"/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u w:val="single"/>
          <w:rtl w:val="0"/>
        </w:rPr>
        <w:t xml:space="preserve">II. Hodnocení korigovaného držení:</w:t>
      </w:r>
    </w:p>
    <w:p w:rsidR="00000000" w:rsidDel="00000000" w:rsidP="00000000" w:rsidRDefault="00000000" w:rsidRPr="00000000" w14:paraId="00000014">
      <w:pPr>
        <w:numPr>
          <w:ilvl w:val="0"/>
          <w:numId w:val="12"/>
        </w:numPr>
        <w:shd w:fill="ffffff" w:val="clear"/>
        <w:spacing w:after="0" w:afterAutospacing="0" w:before="120" w:lineRule="auto"/>
        <w:ind w:left="1080" w:hanging="360"/>
        <w:jc w:val="both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Terapeut provede korekci držení těla pacienta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hd w:fill="ffffff" w:val="clear"/>
        <w:spacing w:after="20" w:before="0" w:beforeAutospacing="0" w:lineRule="auto"/>
        <w:ind w:left="1080" w:hanging="360"/>
        <w:jc w:val="both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Znovu zhodnotí držení těla aspekcí, určuje opět odchylky od normy (stejně jako u hodnocení návykového držení).</w:t>
      </w:r>
    </w:p>
    <w:p w:rsidR="00000000" w:rsidDel="00000000" w:rsidP="00000000" w:rsidRDefault="00000000" w:rsidRPr="00000000" w14:paraId="00000016">
      <w:pPr>
        <w:shd w:fill="ffffff" w:val="clear"/>
        <w:spacing w:after="240" w:lineRule="auto"/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after="240" w:lineRule="auto"/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u w:val="single"/>
          <w:rtl w:val="0"/>
        </w:rPr>
        <w:t xml:space="preserve">Nejčastěji se provádí test Th5 průžení:</w:t>
      </w:r>
    </w:p>
    <w:p w:rsidR="00000000" w:rsidDel="00000000" w:rsidP="00000000" w:rsidRDefault="00000000" w:rsidRPr="00000000" w14:paraId="00000018">
      <w:pPr>
        <w:numPr>
          <w:ilvl w:val="0"/>
          <w:numId w:val="8"/>
        </w:numPr>
        <w:shd w:fill="ffffff" w:val="clear"/>
        <w:spacing w:after="0" w:afterAutospacing="0" w:before="120" w:lineRule="auto"/>
        <w:ind w:left="1080" w:hanging="360"/>
        <w:jc w:val="both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Standardním funkčním testem v Br. Metodě</w:t>
      </w:r>
    </w:p>
    <w:p w:rsidR="00000000" w:rsidDel="00000000" w:rsidP="00000000" w:rsidRDefault="00000000" w:rsidRPr="00000000" w14:paraId="00000019">
      <w:pPr>
        <w:numPr>
          <w:ilvl w:val="0"/>
          <w:numId w:val="9"/>
        </w:numPr>
        <w:shd w:fill="ffffff" w:val="clear"/>
        <w:spacing w:after="0" w:afterAutospacing="0" w:before="0" w:beforeAutospacing="0" w:lineRule="auto"/>
        <w:ind w:left="1080" w:hanging="360"/>
        <w:jc w:val="both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Pacient sedí ve zkorigovaném držení. Terapeut stojí za zády pacienta, jednou horní končetinou fixuje pacientova ramena zepředu (přiložení předloktí na oblast horní hrudní apertury), druhou rukou provádí aplikaci rytmických impulsů v kolmém směru na páteř od Th5 kaudálně.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hd w:fill="ffffff" w:val="clear"/>
        <w:spacing w:after="20" w:before="0" w:beforeAutospacing="0" w:lineRule="auto"/>
        <w:ind w:left="1080" w:hanging="360"/>
        <w:jc w:val="both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Tento test má tři fáze: 1. Ohodnocení pevnosti páteře, 2. Ohodnocení klopení pánve vpřed, 3. Zkouška retropozice ramen</w:t>
      </w:r>
    </w:p>
    <w:p w:rsidR="00000000" w:rsidDel="00000000" w:rsidP="00000000" w:rsidRDefault="00000000" w:rsidRPr="00000000" w14:paraId="0000001B">
      <w:pPr>
        <w:pStyle w:val="Heading3"/>
        <w:keepNext w:val="0"/>
        <w:keepLines w:val="0"/>
        <w:pBdr>
          <w:top w:color="auto" w:space="6" w:sz="0" w:val="none"/>
          <w:bottom w:color="auto" w:space="2" w:sz="0" w:val="none"/>
        </w:pBdr>
        <w:shd w:fill="ffffff" w:val="clear"/>
        <w:spacing w:before="280" w:line="288" w:lineRule="auto"/>
        <w:jc w:val="both"/>
        <w:rPr>
          <w:rFonts w:ascii="Calibri" w:cs="Calibri" w:eastAsia="Calibri" w:hAnsi="Calibri"/>
          <w:b w:val="1"/>
          <w:color w:val="000000"/>
          <w:sz w:val="24"/>
          <w:szCs w:val="24"/>
          <w:highlight w:val="white"/>
          <w:u w:val="single"/>
        </w:rPr>
      </w:pPr>
      <w:bookmarkStart w:colFirst="0" w:colLast="0" w:name="_vzdqrrtgibqi" w:id="0"/>
      <w:bookmarkEnd w:id="0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highlight w:val="white"/>
          <w:u w:val="single"/>
          <w:rtl w:val="0"/>
        </w:rPr>
        <w:t xml:space="preserve">Stanovení zdroje patologické aferentace</w:t>
      </w:r>
    </w:p>
    <w:p w:rsidR="00000000" w:rsidDel="00000000" w:rsidP="00000000" w:rsidRDefault="00000000" w:rsidRPr="00000000" w14:paraId="0000001C">
      <w:pPr>
        <w:shd w:fill="ffffff" w:val="clear"/>
        <w:spacing w:after="240" w:lineRule="auto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Stanovení se provádí na základě anamnézy, inspekčního a funkčního vyšetření -&gt; hypotetické stanovení zdroje patologické aferentace.</w:t>
      </w:r>
    </w:p>
    <w:p w:rsidR="00000000" w:rsidDel="00000000" w:rsidP="00000000" w:rsidRDefault="00000000" w:rsidRPr="00000000" w14:paraId="0000001D">
      <w:pPr>
        <w:pStyle w:val="Heading3"/>
        <w:keepNext w:val="0"/>
        <w:keepLines w:val="0"/>
        <w:pBdr>
          <w:top w:color="auto" w:space="6" w:sz="0" w:val="none"/>
          <w:bottom w:color="auto" w:space="2" w:sz="0" w:val="none"/>
        </w:pBdr>
        <w:shd w:fill="ffffff" w:val="clear"/>
        <w:spacing w:before="280" w:line="288" w:lineRule="auto"/>
        <w:jc w:val="both"/>
        <w:rPr>
          <w:rFonts w:ascii="Calibri" w:cs="Calibri" w:eastAsia="Calibri" w:hAnsi="Calibri"/>
          <w:b w:val="1"/>
          <w:color w:val="000000"/>
          <w:sz w:val="24"/>
          <w:szCs w:val="24"/>
          <w:highlight w:val="white"/>
          <w:u w:val="single"/>
        </w:rPr>
      </w:pPr>
      <w:bookmarkStart w:colFirst="0" w:colLast="0" w:name="_qfh867o0yutb" w:id="1"/>
      <w:bookmarkEnd w:id="1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highlight w:val="white"/>
          <w:u w:val="single"/>
          <w:rtl w:val="0"/>
        </w:rPr>
        <w:t xml:space="preserve">Stanovení pracovní hypotézy</w:t>
      </w:r>
    </w:p>
    <w:p w:rsidR="00000000" w:rsidDel="00000000" w:rsidP="00000000" w:rsidRDefault="00000000" w:rsidRPr="00000000" w14:paraId="0000001E">
      <w:pPr>
        <w:shd w:fill="ffffff" w:val="clear"/>
        <w:spacing w:after="240" w:lineRule="auto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Na základě určení patologické aferentace je terapeutem stanovena pracovní hypotéza (tzn. Je stanoven postup terapie). Postup není fixní, v případě neefektivnosti terapeut svou pracovní hypotézu mění na základě přehodnocení diagnózy.</w:t>
      </w:r>
    </w:p>
    <w:p w:rsidR="00000000" w:rsidDel="00000000" w:rsidP="00000000" w:rsidRDefault="00000000" w:rsidRPr="00000000" w14:paraId="0000001F">
      <w:pPr>
        <w:pStyle w:val="Heading2"/>
        <w:keepNext w:val="0"/>
        <w:keepLines w:val="0"/>
        <w:pBdr>
          <w:top w:color="auto" w:space="8" w:sz="0" w:val="none"/>
          <w:bottom w:color="a2a9b1" w:space="2" w:sz="6" w:val="single"/>
        </w:pBdr>
        <w:shd w:fill="ffffff" w:val="clear"/>
        <w:spacing w:after="80" w:line="288" w:lineRule="auto"/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bookmarkStart w:colFirst="0" w:colLast="0" w:name="_1tq9e5kkclsl" w:id="2"/>
      <w:bookmarkEnd w:id="2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u w:val="single"/>
          <w:rtl w:val="0"/>
        </w:rPr>
        <w:t xml:space="preserve">Indikace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240" w:lineRule="auto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Metoda se využívá u funkčních poruch pohybového systému, u neurologických onemocnění (centrální léze, Parkinson), v ortopedii (skoliózy, ploché nohy), v gynekologii (gyn. operace, těhotenství), u pooperačních stavů břicha a pánve či ve sportu jako kompenzace zátěže.</w:t>
      </w:r>
    </w:p>
    <w:p w:rsidR="00000000" w:rsidDel="00000000" w:rsidP="00000000" w:rsidRDefault="00000000" w:rsidRPr="00000000" w14:paraId="00000021">
      <w:pPr>
        <w:pStyle w:val="Heading2"/>
        <w:keepNext w:val="0"/>
        <w:keepLines w:val="0"/>
        <w:pBdr>
          <w:top w:color="auto" w:space="8" w:sz="0" w:val="none"/>
          <w:bottom w:color="a2a9b1" w:space="2" w:sz="6" w:val="single"/>
        </w:pBdr>
        <w:shd w:fill="ffffff" w:val="clear"/>
        <w:spacing w:after="80" w:line="288" w:lineRule="auto"/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bookmarkStart w:colFirst="0" w:colLast="0" w:name="_ixd3iass6j4" w:id="3"/>
      <w:bookmarkEnd w:id="3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u w:val="single"/>
          <w:rtl w:val="0"/>
        </w:rPr>
        <w:t xml:space="preserve">Kontraindikace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after="240" w:lineRule="auto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Kontraindikace jsou individuální, vztahují se k aktuálnímu stavu pacienta, jeho diagnóze a danému terapeutickému elementu. Např. u kardiaků není vhodné aplikovat horkou roli na sternum apod.</w:t>
      </w:r>
    </w:p>
    <w:p w:rsidR="00000000" w:rsidDel="00000000" w:rsidP="00000000" w:rsidRDefault="00000000" w:rsidRPr="00000000" w14:paraId="00000023">
      <w:pPr>
        <w:pStyle w:val="Heading2"/>
        <w:keepNext w:val="0"/>
        <w:keepLines w:val="0"/>
        <w:pBdr>
          <w:top w:color="auto" w:space="8" w:sz="0" w:val="none"/>
          <w:bottom w:color="a2a9b1" w:space="2" w:sz="6" w:val="single"/>
        </w:pBdr>
        <w:shd w:fill="ffffff" w:val="clear"/>
        <w:spacing w:after="80" w:line="288" w:lineRule="auto"/>
        <w:jc w:val="both"/>
        <w:rPr>
          <w:rFonts w:ascii="Calibri" w:cs="Calibri" w:eastAsia="Calibri" w:hAnsi="Calibri"/>
          <w:b w:val="1"/>
          <w:sz w:val="26"/>
          <w:szCs w:val="26"/>
          <w:highlight w:val="white"/>
          <w:u w:val="single"/>
        </w:rPr>
      </w:pPr>
      <w:bookmarkStart w:colFirst="0" w:colLast="0" w:name="_y4ooxfqmn3hc" w:id="4"/>
      <w:bookmarkEnd w:id="4"/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white"/>
          <w:u w:val="single"/>
          <w:rtl w:val="0"/>
        </w:rPr>
        <w:t xml:space="preserve">Základní prvky terapeutického postupu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after="240" w:lineRule="auto"/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u w:val="single"/>
          <w:rtl w:val="0"/>
        </w:rPr>
        <w:t xml:space="preserve">1. Korekce držení těla</w:t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shd w:fill="ffffff" w:val="clear"/>
        <w:spacing w:after="0" w:afterAutospacing="0" w:before="120" w:lineRule="auto"/>
        <w:ind w:left="1080" w:hanging="360"/>
        <w:jc w:val="both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Podle B. předpoklad, že odchylky od vzpřímeného držení těla představují pro organismus nesprávné zatížení® to vede k patologické aferentaci</w:t>
      </w:r>
    </w:p>
    <w:p w:rsidR="00000000" w:rsidDel="00000000" w:rsidP="00000000" w:rsidRDefault="00000000" w:rsidRPr="00000000" w14:paraId="00000026">
      <w:pPr>
        <w:numPr>
          <w:ilvl w:val="0"/>
          <w:numId w:val="7"/>
        </w:numPr>
        <w:shd w:fill="ffffff" w:val="clear"/>
        <w:spacing w:after="0" w:afterAutospacing="0" w:before="0" w:beforeAutospacing="0" w:lineRule="auto"/>
        <w:ind w:left="1080" w:hanging="360"/>
        <w:jc w:val="both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Na počátku terapie instruktáž pacienta o správném držení těla (provedení přímo na pacientovi)</w:t>
      </w:r>
    </w:p>
    <w:p w:rsidR="00000000" w:rsidDel="00000000" w:rsidP="00000000" w:rsidRDefault="00000000" w:rsidRPr="00000000" w14:paraId="00000027">
      <w:pPr>
        <w:numPr>
          <w:ilvl w:val="0"/>
          <w:numId w:val="13"/>
        </w:numPr>
        <w:shd w:fill="ffffff" w:val="clear"/>
        <w:spacing w:after="0" w:afterAutospacing="0" w:before="0" w:beforeAutospacing="0" w:lineRule="auto"/>
        <w:ind w:left="1080" w:hanging="360"/>
        <w:jc w:val="both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B. demonstruje správné držení těla na modelu 3 ozubených kol, která jsou ve vzájemné souvztažnosti a reprezentují 3 základní pohyby:</w:t>
      </w:r>
    </w:p>
    <w:p w:rsidR="00000000" w:rsidDel="00000000" w:rsidP="00000000" w:rsidRDefault="00000000" w:rsidRPr="00000000" w14:paraId="00000028">
      <w:pPr>
        <w:numPr>
          <w:ilvl w:val="0"/>
          <w:numId w:val="10"/>
        </w:numPr>
        <w:spacing w:after="0" w:afterAutospacing="0" w:before="0" w:beforeAutospacing="0" w:lineRule="auto"/>
        <w:ind w:left="2160" w:hanging="360"/>
        <w:jc w:val="both"/>
        <w:rPr>
          <w:rFonts w:ascii="Calibri" w:cs="Calibri" w:eastAsia="Calibri" w:hAnsi="Calibri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Klopení pánve vpřed </w:t>
        <w:tab/>
        <w:t xml:space="preserve">2. Zvednutí hrudníku    3. Protažení šíje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hd w:fill="ffffff" w:val="clear"/>
        <w:spacing w:after="20" w:before="0" w:beforeAutospacing="0" w:lineRule="auto"/>
        <w:ind w:left="1080" w:hanging="360"/>
        <w:jc w:val="both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Při správném držení je navíc zdůrazňována thorakolumbální lordóza (od os sacrum po Th5)</w:t>
      </w:r>
    </w:p>
    <w:p w:rsidR="00000000" w:rsidDel="00000000" w:rsidP="00000000" w:rsidRDefault="00000000" w:rsidRPr="00000000" w14:paraId="0000002A">
      <w:pPr>
        <w:shd w:fill="ffffff" w:val="clear"/>
        <w:spacing w:after="20" w:before="120" w:lineRule="auto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1485900</wp:posOffset>
            </wp:positionH>
            <wp:positionV relativeFrom="paragraph">
              <wp:posOffset>133350</wp:posOffset>
            </wp:positionV>
            <wp:extent cx="2453618" cy="1462088"/>
            <wp:effectExtent b="0" l="0" r="0" t="0"/>
            <wp:wrapTopAndBottom distB="114300" distT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3618" cy="14620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shd w:fill="ffffff" w:val="clear"/>
        <w:spacing w:after="240" w:lineRule="auto"/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u w:val="single"/>
          <w:rtl w:val="0"/>
        </w:rPr>
        <w:t xml:space="preserve">2. Přípravná opatření</w:t>
      </w:r>
    </w:p>
    <w:p w:rsidR="00000000" w:rsidDel="00000000" w:rsidP="00000000" w:rsidRDefault="00000000" w:rsidRPr="00000000" w14:paraId="0000002C">
      <w:pPr>
        <w:numPr>
          <w:ilvl w:val="0"/>
          <w:numId w:val="15"/>
        </w:numPr>
        <w:shd w:fill="ffffff" w:val="clear"/>
        <w:spacing w:after="0" w:afterAutospacing="0" w:before="120" w:lineRule="auto"/>
        <w:ind w:left="1080" w:hanging="360"/>
        <w:jc w:val="both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Patří sem polohování ve vzpřímeném držení těla (v leže na zádech) po dobu 20-30 min. před každou terapeutickou jednotkou</w:t>
      </w:r>
    </w:p>
    <w:p w:rsidR="00000000" w:rsidDel="00000000" w:rsidP="00000000" w:rsidRDefault="00000000" w:rsidRPr="00000000" w14:paraId="0000002D">
      <w:pPr>
        <w:numPr>
          <w:ilvl w:val="0"/>
          <w:numId w:val="11"/>
        </w:numPr>
        <w:shd w:fill="ffffff" w:val="clear"/>
        <w:spacing w:after="20" w:before="0" w:beforeAutospacing="0" w:lineRule="auto"/>
        <w:ind w:left="1080" w:hanging="360"/>
        <w:jc w:val="both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Současně se používají tepelné aplikátory, které se umisťují zejména na: sternokostální skloubení, extenzory šíje, bederní páteř a adduktory stehen</w:t>
      </w:r>
    </w:p>
    <w:p w:rsidR="00000000" w:rsidDel="00000000" w:rsidP="00000000" w:rsidRDefault="00000000" w:rsidRPr="00000000" w14:paraId="0000002E">
      <w:pPr>
        <w:shd w:fill="ffffff" w:val="clear"/>
        <w:spacing w:after="240" w:lineRule="auto"/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240" w:lineRule="auto"/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u w:val="single"/>
          <w:rtl w:val="0"/>
        </w:rPr>
        <w:t xml:space="preserve">3. Pasivní terapeutické postupy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hd w:fill="ffffff" w:val="clear"/>
        <w:spacing w:after="20" w:before="120" w:lineRule="auto"/>
        <w:ind w:left="1080" w:hanging="360"/>
        <w:jc w:val="both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Patří sem horká role (nejčastěji na ovlivnění OGE - edémy vytvořené v důsledku opakovaných pohybů), často kombinována s masáží</w:t>
      </w:r>
    </w:p>
    <w:p w:rsidR="00000000" w:rsidDel="00000000" w:rsidP="00000000" w:rsidRDefault="00000000" w:rsidRPr="00000000" w14:paraId="00000031">
      <w:pPr>
        <w:shd w:fill="ffffff" w:val="clear"/>
        <w:spacing w:after="240" w:lineRule="auto"/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240" w:lineRule="auto"/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u w:val="single"/>
          <w:rtl w:val="0"/>
        </w:rPr>
        <w:t xml:space="preserve">4. Aktivní terapeutické postupy</w:t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color w:val="333333"/>
          <w:sz w:val="24"/>
          <w:szCs w:val="24"/>
          <w:highlight w:val="white"/>
          <w:rtl w:val="0"/>
        </w:rPr>
        <w:t xml:space="preserve">Agisticko-excentrické kontrakční postupy</w:t>
      </w:r>
      <w:r w:rsidDel="00000000" w:rsidR="00000000" w:rsidRPr="00000000">
        <w:rPr>
          <w:rFonts w:ascii="Calibri" w:cs="Calibri" w:eastAsia="Calibri" w:hAnsi="Calibri"/>
          <w:color w:val="333333"/>
          <w:sz w:val="24"/>
          <w:szCs w:val="24"/>
          <w:highlight w:val="white"/>
          <w:rtl w:val="0"/>
        </w:rPr>
        <w:t xml:space="preserve"> – cílem těchto cvičení je zvýšit schopnost excentrické (natažení svalu) kontrakce příslušných svalových skupin a tím zlepšit tzv. funkční svalový synergismus agonistických a antagonistických svalových skupin.</w:t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color w:val="333333"/>
          <w:sz w:val="24"/>
          <w:szCs w:val="24"/>
          <w:highlight w:val="white"/>
          <w:rtl w:val="0"/>
        </w:rPr>
        <w:t xml:space="preserve">Cvičení s Thera-Bandem</w:t>
      </w:r>
      <w:r w:rsidDel="00000000" w:rsidR="00000000" w:rsidRPr="00000000">
        <w:rPr>
          <w:rFonts w:ascii="Calibri" w:cs="Calibri" w:eastAsia="Calibri" w:hAnsi="Calibri"/>
          <w:color w:val="333333"/>
          <w:sz w:val="24"/>
          <w:szCs w:val="24"/>
          <w:highlight w:val="white"/>
          <w:rtl w:val="0"/>
        </w:rPr>
        <w:t xml:space="preserve"> – pružný pás Thera-Band umožňuje cvičení, při kterém se střídá excentrická (natažení svalu) a koncentrická (zkrácení svalu) kontrakce daných svalových skupin. U cviků často kombinováno s AEK a funkčními testy, řeší se síla, RP, odpor a koordinace</w:t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color w:val="333333"/>
          <w:sz w:val="24"/>
          <w:szCs w:val="24"/>
          <w:highlight w:val="white"/>
          <w:rtl w:val="0"/>
        </w:rPr>
        <w:t xml:space="preserve">ADL (Activities of Daily Living)</w:t>
      </w:r>
      <w:r w:rsidDel="00000000" w:rsidR="00000000" w:rsidRPr="00000000">
        <w:rPr>
          <w:rFonts w:ascii="Calibri" w:cs="Calibri" w:eastAsia="Calibri" w:hAnsi="Calibri"/>
          <w:color w:val="333333"/>
          <w:sz w:val="24"/>
          <w:szCs w:val="24"/>
          <w:highlight w:val="white"/>
          <w:rtl w:val="0"/>
        </w:rPr>
        <w:t xml:space="preserve"> – jde o nácvik všedních denních činností, které musejí být prováděny ve vzpřímeném držení těla.</w:t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color w:val="333333"/>
          <w:sz w:val="24"/>
          <w:szCs w:val="24"/>
          <w:highlight w:val="white"/>
          <w:rtl w:val="0"/>
        </w:rPr>
        <w:t xml:space="preserve">Aktivní cviky - </w:t>
      </w:r>
      <w:r w:rsidDel="00000000" w:rsidR="00000000" w:rsidRPr="00000000">
        <w:rPr>
          <w:rFonts w:ascii="Calibri" w:cs="Calibri" w:eastAsia="Calibri" w:hAnsi="Calibri"/>
          <w:color w:val="333333"/>
          <w:sz w:val="24"/>
          <w:szCs w:val="24"/>
          <w:highlight w:val="white"/>
          <w:rtl w:val="0"/>
        </w:rPr>
        <w:t xml:space="preserve">6 jednoduchých cviku, výchozí pozice je stoj, pomalým pohybem dojde k protažení zkrácených sv. skupin a zlepšuje se excentrická kontrakční schopnost těchto sv. skupin a tím je ovlivněno zátěžové držení</w:t>
      </w:r>
    </w:p>
    <w:p w:rsidR="00000000" w:rsidDel="00000000" w:rsidP="00000000" w:rsidRDefault="00000000" w:rsidRPr="00000000" w14:paraId="00000037">
      <w:pPr>
        <w:numPr>
          <w:ilvl w:val="0"/>
          <w:numId w:val="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6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color w:val="333333"/>
          <w:sz w:val="24"/>
          <w:szCs w:val="24"/>
          <w:highlight w:val="white"/>
          <w:rtl w:val="0"/>
        </w:rPr>
        <w:t xml:space="preserve">Terapeutická chůze dle Brüggera</w:t>
      </w:r>
      <w:r w:rsidDel="00000000" w:rsidR="00000000" w:rsidRPr="00000000">
        <w:rPr>
          <w:rFonts w:ascii="Calibri" w:cs="Calibri" w:eastAsia="Calibri" w:hAnsi="Calibri"/>
          <w:color w:val="333333"/>
          <w:sz w:val="24"/>
          <w:szCs w:val="24"/>
          <w:highlight w:val="white"/>
          <w:rtl w:val="0"/>
        </w:rPr>
        <w:t xml:space="preserve"> – slouží k ovlivnění globálních pohybových vzorů, používá se s použitím nebo bez použití Thera-Bandu.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         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3000375</wp:posOffset>
            </wp:positionH>
            <wp:positionV relativeFrom="paragraph">
              <wp:posOffset>723900</wp:posOffset>
            </wp:positionV>
            <wp:extent cx="2738331" cy="1824038"/>
            <wp:effectExtent b="0" l="0" r="0" t="0"/>
            <wp:wrapTopAndBottom distB="114300" distT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8331" cy="18240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733425</wp:posOffset>
            </wp:positionV>
            <wp:extent cx="2709732" cy="1804988"/>
            <wp:effectExtent b="0" l="0" r="0" t="0"/>
            <wp:wrapTopAndBottom distB="114300" distT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732" cy="18049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shd w:fill="ffffff" w:val="clear"/>
        <w:spacing w:before="120" w:lineRule="auto"/>
        <w:ind w:left="0" w:firstLine="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before="120" w:lineRule="auto"/>
        <w:ind w:left="0" w:firstLine="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spacing w:before="120" w:lineRule="auto"/>
        <w:ind w:left="0" w:firstLine="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zdroje:</w:t>
      </w:r>
    </w:p>
    <w:p w:rsidR="00000000" w:rsidDel="00000000" w:rsidP="00000000" w:rsidRDefault="00000000" w:rsidRPr="00000000" w14:paraId="0000003B">
      <w:pPr>
        <w:shd w:fill="ffffff" w:val="clear"/>
        <w:spacing w:before="120" w:lineRule="auto"/>
        <w:ind w:left="0" w:firstLine="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color w:val="0a0a0a"/>
          <w:sz w:val="20"/>
          <w:szCs w:val="20"/>
          <w:shd w:fill="f7f8fc" w:val="clear"/>
          <w:rtl w:val="0"/>
        </w:rPr>
        <w:t xml:space="preserve">KOLÁŘ, Pavel. </w:t>
      </w:r>
      <w:r w:rsidDel="00000000" w:rsidR="00000000" w:rsidRPr="00000000">
        <w:rPr>
          <w:i w:val="1"/>
          <w:color w:val="0a0a0a"/>
          <w:sz w:val="20"/>
          <w:szCs w:val="20"/>
          <w:shd w:fill="f7f8fc" w:val="clear"/>
          <w:rtl w:val="0"/>
        </w:rPr>
        <w:t xml:space="preserve">Rehabilitace v klinické praxi</w:t>
      </w:r>
      <w:r w:rsidDel="00000000" w:rsidR="00000000" w:rsidRPr="00000000">
        <w:rPr>
          <w:color w:val="0a0a0a"/>
          <w:sz w:val="20"/>
          <w:szCs w:val="20"/>
          <w:shd w:fill="f7f8fc" w:val="clear"/>
          <w:rtl w:val="0"/>
        </w:rPr>
        <w:t xml:space="preserve">. 1. vyd. Praha: Galén, 2009. xxxi, 713. ISBN 9788072626571.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spacing w:before="120" w:lineRule="auto"/>
        <w:ind w:left="0" w:firstLine="0"/>
        <w:jc w:val="both"/>
        <w:rPr>
          <w:rFonts w:ascii="Roboto" w:cs="Roboto" w:eastAsia="Roboto" w:hAnsi="Roboto"/>
          <w:color w:val="212529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12529"/>
          <w:highlight w:val="white"/>
          <w:rtl w:val="0"/>
        </w:rPr>
        <w:t xml:space="preserve">PAVLŮ, Dagmar. </w:t>
      </w:r>
      <w:r w:rsidDel="00000000" w:rsidR="00000000" w:rsidRPr="00000000">
        <w:rPr>
          <w:rFonts w:ascii="Roboto" w:cs="Roboto" w:eastAsia="Roboto" w:hAnsi="Roboto"/>
          <w:i w:val="1"/>
          <w:color w:val="212529"/>
          <w:highlight w:val="white"/>
          <w:rtl w:val="0"/>
        </w:rPr>
        <w:t xml:space="preserve">Speciální fyzioterapeutické koncepty a metody. I., Koncepty a metody spočívající převážně na neurofyziologické bázi. </w:t>
      </w:r>
      <w:r w:rsidDel="00000000" w:rsidR="00000000" w:rsidRPr="00000000">
        <w:rPr>
          <w:rFonts w:ascii="Roboto" w:cs="Roboto" w:eastAsia="Roboto" w:hAnsi="Roboto"/>
          <w:color w:val="212529"/>
          <w:highlight w:val="white"/>
          <w:rtl w:val="0"/>
        </w:rPr>
        <w:t xml:space="preserve">2. vydání. Brno : Akademické nakladatelství CERM, 2003. </w:t>
      </w:r>
      <w:hyperlink r:id="rId9">
        <w:r w:rsidDel="00000000" w:rsidR="00000000" w:rsidRPr="00000000">
          <w:rPr>
            <w:rFonts w:ascii="Roboto" w:cs="Roboto" w:eastAsia="Roboto" w:hAnsi="Roboto"/>
            <w:color w:val="007bff"/>
            <w:highlight w:val="white"/>
            <w:u w:val="single"/>
            <w:rtl w:val="0"/>
          </w:rPr>
          <w:t xml:space="preserve">ISBN 80-7204-312-9</w:t>
        </w:r>
      </w:hyperlink>
      <w:r w:rsidDel="00000000" w:rsidR="00000000" w:rsidRPr="00000000">
        <w:rPr>
          <w:rFonts w:ascii="Roboto" w:cs="Roboto" w:eastAsia="Roboto" w:hAnsi="Roboto"/>
          <w:color w:val="212529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3E">
      <w:pPr>
        <w:shd w:fill="ffffff" w:val="clear"/>
        <w:spacing w:before="120" w:lineRule="auto"/>
        <w:ind w:left="0" w:firstLine="0"/>
        <w:jc w:val="both"/>
        <w:rPr>
          <w:rFonts w:ascii="Roboto" w:cs="Roboto" w:eastAsia="Roboto" w:hAnsi="Roboto"/>
          <w:color w:val="212529"/>
          <w:highlight w:val="white"/>
        </w:rPr>
      </w:pPr>
      <w:hyperlink r:id="rId10">
        <w:r w:rsidDel="00000000" w:rsidR="00000000" w:rsidRPr="00000000">
          <w:rPr>
            <w:rFonts w:ascii="Roboto" w:cs="Roboto" w:eastAsia="Roboto" w:hAnsi="Roboto"/>
            <w:color w:val="1155cc"/>
            <w:highlight w:val="white"/>
            <w:u w:val="single"/>
            <w:rtl w:val="0"/>
          </w:rPr>
          <w:t xml:space="preserve">https://www.wikiskripta.eu/w/Br%C3%BCgger_koncept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spacing w:before="120" w:lineRule="auto"/>
        <w:ind w:left="0" w:firstLine="0"/>
        <w:jc w:val="both"/>
        <w:rPr>
          <w:rFonts w:ascii="Roboto" w:cs="Roboto" w:eastAsia="Roboto" w:hAnsi="Roboto"/>
          <w:color w:val="212529"/>
          <w:highlight w:val="white"/>
        </w:rPr>
      </w:pPr>
      <w:hyperlink r:id="rId11">
        <w:r w:rsidDel="00000000" w:rsidR="00000000" w:rsidRPr="00000000">
          <w:rPr>
            <w:rFonts w:ascii="Roboto" w:cs="Roboto" w:eastAsia="Roboto" w:hAnsi="Roboto"/>
            <w:color w:val="1155cc"/>
            <w:highlight w:val="white"/>
            <w:u w:val="single"/>
            <w:rtl w:val="0"/>
          </w:rPr>
          <w:t xml:space="preserve">https://rehabilitace-dobesova.cz/brugger-koncept/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before="120" w:lineRule="auto"/>
        <w:ind w:left="0" w:firstLine="0"/>
        <w:jc w:val="both"/>
        <w:rPr>
          <w:rFonts w:ascii="Roboto" w:cs="Roboto" w:eastAsia="Roboto" w:hAnsi="Roboto"/>
          <w:color w:val="212529"/>
          <w:highlight w:val="white"/>
        </w:rPr>
      </w:pPr>
      <w:hyperlink r:id="rId12">
        <w:r w:rsidDel="00000000" w:rsidR="00000000" w:rsidRPr="00000000">
          <w:rPr>
            <w:rFonts w:ascii="Roboto" w:cs="Roboto" w:eastAsia="Roboto" w:hAnsi="Roboto"/>
            <w:color w:val="1155cc"/>
            <w:highlight w:val="white"/>
            <w:u w:val="single"/>
            <w:rtl w:val="0"/>
          </w:rPr>
          <w:t xml:space="preserve">https://www.fyzioklinika.cz/navody-na-cviceni/korekce-sedu-dle-br-ggera-s-vyuzitim-therabandu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■"/>
      <w:lvlJc w:val="left"/>
      <w:pPr>
        <w:ind w:left="720" w:hanging="360"/>
      </w:pPr>
      <w:rPr>
        <w:rFonts w:ascii="Roboto" w:cs="Roboto" w:eastAsia="Roboto" w:hAnsi="Roboto"/>
        <w:color w:val="212529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■"/>
      <w:lvlJc w:val="left"/>
      <w:pPr>
        <w:ind w:left="720" w:hanging="360"/>
      </w:pPr>
      <w:rPr>
        <w:rFonts w:ascii="Roboto" w:cs="Roboto" w:eastAsia="Roboto" w:hAnsi="Roboto"/>
        <w:color w:val="212529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■"/>
      <w:lvlJc w:val="left"/>
      <w:pPr>
        <w:ind w:left="720" w:hanging="360"/>
      </w:pPr>
      <w:rPr>
        <w:rFonts w:ascii="Roboto" w:cs="Roboto" w:eastAsia="Roboto" w:hAnsi="Roboto"/>
        <w:color w:val="212529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■"/>
      <w:lvlJc w:val="left"/>
      <w:pPr>
        <w:ind w:left="720" w:hanging="360"/>
      </w:pPr>
      <w:rPr>
        <w:rFonts w:ascii="Roboto" w:cs="Roboto" w:eastAsia="Roboto" w:hAnsi="Roboto"/>
        <w:color w:val="212529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■"/>
      <w:lvlJc w:val="left"/>
      <w:pPr>
        <w:ind w:left="720" w:hanging="360"/>
      </w:pPr>
      <w:rPr>
        <w:rFonts w:ascii="Roboto" w:cs="Roboto" w:eastAsia="Roboto" w:hAnsi="Roboto"/>
        <w:color w:val="212529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■"/>
      <w:lvlJc w:val="left"/>
      <w:pPr>
        <w:ind w:left="720" w:hanging="360"/>
      </w:pPr>
      <w:rPr>
        <w:rFonts w:ascii="Roboto" w:cs="Roboto" w:eastAsia="Roboto" w:hAnsi="Roboto"/>
        <w:color w:val="212529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■"/>
      <w:lvlJc w:val="left"/>
      <w:pPr>
        <w:ind w:left="720" w:hanging="360"/>
      </w:pPr>
      <w:rPr>
        <w:rFonts w:ascii="Roboto" w:cs="Roboto" w:eastAsia="Roboto" w:hAnsi="Roboto"/>
        <w:color w:val="212529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■"/>
      <w:lvlJc w:val="left"/>
      <w:pPr>
        <w:ind w:left="720" w:hanging="360"/>
      </w:pPr>
      <w:rPr>
        <w:rFonts w:ascii="Roboto" w:cs="Roboto" w:eastAsia="Roboto" w:hAnsi="Roboto"/>
        <w:color w:val="212529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■"/>
      <w:lvlJc w:val="left"/>
      <w:pPr>
        <w:ind w:left="720" w:hanging="360"/>
      </w:pPr>
      <w:rPr>
        <w:rFonts w:ascii="Roboto" w:cs="Roboto" w:eastAsia="Roboto" w:hAnsi="Roboto"/>
        <w:color w:val="212529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1">
    <w:lvl w:ilvl="0">
      <w:start w:val="1"/>
      <w:numFmt w:val="bullet"/>
      <w:lvlText w:val="■"/>
      <w:lvlJc w:val="left"/>
      <w:pPr>
        <w:ind w:left="720" w:hanging="360"/>
      </w:pPr>
      <w:rPr>
        <w:rFonts w:ascii="Roboto" w:cs="Roboto" w:eastAsia="Roboto" w:hAnsi="Roboto"/>
        <w:color w:val="212529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■"/>
      <w:lvlJc w:val="left"/>
      <w:pPr>
        <w:ind w:left="720" w:hanging="360"/>
      </w:pPr>
      <w:rPr>
        <w:rFonts w:ascii="Roboto" w:cs="Roboto" w:eastAsia="Roboto" w:hAnsi="Roboto"/>
        <w:color w:val="212529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■"/>
      <w:lvlJc w:val="left"/>
      <w:pPr>
        <w:ind w:left="720" w:hanging="360"/>
      </w:pPr>
      <w:rPr>
        <w:rFonts w:ascii="Roboto" w:cs="Roboto" w:eastAsia="Roboto" w:hAnsi="Roboto"/>
        <w:color w:val="212529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■"/>
      <w:lvlJc w:val="left"/>
      <w:pPr>
        <w:ind w:left="720" w:hanging="360"/>
      </w:pPr>
      <w:rPr>
        <w:rFonts w:ascii="Roboto" w:cs="Roboto" w:eastAsia="Roboto" w:hAnsi="Roboto"/>
        <w:color w:val="212529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■"/>
      <w:lvlJc w:val="left"/>
      <w:pPr>
        <w:ind w:left="720" w:hanging="360"/>
      </w:pPr>
      <w:rPr>
        <w:rFonts w:ascii="Roboto" w:cs="Roboto" w:eastAsia="Roboto" w:hAnsi="Roboto"/>
        <w:color w:val="212529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rehabilitace-dobesova.cz/brugger-koncept/" TargetMode="External"/><Relationship Id="rId10" Type="http://schemas.openxmlformats.org/officeDocument/2006/relationships/hyperlink" Target="https://www.wikiskripta.eu/w/Br%C3%BCgger_koncept" TargetMode="External"/><Relationship Id="rId12" Type="http://schemas.openxmlformats.org/officeDocument/2006/relationships/hyperlink" Target="https://www.fyzioklinika.cz/navody-na-cviceni/korekce-sedu-dle-br-ggera-s-vyuzitim-therabandu" TargetMode="External"/><Relationship Id="rId9" Type="http://schemas.openxmlformats.org/officeDocument/2006/relationships/hyperlink" Target="https://www.wikiskripta.eu/w/Speci%C3%A1ln%C3%AD:Zdroje_knih/80-7204-312-9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