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300" w:before="0" w:line="295.368" w:lineRule="auto"/>
        <w:rPr>
          <w:rFonts w:ascii="Calibri" w:cs="Calibri" w:eastAsia="Calibri" w:hAnsi="Calibri"/>
          <w:b w:val="1"/>
          <w:sz w:val="60"/>
          <w:szCs w:val="60"/>
          <w:u w:val="single"/>
        </w:rPr>
      </w:pPr>
      <w:bookmarkStart w:colFirst="0" w:colLast="0" w:name="_cfj4gl4p3za6" w:id="0"/>
      <w:bookmarkEnd w:id="0"/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u w:val="single"/>
          <w:rtl w:val="0"/>
        </w:rPr>
        <w:t xml:space="preserve">TESTOVÁNÍ POHYBOVÉHO SYSTÉMU METODOU DNS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Při vyšetření pomocí konceptu DNS se zaměřujeme na odchylky a poruchy kloubní stabilizace jednotlivých tělních segmentů. Předpokladem správné (centrované) pozice kloubu je vyvážená aktivita svalů v celém biomechanickém řetězci, vynaložená stabilizační silou svalů a velikostí vnější síly.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after="200" w:before="0" w:line="295.368" w:lineRule="auto"/>
        <w:ind w:left="-220" w:right="-220" w:firstLine="0"/>
        <w:rPr>
          <w:rFonts w:ascii="Calibri" w:cs="Calibri" w:eastAsia="Calibri" w:hAnsi="Calibri"/>
          <w:b w:val="1"/>
          <w:color w:val="000000"/>
          <w:sz w:val="50"/>
          <w:szCs w:val="50"/>
        </w:rPr>
      </w:pPr>
      <w:bookmarkStart w:colFirst="0" w:colLast="0" w:name="_nn6bqx3vhlt0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50"/>
          <w:szCs w:val="50"/>
          <w:rtl w:val="0"/>
        </w:rPr>
        <w:t xml:space="preserve">Brániční test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ind w:left="-220" w:right="-2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Hodnotíme pacienta sedícího s napřímenou páteří na lehátku. V oblasti pod dolními žebry zezadu  mírně tlačíme proti skupině břišních svalů, kde rovněž kontrolujeme postavení a pohyby žeber. Pacient je následně vyzván, aby vytvořil protitlak s roztažením spodní části hrudníku. Sledujeme schopnost pacienta aktivovat bránici ve spolupráci s aktivitou břišního lisu a také symetrii zapojení bez současném zvednutí hrudník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fffff" w:val="clear"/>
        <w:spacing w:after="200" w:before="0" w:line="295.368" w:lineRule="auto"/>
        <w:ind w:left="-220" w:right="-220" w:firstLine="0"/>
        <w:rPr>
          <w:rFonts w:ascii="Calibri" w:cs="Calibri" w:eastAsia="Calibri" w:hAnsi="Calibri"/>
          <w:b w:val="1"/>
          <w:color w:val="000000"/>
          <w:sz w:val="50"/>
          <w:szCs w:val="50"/>
        </w:rPr>
      </w:pPr>
      <w:bookmarkStart w:colFirst="0" w:colLast="0" w:name="_p1sxm6ex6kfr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50"/>
          <w:szCs w:val="50"/>
          <w:rtl w:val="0"/>
        </w:rPr>
        <w:t xml:space="preserve">Test zvedání  hlavy a trupu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ind w:left="-220" w:right="-2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Pacient ležící na zádech pomalu nadzvedává postupně krk a následně trup. Pohmatem hodnotíme souhyb dolních nepravých žeber a zvedání hrudníku a sledujeme aktivitu a kvalitu zapojení břišních svalů.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after="200" w:before="0" w:line="295.368" w:lineRule="auto"/>
        <w:ind w:left="-220" w:right="-220" w:firstLine="0"/>
        <w:rPr>
          <w:rFonts w:ascii="Calibri" w:cs="Calibri" w:eastAsia="Calibri" w:hAnsi="Calibri"/>
          <w:b w:val="1"/>
          <w:color w:val="000000"/>
          <w:sz w:val="50"/>
          <w:szCs w:val="50"/>
        </w:rPr>
      </w:pPr>
      <w:bookmarkStart w:colFirst="0" w:colLast="0" w:name="_d10c6gm271s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50"/>
          <w:szCs w:val="50"/>
          <w:rtl w:val="0"/>
        </w:rPr>
        <w:t xml:space="preserve">Test vzpažení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ind w:left="-220" w:right="-2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Pacient ležící na zádech provede vzpažení horních končetin v ramenních kloubech. Hodnotíme  hrudníku do inspiračního postavení, prominenci dolních žeber a prohnutí páteře.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hd w:fill="ffffff" w:val="clear"/>
        <w:spacing w:after="200" w:before="0" w:line="295.368" w:lineRule="auto"/>
        <w:ind w:left="-220" w:right="-220" w:firstLine="0"/>
        <w:rPr>
          <w:rFonts w:ascii="Calibri" w:cs="Calibri" w:eastAsia="Calibri" w:hAnsi="Calibri"/>
          <w:b w:val="1"/>
          <w:color w:val="000000"/>
          <w:sz w:val="50"/>
          <w:szCs w:val="50"/>
        </w:rPr>
      </w:pPr>
      <w:bookmarkStart w:colFirst="0" w:colLast="0" w:name="_hvrljy7himer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50"/>
          <w:szCs w:val="50"/>
          <w:rtl w:val="0"/>
        </w:rPr>
        <w:t xml:space="preserve">Test extenze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ind w:left="-220" w:right="-2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Pacient ležící na břiše zvedne hlavu a ramena nad podložku se současným mírným nadzvednutím horní poloviny těla. Hodnotíme zapojení zádových svalů a boční skupiny břišních svalů, aktivaci svalů na zadní straně stehna a lýtkových svalů, postavení a pohyb lopatek a reakci pánve.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after="200" w:before="0" w:line="295.368" w:lineRule="auto"/>
        <w:ind w:left="-220" w:right="-220" w:firstLine="0"/>
        <w:rPr>
          <w:rFonts w:ascii="Calibri" w:cs="Calibri" w:eastAsia="Calibri" w:hAnsi="Calibri"/>
          <w:b w:val="1"/>
          <w:color w:val="000000"/>
          <w:sz w:val="50"/>
          <w:szCs w:val="50"/>
        </w:rPr>
      </w:pPr>
      <w:bookmarkStart w:colFirst="0" w:colLast="0" w:name="_v6os5ahyia2k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50"/>
          <w:szCs w:val="50"/>
          <w:rtl w:val="0"/>
        </w:rPr>
        <w:t xml:space="preserve">Test v poloze na čtyřech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ind w:left="-220" w:right="-2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Pacient je v poloze v kleku na čtyřech (opora o dlaně v šířce ramen s prostředníky mířícími dopředu a o kolena v šířce pánve, pažemi a stehny mířícími kolmo k zemi). Hodnotíme symetrii a stabilizační funkci lopatek, zakřivení páteře, způsob opory o dlaně, symetrii aktivity zádových svalů, kvalitu zapojení břišních svalů a aktivitu svalů na dolních končetinách.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