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595E" w14:textId="491CD071" w:rsidR="003D1035" w:rsidRPr="007E7777" w:rsidRDefault="007E7777">
      <w:pPr>
        <w:rPr>
          <w:rFonts w:ascii="cali" w:hAnsi="cali"/>
          <w:sz w:val="24"/>
        </w:rPr>
      </w:pPr>
      <w:r w:rsidRPr="007E7777">
        <w:rPr>
          <w:rFonts w:ascii="cali" w:hAnsi="cali"/>
          <w:sz w:val="24"/>
        </w:rPr>
        <w:t>Rešerše:</w:t>
      </w:r>
    </w:p>
    <w:p w14:paraId="717569E5" w14:textId="237199EC" w:rsidR="007E7777" w:rsidRPr="007E7777" w:rsidRDefault="007E7777" w:rsidP="007E7777">
      <w:pPr>
        <w:ind w:firstLine="708"/>
        <w:rPr>
          <w:rFonts w:ascii="cali" w:hAnsi="cali"/>
          <w:sz w:val="24"/>
        </w:rPr>
      </w:pPr>
      <w:r w:rsidRPr="007E7777">
        <w:rPr>
          <w:rFonts w:ascii="cali" w:hAnsi="cali"/>
          <w:sz w:val="24"/>
        </w:rPr>
        <w:t xml:space="preserve">Problematikou flexibility jednotlivých segmentů se zabývá studie </w:t>
      </w:r>
      <w:proofErr w:type="spellStart"/>
      <w:r w:rsidRPr="007E7777">
        <w:rPr>
          <w:rFonts w:ascii="cali" w:hAnsi="cali"/>
          <w:sz w:val="24"/>
        </w:rPr>
        <w:t>Badau</w:t>
      </w:r>
      <w:proofErr w:type="spellEnd"/>
      <w:r w:rsidRPr="007E7777">
        <w:rPr>
          <w:rFonts w:ascii="cali" w:hAnsi="cali"/>
          <w:sz w:val="24"/>
        </w:rPr>
        <w:t xml:space="preserve"> et al. (2022), kde byly zkoumány </w:t>
      </w:r>
      <w:proofErr w:type="spellStart"/>
      <w:r w:rsidRPr="007E7777">
        <w:rPr>
          <w:rFonts w:ascii="cali" w:hAnsi="cali"/>
          <w:sz w:val="24"/>
        </w:rPr>
        <w:t>sportvyně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synchropnizobNÉHO</w:t>
      </w:r>
      <w:proofErr w:type="spellEnd"/>
      <w:r w:rsidRPr="007E7777">
        <w:rPr>
          <w:rFonts w:ascii="cali" w:hAnsi="cali"/>
          <w:sz w:val="24"/>
        </w:rPr>
        <w:t xml:space="preserve"> Plavání (n=120), a pomocí 55 </w:t>
      </w:r>
      <w:proofErr w:type="spellStart"/>
      <w:r w:rsidRPr="007E7777">
        <w:rPr>
          <w:rFonts w:ascii="cali" w:hAnsi="cali"/>
          <w:sz w:val="24"/>
        </w:rPr>
        <w:t>mootirkcých</w:t>
      </w:r>
      <w:proofErr w:type="spellEnd"/>
      <w:r w:rsidRPr="007E7777">
        <w:rPr>
          <w:rFonts w:ascii="cali" w:hAnsi="cali"/>
          <w:sz w:val="24"/>
        </w:rPr>
        <w:t xml:space="preserve"> testů byla </w:t>
      </w:r>
      <w:proofErr w:type="spellStart"/>
      <w:r w:rsidRPr="007E7777">
        <w:rPr>
          <w:rFonts w:ascii="cali" w:hAnsi="cali"/>
          <w:sz w:val="24"/>
        </w:rPr>
        <w:t>zkoumýny</w:t>
      </w:r>
      <w:proofErr w:type="spellEnd"/>
      <w:r w:rsidRPr="007E7777">
        <w:rPr>
          <w:rFonts w:ascii="cali" w:hAnsi="cali"/>
          <w:sz w:val="24"/>
        </w:rPr>
        <w:t xml:space="preserve"> jednotlivého segmenty na </w:t>
      </w:r>
      <w:proofErr w:type="spellStart"/>
      <w:r w:rsidRPr="007E7777">
        <w:rPr>
          <w:rFonts w:ascii="cali" w:hAnsi="cali"/>
          <w:sz w:val="24"/>
        </w:rPr>
        <w:t>flexibiility</w:t>
      </w:r>
      <w:proofErr w:type="spellEnd"/>
      <w:r w:rsidRPr="007E7777">
        <w:rPr>
          <w:rFonts w:ascii="cali" w:hAnsi="cali"/>
          <w:sz w:val="24"/>
        </w:rPr>
        <w:t xml:space="preserve">, </w:t>
      </w:r>
      <w:proofErr w:type="spellStart"/>
      <w:r w:rsidRPr="007E7777">
        <w:rPr>
          <w:rFonts w:ascii="cali" w:hAnsi="cali"/>
          <w:sz w:val="24"/>
        </w:rPr>
        <w:t>výsldedkem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bylop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ttrvzení</w:t>
      </w:r>
      <w:proofErr w:type="spellEnd"/>
      <w:r w:rsidRPr="007E7777">
        <w:rPr>
          <w:rFonts w:ascii="cali" w:hAnsi="cali"/>
          <w:sz w:val="24"/>
        </w:rPr>
        <w:t xml:space="preserve">, že věková skupina </w:t>
      </w:r>
      <w:proofErr w:type="spellStart"/>
      <w:r w:rsidRPr="007E7777">
        <w:rPr>
          <w:rFonts w:ascii="cali" w:hAnsi="cali"/>
          <w:sz w:val="24"/>
        </w:rPr>
        <w:t>asdfsgfjksjkf</w:t>
      </w:r>
      <w:proofErr w:type="spellEnd"/>
      <w:r w:rsidRPr="007E7777">
        <w:rPr>
          <w:rFonts w:ascii="cali" w:hAnsi="cali"/>
          <w:sz w:val="24"/>
        </w:rPr>
        <w:t xml:space="preserve"> byla </w:t>
      </w:r>
      <w:proofErr w:type="spellStart"/>
      <w:r w:rsidRPr="007E7777">
        <w:rPr>
          <w:rFonts w:ascii="cali" w:hAnsi="cali"/>
          <w:sz w:val="24"/>
        </w:rPr>
        <w:t>kepší</w:t>
      </w:r>
      <w:proofErr w:type="spellEnd"/>
      <w:r w:rsidRPr="007E7777">
        <w:rPr>
          <w:rFonts w:ascii="cali" w:hAnsi="cali"/>
          <w:sz w:val="24"/>
        </w:rPr>
        <w:t xml:space="preserve"> než </w:t>
      </w:r>
      <w:proofErr w:type="spellStart"/>
      <w:r w:rsidRPr="007E7777">
        <w:rPr>
          <w:rFonts w:ascii="cali" w:hAnsi="cali"/>
          <w:sz w:val="24"/>
        </w:rPr>
        <w:t>všeková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skupinsa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fsfasgk</w:t>
      </w:r>
      <w:proofErr w:type="spellEnd"/>
      <w:r w:rsidRPr="007E7777">
        <w:rPr>
          <w:rFonts w:ascii="cali" w:hAnsi="cali"/>
          <w:sz w:val="24"/>
        </w:rPr>
        <w:t xml:space="preserve">, což má za </w:t>
      </w:r>
      <w:proofErr w:type="spellStart"/>
      <w:r w:rsidRPr="007E7777">
        <w:rPr>
          <w:rFonts w:ascii="cali" w:hAnsi="cali"/>
          <w:sz w:val="24"/>
        </w:rPr>
        <w:t>náslůedek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většé</w:t>
      </w:r>
      <w:proofErr w:type="spellEnd"/>
      <w:r w:rsidRPr="007E7777">
        <w:rPr>
          <w:rFonts w:ascii="cali" w:hAnsi="cali"/>
          <w:sz w:val="24"/>
        </w:rPr>
        <w:t xml:space="preserve"> míru </w:t>
      </w:r>
      <w:proofErr w:type="spellStart"/>
      <w:r w:rsidRPr="007E7777">
        <w:rPr>
          <w:rFonts w:ascii="cali" w:hAnsi="cali"/>
          <w:sz w:val="24"/>
        </w:rPr>
        <w:t>zraněníjkhvjsdghjkl</w:t>
      </w:r>
      <w:proofErr w:type="spellEnd"/>
      <w:r w:rsidRPr="007E7777">
        <w:rPr>
          <w:rFonts w:ascii="cali" w:hAnsi="cali"/>
          <w:sz w:val="24"/>
        </w:rPr>
        <w:t xml:space="preserve">. Nedílnou </w:t>
      </w:r>
      <w:proofErr w:type="spellStart"/>
      <w:r w:rsidRPr="007E7777">
        <w:rPr>
          <w:rFonts w:ascii="cali" w:hAnsi="cali"/>
          <w:sz w:val="24"/>
        </w:rPr>
        <w:t>souráčtí</w:t>
      </w:r>
      <w:proofErr w:type="spellEnd"/>
      <w:r w:rsidRPr="007E7777">
        <w:rPr>
          <w:rFonts w:ascii="cali" w:hAnsi="cali"/>
          <w:sz w:val="24"/>
        </w:rPr>
        <w:t xml:space="preserve"> kondiční přípravy u </w:t>
      </w:r>
      <w:proofErr w:type="spellStart"/>
      <w:r w:rsidRPr="007E7777">
        <w:rPr>
          <w:rFonts w:ascii="cali" w:hAnsi="cali"/>
          <w:sz w:val="24"/>
        </w:rPr>
        <w:t>plvcl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sycbdfhpornizopvaného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plaávín</w:t>
      </w:r>
      <w:proofErr w:type="spellEnd"/>
      <w:r w:rsidRPr="007E7777">
        <w:rPr>
          <w:rFonts w:ascii="cali" w:hAnsi="cali"/>
          <w:sz w:val="24"/>
        </w:rPr>
        <w:t xml:space="preserve"> je též vliv </w:t>
      </w:r>
      <w:proofErr w:type="spellStart"/>
      <w:r w:rsidRPr="007E7777">
        <w:rPr>
          <w:rFonts w:ascii="cali" w:hAnsi="cali"/>
          <w:sz w:val="24"/>
        </w:rPr>
        <w:t>primarnfého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refelsců</w:t>
      </w:r>
      <w:proofErr w:type="spellEnd"/>
      <w:r w:rsidRPr="007E7777">
        <w:rPr>
          <w:rFonts w:ascii="cali" w:hAnsi="cali"/>
          <w:sz w:val="24"/>
        </w:rPr>
        <w:t xml:space="preserve"> na </w:t>
      </w:r>
      <w:proofErr w:type="spellStart"/>
      <w:proofErr w:type="gramStart"/>
      <w:r w:rsidRPr="007E7777">
        <w:rPr>
          <w:rFonts w:ascii="cali" w:hAnsi="cali"/>
          <w:sz w:val="24"/>
        </w:rPr>
        <w:t>selxibiukut</w:t>
      </w:r>
      <w:proofErr w:type="spellEnd"/>
      <w:r w:rsidRPr="007E7777">
        <w:rPr>
          <w:rFonts w:ascii="cali" w:hAnsi="cali"/>
          <w:sz w:val="24"/>
        </w:rPr>
        <w:t>..</w:t>
      </w:r>
      <w:proofErr w:type="gramEnd"/>
      <w:r w:rsidRPr="007E7777">
        <w:rPr>
          <w:rFonts w:ascii="cali" w:hAnsi="cali"/>
          <w:sz w:val="24"/>
        </w:rPr>
        <w:t xml:space="preserve"> Na </w:t>
      </w:r>
      <w:proofErr w:type="spellStart"/>
      <w:r w:rsidRPr="007E7777">
        <w:rPr>
          <w:rFonts w:ascii="cali" w:hAnsi="cali"/>
          <w:sz w:val="24"/>
        </w:rPr>
        <w:t>ýzkumné</w:t>
      </w:r>
      <w:proofErr w:type="spellEnd"/>
      <w:r w:rsidRPr="007E7777">
        <w:rPr>
          <w:rFonts w:ascii="cali" w:hAnsi="cali"/>
          <w:sz w:val="24"/>
        </w:rPr>
        <w:t xml:space="preserve"> vzor cca 50 plavců pomocí </w:t>
      </w:r>
      <w:proofErr w:type="spellStart"/>
      <w:r w:rsidRPr="007E7777">
        <w:rPr>
          <w:rFonts w:ascii="cali" w:hAnsi="cali"/>
          <w:sz w:val="24"/>
        </w:rPr>
        <w:t>testůyxcgvjksdgfgsdf</w:t>
      </w:r>
      <w:proofErr w:type="spellEnd"/>
      <w:r w:rsidRPr="007E7777">
        <w:rPr>
          <w:rFonts w:ascii="cali" w:hAnsi="cali"/>
          <w:sz w:val="24"/>
        </w:rPr>
        <w:t xml:space="preserve"> bylo zjištěno, že trénink nemá vliv na rozvoj </w:t>
      </w:r>
      <w:proofErr w:type="spellStart"/>
      <w:r w:rsidRPr="007E7777">
        <w:rPr>
          <w:rFonts w:ascii="cali" w:hAnsi="cali"/>
          <w:sz w:val="24"/>
        </w:rPr>
        <w:t>promárnícch</w:t>
      </w:r>
      <w:proofErr w:type="spellEnd"/>
      <w:r w:rsidRPr="007E7777">
        <w:rPr>
          <w:rFonts w:ascii="cali" w:hAnsi="cali"/>
          <w:sz w:val="24"/>
        </w:rPr>
        <w:t xml:space="preserve"> reflexu (</w:t>
      </w:r>
      <w:proofErr w:type="spellStart"/>
      <w:r w:rsidRPr="007E7777">
        <w:rPr>
          <w:rFonts w:ascii="cali" w:hAnsi="cali"/>
          <w:sz w:val="24"/>
        </w:rPr>
        <w:t>Labudová</w:t>
      </w:r>
      <w:proofErr w:type="spellEnd"/>
      <w:r w:rsidRPr="007E7777">
        <w:rPr>
          <w:rFonts w:ascii="cali" w:hAnsi="cali"/>
          <w:sz w:val="24"/>
        </w:rPr>
        <w:t xml:space="preserve"> et al., 2020)</w:t>
      </w:r>
    </w:p>
    <w:p w14:paraId="10E00A99" w14:textId="3B4ABBE2" w:rsidR="007E7777" w:rsidRPr="007E7777" w:rsidRDefault="007E7777" w:rsidP="007E7777">
      <w:pPr>
        <w:ind w:firstLine="708"/>
        <w:rPr>
          <w:rFonts w:ascii="cali" w:hAnsi="cali"/>
          <w:sz w:val="24"/>
        </w:rPr>
      </w:pPr>
      <w:proofErr w:type="gramStart"/>
      <w:r w:rsidRPr="007E7777">
        <w:rPr>
          <w:rFonts w:ascii="cali" w:hAnsi="cali"/>
          <w:sz w:val="24"/>
        </w:rPr>
        <w:t>:</w:t>
      </w:r>
      <w:proofErr w:type="spellStart"/>
      <w:r w:rsidRPr="007E7777">
        <w:rPr>
          <w:rFonts w:ascii="cali" w:hAnsi="cali"/>
          <w:sz w:val="24"/>
        </w:rPr>
        <w:t>kompexn</w:t>
      </w:r>
      <w:proofErr w:type="spellEnd"/>
      <w:proofErr w:type="gram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úohled</w:t>
      </w:r>
      <w:proofErr w:type="spellEnd"/>
      <w:r w:rsidRPr="007E7777">
        <w:rPr>
          <w:rFonts w:ascii="cali" w:hAnsi="cali"/>
          <w:sz w:val="24"/>
        </w:rPr>
        <w:t xml:space="preserve"> na problematiku kondiční </w:t>
      </w:r>
      <w:proofErr w:type="spellStart"/>
      <w:r w:rsidRPr="007E7777">
        <w:rPr>
          <w:rFonts w:ascii="cali" w:hAnsi="cali"/>
          <w:sz w:val="24"/>
        </w:rPr>
        <w:t>pláavání</w:t>
      </w:r>
      <w:proofErr w:type="spellEnd"/>
      <w:r w:rsidRPr="007E7777">
        <w:rPr>
          <w:rFonts w:ascii="cali" w:hAnsi="cali"/>
          <w:sz w:val="24"/>
        </w:rPr>
        <w:t xml:space="preserve"> zejména z </w:t>
      </w:r>
      <w:proofErr w:type="spellStart"/>
      <w:r w:rsidRPr="007E7777">
        <w:rPr>
          <w:rFonts w:ascii="cali" w:hAnsi="cali"/>
          <w:sz w:val="24"/>
        </w:rPr>
        <w:t>újleu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poerhksdfasdfgasdfgsadgfsdgfasd</w:t>
      </w:r>
      <w:proofErr w:type="spellEnd"/>
      <w:r w:rsidRPr="007E7777">
        <w:rPr>
          <w:rFonts w:ascii="cali" w:hAnsi="cali"/>
          <w:sz w:val="24"/>
        </w:rPr>
        <w:t xml:space="preserve"> </w:t>
      </w:r>
      <w:proofErr w:type="spellStart"/>
      <w:r w:rsidRPr="007E7777">
        <w:rPr>
          <w:rFonts w:ascii="cali" w:hAnsi="cali"/>
          <w:sz w:val="24"/>
        </w:rPr>
        <w:t>přináši</w:t>
      </w:r>
      <w:proofErr w:type="spellEnd"/>
      <w:r w:rsidRPr="007E7777">
        <w:rPr>
          <w:rFonts w:ascii="cali" w:hAnsi="cali"/>
          <w:sz w:val="24"/>
        </w:rPr>
        <w:t xml:space="preserve"> studie Čížová (2021)</w:t>
      </w:r>
    </w:p>
    <w:p w14:paraId="1C239126" w14:textId="1918CA70" w:rsidR="007E7777" w:rsidRPr="007E7777" w:rsidRDefault="007E7777">
      <w:pPr>
        <w:rPr>
          <w:rFonts w:ascii="cali" w:hAnsi="cali"/>
          <w:b/>
          <w:bCs/>
          <w:sz w:val="24"/>
        </w:rPr>
      </w:pPr>
      <w:r w:rsidRPr="007E7777">
        <w:rPr>
          <w:rFonts w:ascii="cali" w:hAnsi="cali"/>
          <w:b/>
          <w:bCs/>
          <w:sz w:val="24"/>
        </w:rPr>
        <w:t>Seznam zdrojů:</w:t>
      </w:r>
    </w:p>
    <w:p w14:paraId="11843CAF" w14:textId="372F9E62" w:rsidR="007E7777" w:rsidRPr="007E7777" w:rsidRDefault="007E7777" w:rsidP="007E7777">
      <w:pPr>
        <w:pStyle w:val="Odstavecseseznamem"/>
        <w:numPr>
          <w:ilvl w:val="0"/>
          <w:numId w:val="1"/>
        </w:numPr>
        <w:rPr>
          <w:rFonts w:ascii="cali" w:hAnsi="cali"/>
          <w:sz w:val="24"/>
        </w:rPr>
      </w:pPr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Adela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Badau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,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Barna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Szabo-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Csifo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, Laura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Ciulea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,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Razvan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Alexandrescu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, &amp; Dana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Badau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. (2022).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Effects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Induced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by a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Specific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Program on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Development of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Segmental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Flexibility in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Athletes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Aged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7–14 in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Synchronized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Swimming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>. </w:t>
      </w:r>
      <w:proofErr w:type="spellStart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Children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>, </w:t>
      </w:r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9</w:t>
      </w:r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(17), 17. </w:t>
      </w:r>
      <w:hyperlink r:id="rId5" w:history="1">
        <w:r w:rsidRPr="007E7777">
          <w:rPr>
            <w:rStyle w:val="Hypertextovodkaz"/>
            <w:rFonts w:ascii="cali" w:hAnsi="cali" w:cs="Helvetica"/>
            <w:color w:val="auto"/>
            <w:sz w:val="24"/>
            <w:szCs w:val="20"/>
            <w:shd w:val="clear" w:color="auto" w:fill="F5F5F5"/>
          </w:rPr>
          <w:t>https://doi.org/10.3390/children9010017</w:t>
        </w:r>
      </w:hyperlink>
    </w:p>
    <w:p w14:paraId="38DBD691" w14:textId="5DC40E34" w:rsidR="007E7777" w:rsidRPr="007E7777" w:rsidRDefault="007E7777" w:rsidP="007E7777">
      <w:pPr>
        <w:pStyle w:val="Odstavecseseznamem"/>
        <w:numPr>
          <w:ilvl w:val="0"/>
          <w:numId w:val="1"/>
        </w:numPr>
        <w:rPr>
          <w:rFonts w:ascii="cali" w:hAnsi="cali"/>
          <w:sz w:val="24"/>
        </w:rPr>
      </w:pP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Badau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, A., Szabo-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Csifo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, B.,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Ciulea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, L.,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Alexandrescu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, R., &amp;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Badau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, D. (2022).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Effects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Induced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by a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Specific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Program on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Development of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Segmental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Flexibility in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Athletes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Aged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7-14 in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Synchronized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Swimming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. </w:t>
      </w:r>
      <w:proofErr w:type="spellStart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FFFFF" w:themeFill="background1"/>
        </w:rPr>
        <w:t>C</w:t>
      </w:r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FFFFF" w:themeFill="background1"/>
        </w:rPr>
        <w:t>children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>, </w:t>
      </w:r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FFFFF" w:themeFill="background1"/>
        </w:rPr>
        <w:t>9</w:t>
      </w:r>
      <w:r w:rsidRPr="007E7777">
        <w:rPr>
          <w:rFonts w:ascii="cali" w:hAnsi="cali" w:cs="Helvetica"/>
          <w:sz w:val="24"/>
          <w:szCs w:val="20"/>
          <w:shd w:val="clear" w:color="auto" w:fill="FFFFFF" w:themeFill="background1"/>
        </w:rPr>
        <w:t xml:space="preserve">(1), 17. </w:t>
      </w:r>
      <w:hyperlink r:id="rId6" w:history="1">
        <w:r w:rsidRPr="007E7777">
          <w:rPr>
            <w:rStyle w:val="Hypertextovodkaz"/>
            <w:rFonts w:ascii="cali" w:hAnsi="cali" w:cs="Helvetica"/>
            <w:color w:val="auto"/>
            <w:sz w:val="24"/>
            <w:szCs w:val="20"/>
            <w:shd w:val="clear" w:color="auto" w:fill="FFFFFF" w:themeFill="background1"/>
          </w:rPr>
          <w:t>https://doi.org/10.3390/children9010017</w:t>
        </w:r>
      </w:hyperlink>
    </w:p>
    <w:p w14:paraId="1CAA903F" w14:textId="77777777" w:rsidR="007E7777" w:rsidRPr="007E7777" w:rsidRDefault="007E7777" w:rsidP="007E7777">
      <w:pPr>
        <w:pStyle w:val="Odstavecseseznamem"/>
        <w:numPr>
          <w:ilvl w:val="0"/>
          <w:numId w:val="1"/>
        </w:numPr>
        <w:rPr>
          <w:rFonts w:ascii="cali" w:hAnsi="cali"/>
          <w:sz w:val="24"/>
        </w:rPr>
      </w:pPr>
      <w:r w:rsidRPr="007E7777">
        <w:rPr>
          <w:rFonts w:ascii="cali" w:hAnsi="cali"/>
          <w:sz w:val="24"/>
        </w:rPr>
        <w:t xml:space="preserve">Čížová, D. (2021). </w:t>
      </w:r>
      <w:r w:rsidRPr="007E7777">
        <w:rPr>
          <w:rFonts w:ascii="cali" w:hAnsi="cali"/>
          <w:i/>
          <w:iCs/>
          <w:sz w:val="24"/>
        </w:rPr>
        <w:t>Léčebně-rehabilitační plán a postup u poškození mediálního menisku</w:t>
      </w:r>
      <w:r w:rsidRPr="007E7777">
        <w:rPr>
          <w:rFonts w:ascii="cali" w:hAnsi="cali"/>
          <w:sz w:val="24"/>
        </w:rPr>
        <w:t xml:space="preserve"> [Bakalářská práce, Masarykova univerzita]. Is.muni.cz. https://is.muni.cz/auth/th/da8ut/</w:t>
      </w:r>
    </w:p>
    <w:p w14:paraId="4742E65B" w14:textId="600B7C25" w:rsidR="007E7777" w:rsidRPr="007E7777" w:rsidRDefault="007E7777" w:rsidP="007E7777">
      <w:pPr>
        <w:pStyle w:val="Odstavecseseznamem"/>
        <w:numPr>
          <w:ilvl w:val="0"/>
          <w:numId w:val="1"/>
        </w:numPr>
        <w:rPr>
          <w:rFonts w:ascii="cali" w:hAnsi="cali"/>
          <w:sz w:val="24"/>
        </w:rPr>
      </w:pP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Labudová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Jana,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Rýzková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Eva,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Raichwalderová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Katarína,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Végh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Dávid, Slaninová Miroslava, &amp; Vavák Miroslav. (2020).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Response to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Training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Load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in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Aquatic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Environment in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Terms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of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Stimulation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of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the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Reflective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Capabilities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of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Elite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Synchronized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sz w:val="24"/>
          <w:szCs w:val="20"/>
          <w:shd w:val="clear" w:color="auto" w:fill="F5F5F5"/>
        </w:rPr>
        <w:t>Swimmers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>. </w:t>
      </w:r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 xml:space="preserve">Acta </w:t>
      </w:r>
      <w:proofErr w:type="spellStart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Facultatis</w:t>
      </w:r>
      <w:proofErr w:type="spellEnd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Educationis</w:t>
      </w:r>
      <w:proofErr w:type="spellEnd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Physicae</w:t>
      </w:r>
      <w:proofErr w:type="spellEnd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Universitatis</w:t>
      </w:r>
      <w:proofErr w:type="spellEnd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Comenianae</w:t>
      </w:r>
      <w:proofErr w:type="spellEnd"/>
      <w:r w:rsidRPr="007E7777">
        <w:rPr>
          <w:rFonts w:ascii="cali" w:hAnsi="cali" w:cs="Helvetica"/>
          <w:sz w:val="24"/>
          <w:szCs w:val="20"/>
          <w:shd w:val="clear" w:color="auto" w:fill="F5F5F5"/>
        </w:rPr>
        <w:t>, </w:t>
      </w:r>
      <w:r w:rsidRPr="007E7777">
        <w:rPr>
          <w:rFonts w:ascii="cali" w:hAnsi="cali" w:cs="Helvetica"/>
          <w:i/>
          <w:iCs/>
          <w:sz w:val="24"/>
          <w:szCs w:val="20"/>
          <w:bdr w:val="none" w:sz="0" w:space="0" w:color="auto" w:frame="1"/>
          <w:shd w:val="clear" w:color="auto" w:fill="F5F5F5"/>
        </w:rPr>
        <w:t>60</w:t>
      </w:r>
      <w:r w:rsidRPr="007E7777">
        <w:rPr>
          <w:rFonts w:ascii="cali" w:hAnsi="cali" w:cs="Helvetica"/>
          <w:sz w:val="24"/>
          <w:szCs w:val="20"/>
          <w:shd w:val="clear" w:color="auto" w:fill="F5F5F5"/>
        </w:rPr>
        <w:t>(2), 170–181. https://doi.org/10.2478/afepuc-2020-0014</w:t>
      </w:r>
    </w:p>
    <w:sectPr w:rsidR="007E7777" w:rsidRPr="007E7777" w:rsidSect="007E77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C60DE"/>
    <w:multiLevelType w:val="hybridMultilevel"/>
    <w:tmpl w:val="FCE817E6"/>
    <w:lvl w:ilvl="0" w:tplc="536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6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A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6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8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B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A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4F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00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FE336F"/>
    <w:multiLevelType w:val="hybridMultilevel"/>
    <w:tmpl w:val="C2780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77"/>
    <w:rsid w:val="003D1035"/>
    <w:rsid w:val="007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8A8A"/>
  <w15:chartTrackingRefBased/>
  <w15:docId w15:val="{17004E3B-AA67-443A-B01A-6D252E6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children9010017" TargetMode="External"/><Relationship Id="rId5" Type="http://schemas.openxmlformats.org/officeDocument/2006/relationships/hyperlink" Target="https://doi.org/10.3390/children901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1741</Characters>
  <Application>Microsoft Office Word</Application>
  <DocSecurity>0</DocSecurity>
  <Lines>14</Lines>
  <Paragraphs>4</Paragraphs>
  <ScaleCrop>false</ScaleCrop>
  <Company>Masarykova univerzita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Struhár</dc:creator>
  <cp:keywords/>
  <dc:description/>
  <cp:lastModifiedBy>Ivan Struhár</cp:lastModifiedBy>
  <cp:revision>1</cp:revision>
  <dcterms:created xsi:type="dcterms:W3CDTF">2022-09-20T09:34:00Z</dcterms:created>
  <dcterms:modified xsi:type="dcterms:W3CDTF">2022-09-20T10:10:00Z</dcterms:modified>
</cp:coreProperties>
</file>