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BBB9" w14:textId="77777777" w:rsidR="00C9511C" w:rsidRPr="00E7259B" w:rsidRDefault="00C9511C" w:rsidP="00C9511C">
      <w:pPr>
        <w:jc w:val="center"/>
        <w:rPr>
          <w:sz w:val="28"/>
          <w:szCs w:val="28"/>
        </w:rPr>
      </w:pPr>
      <w:r w:rsidRPr="00E7259B">
        <w:rPr>
          <w:sz w:val="28"/>
          <w:szCs w:val="28"/>
        </w:rPr>
        <w:t>Pracovní list č. 1</w:t>
      </w:r>
    </w:p>
    <w:p w14:paraId="74133083" w14:textId="198DEDBA" w:rsidR="00883A92" w:rsidRDefault="00883A92" w:rsidP="00883A92">
      <w:pPr>
        <w:jc w:val="center"/>
        <w:rPr>
          <w:sz w:val="24"/>
          <w:szCs w:val="24"/>
        </w:rPr>
      </w:pPr>
      <w:r>
        <w:rPr>
          <w:sz w:val="24"/>
          <w:szCs w:val="24"/>
        </w:rPr>
        <w:t>Energetická bilance a makroživiny</w:t>
      </w:r>
    </w:p>
    <w:p w14:paraId="1F38F9E4" w14:textId="77777777" w:rsidR="00883A92" w:rsidRPr="002A692E" w:rsidRDefault="00883A92" w:rsidP="00883A9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A692E">
        <w:rPr>
          <w:b/>
        </w:rPr>
        <w:t>Energetický výdej</w:t>
      </w:r>
    </w:p>
    <w:p w14:paraId="67D773AC" w14:textId="5E20912F" w:rsidR="00883A92" w:rsidRPr="002A692E" w:rsidRDefault="00883A92" w:rsidP="00883A92">
      <w:pPr>
        <w:pStyle w:val="Odstavecseseznamem"/>
        <w:numPr>
          <w:ilvl w:val="0"/>
          <w:numId w:val="2"/>
        </w:numPr>
        <w:ind w:left="993" w:hanging="284"/>
        <w:jc w:val="both"/>
      </w:pPr>
      <w:r w:rsidRPr="002A692E">
        <w:rPr>
          <w:b/>
        </w:rPr>
        <w:t>Bazální metabolismus (BM</w:t>
      </w:r>
      <w:r w:rsidR="00CD1572">
        <w:rPr>
          <w:b/>
        </w:rPr>
        <w:t>R</w:t>
      </w:r>
      <w:r w:rsidRPr="002A692E">
        <w:rPr>
          <w:b/>
        </w:rPr>
        <w:t>)</w:t>
      </w:r>
      <w:r w:rsidRPr="002A692E">
        <w:t xml:space="preserve"> – U normální populace tvoří asi 60-75 % celkového energetického výdeje. 60 % BM</w:t>
      </w:r>
      <w:r w:rsidR="00CD1572">
        <w:t>R</w:t>
      </w:r>
      <w:r w:rsidRPr="002A692E">
        <w:t xml:space="preserve"> je věnováno produkci tepla, zbytek je energie potřebná pro udržování základních životních funkcí.</w:t>
      </w:r>
    </w:p>
    <w:p w14:paraId="4F7D7123" w14:textId="77777777" w:rsidR="00883A92" w:rsidRPr="00883A92" w:rsidRDefault="00883A92" w:rsidP="00883A92">
      <w:pPr>
        <w:pStyle w:val="Titulek"/>
        <w:keepNext/>
        <w:spacing w:after="120"/>
        <w:ind w:left="992"/>
        <w:rPr>
          <w:i w:val="0"/>
          <w:color w:val="auto"/>
        </w:rPr>
      </w:pPr>
      <w:r w:rsidRPr="00883A92">
        <w:rPr>
          <w:i w:val="0"/>
          <w:color w:val="auto"/>
        </w:rPr>
        <w:t xml:space="preserve">Úkol č. </w:t>
      </w:r>
      <w:r w:rsidRPr="00883A92">
        <w:rPr>
          <w:i w:val="0"/>
          <w:color w:val="auto"/>
        </w:rPr>
        <w:fldChar w:fldCharType="begin"/>
      </w:r>
      <w:r w:rsidRPr="00883A92">
        <w:rPr>
          <w:i w:val="0"/>
          <w:color w:val="auto"/>
        </w:rPr>
        <w:instrText xml:space="preserve"> SEQ Úkol_č. \* ARABIC </w:instrText>
      </w:r>
      <w:r w:rsidRPr="00883A92">
        <w:rPr>
          <w:i w:val="0"/>
          <w:color w:val="auto"/>
        </w:rPr>
        <w:fldChar w:fldCharType="separate"/>
      </w:r>
      <w:r w:rsidR="00A378A2">
        <w:rPr>
          <w:i w:val="0"/>
          <w:noProof/>
          <w:color w:val="auto"/>
        </w:rPr>
        <w:t>1</w:t>
      </w:r>
      <w:r w:rsidRPr="00883A92">
        <w:rPr>
          <w:i w:val="0"/>
          <w:color w:val="auto"/>
        </w:rPr>
        <w:fldChar w:fldCharType="end"/>
      </w:r>
      <w:r w:rsidRPr="00883A92">
        <w:rPr>
          <w:i w:val="0"/>
          <w:color w:val="auto"/>
        </w:rPr>
        <w:t xml:space="preserve">: </w:t>
      </w:r>
      <w:r>
        <w:rPr>
          <w:i w:val="0"/>
          <w:color w:val="auto"/>
        </w:rPr>
        <w:t>Doplňte f</w:t>
      </w:r>
      <w:r w:rsidRPr="00883A92">
        <w:rPr>
          <w:i w:val="0"/>
          <w:color w:val="auto"/>
        </w:rPr>
        <w:t>aktory ovlivňující hodnotu BM.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4035"/>
        <w:gridCol w:w="4034"/>
      </w:tblGrid>
      <w:tr w:rsidR="00883A92" w:rsidRPr="002A692E" w14:paraId="19CF22C9" w14:textId="77777777" w:rsidTr="00883A92">
        <w:tc>
          <w:tcPr>
            <w:tcW w:w="4035" w:type="dxa"/>
          </w:tcPr>
          <w:p w14:paraId="1A6A3BE3" w14:textId="3A262DDA" w:rsidR="00883A92" w:rsidRPr="002A692E" w:rsidRDefault="00883A92" w:rsidP="00883A92">
            <w:pPr>
              <w:pStyle w:val="Odstavecseseznamem"/>
              <w:ind w:left="0"/>
              <w:jc w:val="both"/>
            </w:pPr>
            <w:r w:rsidRPr="002A692E">
              <w:t>Faktory ovlivňující BM</w:t>
            </w:r>
            <w:r w:rsidR="00CD1572">
              <w:t>R</w:t>
            </w:r>
          </w:p>
        </w:tc>
        <w:tc>
          <w:tcPr>
            <w:tcW w:w="4034" w:type="dxa"/>
          </w:tcPr>
          <w:p w14:paraId="788823B7" w14:textId="7424B0AF" w:rsidR="00883A92" w:rsidRPr="002A692E" w:rsidRDefault="00883A92" w:rsidP="00883A92">
            <w:pPr>
              <w:pStyle w:val="Odstavecseseznamem"/>
              <w:ind w:left="0"/>
              <w:jc w:val="both"/>
            </w:pPr>
            <w:r w:rsidRPr="002A692E">
              <w:t>Účinek na BM</w:t>
            </w:r>
            <w:r w:rsidR="00CD1572">
              <w:t>R</w:t>
            </w:r>
          </w:p>
        </w:tc>
      </w:tr>
      <w:tr w:rsidR="00883A92" w:rsidRPr="002A692E" w14:paraId="0F094D7B" w14:textId="77777777" w:rsidTr="00883A92">
        <w:tc>
          <w:tcPr>
            <w:tcW w:w="4035" w:type="dxa"/>
          </w:tcPr>
          <w:p w14:paraId="3A7643E0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6616AD75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7F63F576" w14:textId="77777777" w:rsidTr="00883A92">
        <w:tc>
          <w:tcPr>
            <w:tcW w:w="4035" w:type="dxa"/>
          </w:tcPr>
          <w:p w14:paraId="72EE1157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321C3682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75990929" w14:textId="77777777" w:rsidTr="00883A92">
        <w:tc>
          <w:tcPr>
            <w:tcW w:w="4035" w:type="dxa"/>
          </w:tcPr>
          <w:p w14:paraId="38CCA0B6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1D3E2EE0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15C52876" w14:textId="77777777" w:rsidTr="00883A92">
        <w:tc>
          <w:tcPr>
            <w:tcW w:w="4035" w:type="dxa"/>
          </w:tcPr>
          <w:p w14:paraId="0B01562B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4D53753B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59F2DC67" w14:textId="77777777" w:rsidTr="00883A92">
        <w:tc>
          <w:tcPr>
            <w:tcW w:w="4035" w:type="dxa"/>
          </w:tcPr>
          <w:p w14:paraId="47ADEA0B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75F88428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5DF3E6BD" w14:textId="77777777" w:rsidTr="00883A92">
        <w:tc>
          <w:tcPr>
            <w:tcW w:w="4035" w:type="dxa"/>
          </w:tcPr>
          <w:p w14:paraId="54FE4E95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3B198AF0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47B0118F" w14:textId="77777777" w:rsidTr="00883A92">
        <w:tc>
          <w:tcPr>
            <w:tcW w:w="4035" w:type="dxa"/>
          </w:tcPr>
          <w:p w14:paraId="70E7BA6C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04E7B24E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</w:tr>
      <w:tr w:rsidR="00883A92" w:rsidRPr="002A692E" w14:paraId="0EBFAACE" w14:textId="77777777" w:rsidTr="00883A92">
        <w:tc>
          <w:tcPr>
            <w:tcW w:w="4035" w:type="dxa"/>
          </w:tcPr>
          <w:p w14:paraId="489E6FC5" w14:textId="77777777" w:rsidR="00883A92" w:rsidRPr="002A692E" w:rsidRDefault="00883A92" w:rsidP="00883A92">
            <w:pPr>
              <w:pStyle w:val="Odstavecseseznamem"/>
              <w:ind w:left="0"/>
              <w:jc w:val="both"/>
            </w:pPr>
          </w:p>
        </w:tc>
        <w:tc>
          <w:tcPr>
            <w:tcW w:w="4034" w:type="dxa"/>
          </w:tcPr>
          <w:p w14:paraId="0132A3B9" w14:textId="77777777" w:rsidR="00883A92" w:rsidRPr="002A692E" w:rsidRDefault="00883A92" w:rsidP="00883A92">
            <w:pPr>
              <w:pStyle w:val="Odstavecseseznamem"/>
              <w:keepNext/>
              <w:ind w:left="0"/>
              <w:jc w:val="both"/>
            </w:pPr>
          </w:p>
        </w:tc>
      </w:tr>
    </w:tbl>
    <w:p w14:paraId="6A0855F6" w14:textId="77777777" w:rsidR="00883A92" w:rsidRPr="00883A92" w:rsidRDefault="00883A92" w:rsidP="00883A92">
      <w:pPr>
        <w:pStyle w:val="Titulek"/>
        <w:keepNext/>
        <w:spacing w:before="120" w:after="120"/>
        <w:ind w:left="992"/>
        <w:rPr>
          <w:i w:val="0"/>
          <w:color w:val="auto"/>
        </w:rPr>
      </w:pPr>
      <w:r w:rsidRPr="00883A92">
        <w:rPr>
          <w:i w:val="0"/>
          <w:color w:val="auto"/>
        </w:rPr>
        <w:t xml:space="preserve">Úkol č. </w:t>
      </w:r>
      <w:r w:rsidRPr="00883A92">
        <w:rPr>
          <w:i w:val="0"/>
          <w:color w:val="auto"/>
        </w:rPr>
        <w:fldChar w:fldCharType="begin"/>
      </w:r>
      <w:r w:rsidRPr="00883A92">
        <w:rPr>
          <w:i w:val="0"/>
          <w:color w:val="auto"/>
        </w:rPr>
        <w:instrText xml:space="preserve"> SEQ Úkol_č. \* ARABIC </w:instrText>
      </w:r>
      <w:r w:rsidRPr="00883A92">
        <w:rPr>
          <w:i w:val="0"/>
          <w:color w:val="auto"/>
        </w:rPr>
        <w:fldChar w:fldCharType="separate"/>
      </w:r>
      <w:r w:rsidR="00A378A2">
        <w:rPr>
          <w:i w:val="0"/>
          <w:noProof/>
          <w:color w:val="auto"/>
        </w:rPr>
        <w:t>2</w:t>
      </w:r>
      <w:r w:rsidRPr="00883A92">
        <w:rPr>
          <w:i w:val="0"/>
          <w:color w:val="auto"/>
        </w:rPr>
        <w:fldChar w:fldCharType="end"/>
      </w:r>
      <w:r w:rsidRPr="00883A92">
        <w:rPr>
          <w:i w:val="0"/>
          <w:color w:val="auto"/>
        </w:rPr>
        <w:t>: Doplňte metody zjišťování BM.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2689"/>
        <w:gridCol w:w="2690"/>
        <w:gridCol w:w="2690"/>
      </w:tblGrid>
      <w:tr w:rsidR="00883A92" w:rsidRPr="002A692E" w14:paraId="30142565" w14:textId="77777777" w:rsidTr="00881EA7">
        <w:tc>
          <w:tcPr>
            <w:tcW w:w="8069" w:type="dxa"/>
            <w:gridSpan w:val="3"/>
          </w:tcPr>
          <w:p w14:paraId="5CD69B64" w14:textId="3C26DE2D" w:rsidR="00883A92" w:rsidRPr="002A692E" w:rsidRDefault="00883A92" w:rsidP="00883A92">
            <w:pPr>
              <w:pStyle w:val="Odstavecseseznamem"/>
              <w:ind w:left="0"/>
              <w:jc w:val="center"/>
            </w:pPr>
            <w:r w:rsidRPr="002A692E">
              <w:t>Metody zjišťování BM</w:t>
            </w:r>
            <w:r w:rsidR="00CD1572">
              <w:t>R</w:t>
            </w:r>
          </w:p>
        </w:tc>
      </w:tr>
      <w:tr w:rsidR="00737055" w:rsidRPr="002A692E" w14:paraId="33F17E0D" w14:textId="77777777" w:rsidTr="00881EA7">
        <w:tc>
          <w:tcPr>
            <w:tcW w:w="5379" w:type="dxa"/>
            <w:gridSpan w:val="2"/>
          </w:tcPr>
          <w:p w14:paraId="0FEB53E9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  <w:r w:rsidRPr="002A692E">
              <w:t>Kalorimetrie</w:t>
            </w:r>
          </w:p>
        </w:tc>
        <w:tc>
          <w:tcPr>
            <w:tcW w:w="2690" w:type="dxa"/>
          </w:tcPr>
          <w:p w14:paraId="51FEB84F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  <w:r w:rsidRPr="002A692E">
              <w:t>Prediktivní rovnice</w:t>
            </w:r>
          </w:p>
        </w:tc>
      </w:tr>
      <w:tr w:rsidR="00883A92" w:rsidRPr="002A692E" w14:paraId="5CBE85B3" w14:textId="77777777" w:rsidTr="00883A92">
        <w:tc>
          <w:tcPr>
            <w:tcW w:w="2689" w:type="dxa"/>
          </w:tcPr>
          <w:p w14:paraId="527D79E9" w14:textId="77777777" w:rsidR="00883A92" w:rsidRPr="002A692E" w:rsidRDefault="00737055" w:rsidP="00883A92">
            <w:pPr>
              <w:pStyle w:val="Odstavecseseznamem"/>
              <w:ind w:left="0"/>
              <w:jc w:val="both"/>
            </w:pPr>
            <w:r w:rsidRPr="002A692E">
              <w:t>Přímá</w:t>
            </w:r>
          </w:p>
        </w:tc>
        <w:tc>
          <w:tcPr>
            <w:tcW w:w="2690" w:type="dxa"/>
          </w:tcPr>
          <w:p w14:paraId="32BABA89" w14:textId="77777777" w:rsidR="00883A92" w:rsidRPr="002A692E" w:rsidRDefault="00737055" w:rsidP="00883A92">
            <w:pPr>
              <w:pStyle w:val="Odstavecseseznamem"/>
              <w:ind w:left="0"/>
              <w:jc w:val="both"/>
            </w:pPr>
            <w:r w:rsidRPr="002A692E">
              <w:t>Nepřímá</w:t>
            </w:r>
          </w:p>
        </w:tc>
        <w:tc>
          <w:tcPr>
            <w:tcW w:w="2690" w:type="dxa"/>
          </w:tcPr>
          <w:p w14:paraId="4092D9E9" w14:textId="77777777" w:rsidR="00883A92" w:rsidRPr="002A692E" w:rsidRDefault="00CC38DB" w:rsidP="00883A92">
            <w:pPr>
              <w:pStyle w:val="Odstavecseseznamem"/>
              <w:ind w:left="0"/>
              <w:jc w:val="both"/>
            </w:pPr>
            <w:r w:rsidRPr="002A692E">
              <w:t>Harris-benedictova</w:t>
            </w:r>
          </w:p>
        </w:tc>
      </w:tr>
      <w:tr w:rsidR="00737055" w:rsidRPr="002A692E" w14:paraId="3F526785" w14:textId="77777777" w:rsidTr="00883A92">
        <w:tc>
          <w:tcPr>
            <w:tcW w:w="2689" w:type="dxa"/>
          </w:tcPr>
          <w:p w14:paraId="141C1DDD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</w:p>
        </w:tc>
        <w:tc>
          <w:tcPr>
            <w:tcW w:w="2690" w:type="dxa"/>
          </w:tcPr>
          <w:p w14:paraId="15B2681A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</w:p>
        </w:tc>
        <w:tc>
          <w:tcPr>
            <w:tcW w:w="2690" w:type="dxa"/>
          </w:tcPr>
          <w:p w14:paraId="7850657D" w14:textId="77777777" w:rsidR="00737055" w:rsidRPr="002A692E" w:rsidRDefault="00CC38DB" w:rsidP="00883A92">
            <w:pPr>
              <w:pStyle w:val="Odstavecseseznamem"/>
              <w:ind w:left="0"/>
              <w:jc w:val="both"/>
            </w:pPr>
            <w:r w:rsidRPr="002A692E">
              <w:t>Cunninghamova</w:t>
            </w:r>
          </w:p>
        </w:tc>
      </w:tr>
      <w:tr w:rsidR="00737055" w:rsidRPr="002A692E" w14:paraId="570540FC" w14:textId="77777777" w:rsidTr="00883A92">
        <w:tc>
          <w:tcPr>
            <w:tcW w:w="2689" w:type="dxa"/>
          </w:tcPr>
          <w:p w14:paraId="575A1D93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</w:p>
        </w:tc>
        <w:tc>
          <w:tcPr>
            <w:tcW w:w="2690" w:type="dxa"/>
          </w:tcPr>
          <w:p w14:paraId="372D7C73" w14:textId="77777777" w:rsidR="00737055" w:rsidRPr="002A692E" w:rsidRDefault="00737055" w:rsidP="00883A92">
            <w:pPr>
              <w:pStyle w:val="Odstavecseseznamem"/>
              <w:ind w:left="0"/>
              <w:jc w:val="both"/>
            </w:pPr>
          </w:p>
        </w:tc>
        <w:tc>
          <w:tcPr>
            <w:tcW w:w="2690" w:type="dxa"/>
          </w:tcPr>
          <w:p w14:paraId="670C1EC4" w14:textId="77777777" w:rsidR="00737055" w:rsidRPr="002A692E" w:rsidRDefault="00CC38DB" w:rsidP="00883A92">
            <w:pPr>
              <w:pStyle w:val="Odstavecseseznamem"/>
              <w:ind w:left="0"/>
              <w:jc w:val="both"/>
            </w:pPr>
            <w:r w:rsidRPr="002A692E">
              <w:t>Faustova</w:t>
            </w:r>
          </w:p>
        </w:tc>
      </w:tr>
    </w:tbl>
    <w:p w14:paraId="7F9AE014" w14:textId="5C5ECE8D" w:rsidR="00CC38DB" w:rsidRPr="00CC38DB" w:rsidRDefault="00CC38DB" w:rsidP="00CC38DB">
      <w:pPr>
        <w:pStyle w:val="Titulek"/>
        <w:keepNext/>
        <w:spacing w:before="120" w:after="120"/>
        <w:ind w:left="992"/>
        <w:rPr>
          <w:i w:val="0"/>
          <w:color w:val="auto"/>
        </w:rPr>
      </w:pPr>
      <w:r w:rsidRPr="00CC38DB">
        <w:rPr>
          <w:i w:val="0"/>
          <w:color w:val="auto"/>
        </w:rPr>
        <w:t xml:space="preserve">Úkol č. </w:t>
      </w:r>
      <w:r w:rsidRPr="00CC38DB">
        <w:rPr>
          <w:i w:val="0"/>
          <w:color w:val="auto"/>
        </w:rPr>
        <w:fldChar w:fldCharType="begin"/>
      </w:r>
      <w:r w:rsidRPr="00CC38DB">
        <w:rPr>
          <w:i w:val="0"/>
          <w:color w:val="auto"/>
        </w:rPr>
        <w:instrText xml:space="preserve"> SEQ Úkol_č. \* ARABIC </w:instrText>
      </w:r>
      <w:r w:rsidRPr="00CC38DB">
        <w:rPr>
          <w:i w:val="0"/>
          <w:color w:val="auto"/>
        </w:rPr>
        <w:fldChar w:fldCharType="separate"/>
      </w:r>
      <w:r w:rsidR="00A378A2">
        <w:rPr>
          <w:i w:val="0"/>
          <w:noProof/>
          <w:color w:val="auto"/>
        </w:rPr>
        <w:t>3</w:t>
      </w:r>
      <w:r w:rsidRPr="00CC38DB">
        <w:rPr>
          <w:i w:val="0"/>
          <w:color w:val="auto"/>
        </w:rPr>
        <w:fldChar w:fldCharType="end"/>
      </w:r>
      <w:r w:rsidRPr="00CC38DB">
        <w:rPr>
          <w:i w:val="0"/>
          <w:color w:val="auto"/>
        </w:rPr>
        <w:t>: Vyhledejte vzorec pro jednotlivé prediktivní rovnice a vypočítejte svůj BM</w:t>
      </w:r>
      <w:r w:rsidR="00CD1572">
        <w:rPr>
          <w:i w:val="0"/>
          <w:color w:val="auto"/>
        </w:rPr>
        <w:t>R</w:t>
      </w:r>
      <w:r w:rsidRPr="00CC38DB">
        <w:rPr>
          <w:i w:val="0"/>
          <w:color w:val="auto"/>
        </w:rPr>
        <w:t>.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2263"/>
        <w:gridCol w:w="4394"/>
        <w:gridCol w:w="1412"/>
      </w:tblGrid>
      <w:tr w:rsidR="00E70710" w:rsidRPr="002A692E" w14:paraId="79A25AD1" w14:textId="77777777" w:rsidTr="00881EA7">
        <w:tc>
          <w:tcPr>
            <w:tcW w:w="8069" w:type="dxa"/>
            <w:gridSpan w:val="3"/>
          </w:tcPr>
          <w:p w14:paraId="73936BFA" w14:textId="33FD4E3D" w:rsidR="00E70710" w:rsidRPr="002A692E" w:rsidRDefault="00E70710" w:rsidP="00881EA7">
            <w:pPr>
              <w:pStyle w:val="Odstavecseseznamem"/>
              <w:ind w:left="0"/>
              <w:jc w:val="center"/>
            </w:pPr>
            <w:r w:rsidRPr="002A692E">
              <w:t>Výpočet BM</w:t>
            </w:r>
            <w:r w:rsidR="00FB6D08">
              <w:t>R</w:t>
            </w:r>
          </w:p>
        </w:tc>
      </w:tr>
      <w:tr w:rsidR="00D2591C" w:rsidRPr="002A692E" w14:paraId="2C01854F" w14:textId="77777777" w:rsidTr="00CD1572">
        <w:trPr>
          <w:trHeight w:val="230"/>
        </w:trPr>
        <w:tc>
          <w:tcPr>
            <w:tcW w:w="2263" w:type="dxa"/>
          </w:tcPr>
          <w:p w14:paraId="6482EDA6" w14:textId="77777777" w:rsidR="00D2591C" w:rsidRPr="002A692E" w:rsidRDefault="00D2591C" w:rsidP="00E70710">
            <w:pPr>
              <w:pStyle w:val="Odstavecseseznamem"/>
              <w:ind w:left="0"/>
            </w:pPr>
            <w:r w:rsidRPr="002A692E">
              <w:t>Rovnice</w:t>
            </w:r>
          </w:p>
        </w:tc>
        <w:tc>
          <w:tcPr>
            <w:tcW w:w="4394" w:type="dxa"/>
          </w:tcPr>
          <w:p w14:paraId="0DE3DE89" w14:textId="77777777" w:rsidR="00D2591C" w:rsidRPr="002A692E" w:rsidRDefault="00D2591C" w:rsidP="00881EA7">
            <w:pPr>
              <w:pStyle w:val="Odstavecseseznamem"/>
              <w:ind w:left="0"/>
              <w:jc w:val="both"/>
            </w:pPr>
            <w:r w:rsidRPr="002A692E">
              <w:t>Výpočet</w:t>
            </w:r>
          </w:p>
        </w:tc>
        <w:tc>
          <w:tcPr>
            <w:tcW w:w="1412" w:type="dxa"/>
          </w:tcPr>
          <w:p w14:paraId="79DCF074" w14:textId="77777777" w:rsidR="00D2591C" w:rsidRPr="002A692E" w:rsidRDefault="00D2591C" w:rsidP="00881EA7">
            <w:pPr>
              <w:pStyle w:val="Odstavecseseznamem"/>
              <w:ind w:left="0"/>
              <w:jc w:val="both"/>
            </w:pPr>
            <w:r w:rsidRPr="002A692E">
              <w:t>Výsledek</w:t>
            </w:r>
          </w:p>
        </w:tc>
      </w:tr>
      <w:tr w:rsidR="00E70710" w:rsidRPr="002A692E" w14:paraId="2FF3DE5D" w14:textId="77777777" w:rsidTr="00CD1572">
        <w:trPr>
          <w:trHeight w:val="985"/>
        </w:trPr>
        <w:tc>
          <w:tcPr>
            <w:tcW w:w="2263" w:type="dxa"/>
          </w:tcPr>
          <w:p w14:paraId="5163E238" w14:textId="23347346" w:rsidR="00E70710" w:rsidRPr="002A692E" w:rsidRDefault="00275284" w:rsidP="00E70710">
            <w:pPr>
              <w:pStyle w:val="Odstavecseseznamem"/>
              <w:ind w:left="0"/>
            </w:pPr>
            <w:r>
              <w:t>Harris-Benedict</w:t>
            </w:r>
          </w:p>
        </w:tc>
        <w:tc>
          <w:tcPr>
            <w:tcW w:w="4394" w:type="dxa"/>
          </w:tcPr>
          <w:p w14:paraId="7FEA52DC" w14:textId="39F110EC" w:rsidR="00E70710" w:rsidRDefault="00E70710" w:rsidP="00881EA7">
            <w:pPr>
              <w:pStyle w:val="Odstavecseseznamem"/>
              <w:ind w:left="0"/>
              <w:jc w:val="both"/>
            </w:pPr>
            <w:r w:rsidRPr="002A692E">
              <w:t>M:</w:t>
            </w:r>
          </w:p>
          <w:p w14:paraId="70230D91" w14:textId="77777777" w:rsidR="00CD1572" w:rsidRPr="002A692E" w:rsidRDefault="00CD1572" w:rsidP="00881EA7">
            <w:pPr>
              <w:pStyle w:val="Odstavecseseznamem"/>
              <w:ind w:left="0"/>
              <w:jc w:val="both"/>
            </w:pPr>
          </w:p>
          <w:p w14:paraId="5B79BDED" w14:textId="77777777" w:rsidR="00E70710" w:rsidRPr="002A692E" w:rsidRDefault="00E70710" w:rsidP="00881EA7">
            <w:pPr>
              <w:pStyle w:val="Odstavecseseznamem"/>
              <w:ind w:left="0"/>
              <w:jc w:val="both"/>
            </w:pPr>
          </w:p>
          <w:p w14:paraId="68781E9D" w14:textId="0BCC59BB" w:rsidR="00E70710" w:rsidRDefault="00E70710" w:rsidP="00881EA7">
            <w:pPr>
              <w:pStyle w:val="Odstavecseseznamem"/>
              <w:ind w:left="0"/>
              <w:jc w:val="both"/>
            </w:pPr>
            <w:r w:rsidRPr="002A692E">
              <w:t>Ž:</w:t>
            </w:r>
          </w:p>
          <w:p w14:paraId="399B1DB2" w14:textId="77777777" w:rsidR="00CD1572" w:rsidRPr="002A692E" w:rsidRDefault="00CD1572" w:rsidP="00881EA7">
            <w:pPr>
              <w:pStyle w:val="Odstavecseseznamem"/>
              <w:ind w:left="0"/>
              <w:jc w:val="both"/>
            </w:pPr>
          </w:p>
          <w:p w14:paraId="633B4DFE" w14:textId="77777777" w:rsidR="00E70710" w:rsidRPr="002A692E" w:rsidRDefault="00E70710" w:rsidP="00881EA7">
            <w:pPr>
              <w:pStyle w:val="Odstavecseseznamem"/>
              <w:ind w:left="0"/>
              <w:jc w:val="both"/>
            </w:pPr>
          </w:p>
        </w:tc>
        <w:tc>
          <w:tcPr>
            <w:tcW w:w="1412" w:type="dxa"/>
          </w:tcPr>
          <w:p w14:paraId="752BE4C2" w14:textId="77777777" w:rsidR="00E70710" w:rsidRPr="002A692E" w:rsidRDefault="00E70710" w:rsidP="00881EA7">
            <w:pPr>
              <w:pStyle w:val="Odstavecseseznamem"/>
              <w:ind w:left="0"/>
              <w:jc w:val="both"/>
            </w:pPr>
          </w:p>
        </w:tc>
      </w:tr>
      <w:tr w:rsidR="00E70710" w:rsidRPr="002A692E" w14:paraId="737D4979" w14:textId="77777777" w:rsidTr="00CD1572">
        <w:tc>
          <w:tcPr>
            <w:tcW w:w="2263" w:type="dxa"/>
          </w:tcPr>
          <w:p w14:paraId="39A6613D" w14:textId="01C60E54" w:rsidR="00E70710" w:rsidRPr="002A692E" w:rsidRDefault="00275284" w:rsidP="00881EA7">
            <w:pPr>
              <w:pStyle w:val="Odstavecseseznamem"/>
              <w:ind w:left="0"/>
              <w:jc w:val="both"/>
            </w:pPr>
            <w:r>
              <w:t>Cunnighamova</w:t>
            </w:r>
          </w:p>
        </w:tc>
        <w:tc>
          <w:tcPr>
            <w:tcW w:w="4394" w:type="dxa"/>
          </w:tcPr>
          <w:p w14:paraId="3EED37A1" w14:textId="0ECF0970" w:rsidR="00E70710" w:rsidRDefault="00E70710" w:rsidP="00881EA7">
            <w:pPr>
              <w:pStyle w:val="Odstavecseseznamem"/>
              <w:ind w:left="0"/>
              <w:jc w:val="both"/>
            </w:pPr>
          </w:p>
          <w:p w14:paraId="37A9C403" w14:textId="77777777" w:rsidR="00CD1572" w:rsidRPr="002A692E" w:rsidRDefault="00CD1572" w:rsidP="00881EA7">
            <w:pPr>
              <w:pStyle w:val="Odstavecseseznamem"/>
              <w:ind w:left="0"/>
              <w:jc w:val="both"/>
            </w:pPr>
          </w:p>
          <w:p w14:paraId="2D7BE67E" w14:textId="77777777" w:rsidR="00CC38DB" w:rsidRPr="002A692E" w:rsidRDefault="00CC38DB" w:rsidP="00881EA7">
            <w:pPr>
              <w:pStyle w:val="Odstavecseseznamem"/>
              <w:ind w:left="0"/>
              <w:jc w:val="both"/>
            </w:pPr>
          </w:p>
        </w:tc>
        <w:tc>
          <w:tcPr>
            <w:tcW w:w="1412" w:type="dxa"/>
          </w:tcPr>
          <w:p w14:paraId="054642CC" w14:textId="77777777" w:rsidR="00E70710" w:rsidRPr="002A692E" w:rsidRDefault="00E70710" w:rsidP="00881EA7">
            <w:pPr>
              <w:pStyle w:val="Odstavecseseznamem"/>
              <w:ind w:left="0"/>
              <w:jc w:val="both"/>
            </w:pPr>
          </w:p>
        </w:tc>
      </w:tr>
      <w:tr w:rsidR="00E70710" w:rsidRPr="002A692E" w14:paraId="0FB75E74" w14:textId="77777777" w:rsidTr="00CD1572">
        <w:tc>
          <w:tcPr>
            <w:tcW w:w="2263" w:type="dxa"/>
          </w:tcPr>
          <w:p w14:paraId="28789E18" w14:textId="6614DCAC" w:rsidR="00E70710" w:rsidRPr="002A692E" w:rsidRDefault="00CD1572" w:rsidP="00881EA7">
            <w:pPr>
              <w:pStyle w:val="Odstavecseseznamem"/>
              <w:ind w:left="0"/>
              <w:jc w:val="both"/>
            </w:pPr>
            <w:r>
              <w:t>Katch-McArdle</w:t>
            </w:r>
          </w:p>
        </w:tc>
        <w:tc>
          <w:tcPr>
            <w:tcW w:w="4394" w:type="dxa"/>
          </w:tcPr>
          <w:p w14:paraId="663A02A3" w14:textId="06D17505" w:rsidR="00CC38DB" w:rsidRDefault="00CD1572" w:rsidP="00881EA7">
            <w:pPr>
              <w:pStyle w:val="Odstavecseseznamem"/>
              <w:ind w:left="0"/>
              <w:jc w:val="both"/>
            </w:pPr>
            <w:r>
              <w:t>M:</w:t>
            </w:r>
          </w:p>
          <w:p w14:paraId="2C82F0B2" w14:textId="77777777" w:rsidR="00CD1572" w:rsidRDefault="00CD1572" w:rsidP="00881EA7">
            <w:pPr>
              <w:pStyle w:val="Odstavecseseznamem"/>
              <w:ind w:left="0"/>
              <w:jc w:val="both"/>
            </w:pPr>
          </w:p>
          <w:p w14:paraId="1ADAA631" w14:textId="77777777" w:rsidR="00CD1572" w:rsidRDefault="00CD1572" w:rsidP="00881EA7">
            <w:pPr>
              <w:pStyle w:val="Odstavecseseznamem"/>
              <w:ind w:left="0"/>
              <w:jc w:val="both"/>
            </w:pPr>
          </w:p>
          <w:p w14:paraId="4261B888" w14:textId="3658B920" w:rsidR="00CD1572" w:rsidRDefault="00CD1572" w:rsidP="00881EA7">
            <w:pPr>
              <w:pStyle w:val="Odstavecseseznamem"/>
              <w:ind w:left="0"/>
              <w:jc w:val="both"/>
            </w:pPr>
            <w:r>
              <w:t>Ž:</w:t>
            </w:r>
          </w:p>
          <w:p w14:paraId="04C2E003" w14:textId="77777777" w:rsidR="00CD1572" w:rsidRDefault="00CD1572" w:rsidP="00881EA7">
            <w:pPr>
              <w:pStyle w:val="Odstavecseseznamem"/>
              <w:ind w:left="0"/>
              <w:jc w:val="both"/>
            </w:pPr>
          </w:p>
          <w:p w14:paraId="6C491AED" w14:textId="3BD05535" w:rsidR="00CD1572" w:rsidRPr="002A692E" w:rsidRDefault="00CD1572" w:rsidP="00881EA7">
            <w:pPr>
              <w:pStyle w:val="Odstavecseseznamem"/>
              <w:ind w:left="0"/>
              <w:jc w:val="both"/>
            </w:pPr>
          </w:p>
        </w:tc>
        <w:tc>
          <w:tcPr>
            <w:tcW w:w="1412" w:type="dxa"/>
          </w:tcPr>
          <w:p w14:paraId="4B9AE105" w14:textId="77777777" w:rsidR="00E70710" w:rsidRPr="002A692E" w:rsidRDefault="00E70710" w:rsidP="00881EA7">
            <w:pPr>
              <w:pStyle w:val="Odstavecseseznamem"/>
              <w:ind w:left="0"/>
              <w:jc w:val="both"/>
            </w:pPr>
          </w:p>
        </w:tc>
      </w:tr>
      <w:tr w:rsidR="00CD1572" w:rsidRPr="002A692E" w14:paraId="75524FBA" w14:textId="77777777" w:rsidTr="00CD1572">
        <w:tc>
          <w:tcPr>
            <w:tcW w:w="2263" w:type="dxa"/>
          </w:tcPr>
          <w:p w14:paraId="4AD73495" w14:textId="04D0F903" w:rsidR="00CD1572" w:rsidRDefault="00CD1572" w:rsidP="00CD1572">
            <w:pPr>
              <w:pStyle w:val="Odstavecseseznamem"/>
              <w:ind w:left="0"/>
              <w:jc w:val="both"/>
            </w:pPr>
            <w:r>
              <w:t>Faustova</w:t>
            </w:r>
          </w:p>
        </w:tc>
        <w:tc>
          <w:tcPr>
            <w:tcW w:w="4394" w:type="dxa"/>
          </w:tcPr>
          <w:p w14:paraId="5FED8815" w14:textId="43188F55" w:rsidR="00CD1572" w:rsidRDefault="00CD1572" w:rsidP="00CD1572">
            <w:pPr>
              <w:pStyle w:val="Odstavecseseznamem"/>
              <w:ind w:left="0"/>
              <w:jc w:val="both"/>
            </w:pPr>
            <w:r w:rsidRPr="002A692E">
              <w:t>M:</w:t>
            </w:r>
          </w:p>
          <w:p w14:paraId="203F8B38" w14:textId="77777777" w:rsidR="00CD1572" w:rsidRPr="002A692E" w:rsidRDefault="00CD1572" w:rsidP="00CD1572">
            <w:pPr>
              <w:pStyle w:val="Odstavecseseznamem"/>
              <w:ind w:left="0"/>
              <w:jc w:val="both"/>
            </w:pPr>
          </w:p>
          <w:p w14:paraId="368A7CF9" w14:textId="77777777" w:rsidR="00CD1572" w:rsidRPr="002A692E" w:rsidRDefault="00CD1572" w:rsidP="00CD1572">
            <w:pPr>
              <w:pStyle w:val="Odstavecseseznamem"/>
              <w:ind w:left="0"/>
              <w:jc w:val="both"/>
            </w:pPr>
          </w:p>
          <w:p w14:paraId="79E93325" w14:textId="40CCA6EE" w:rsidR="00CD1572" w:rsidRDefault="00CD1572" w:rsidP="00CD1572">
            <w:pPr>
              <w:pStyle w:val="Odstavecseseznamem"/>
              <w:ind w:left="0"/>
              <w:jc w:val="both"/>
            </w:pPr>
            <w:r w:rsidRPr="002A692E">
              <w:t>Ž:</w:t>
            </w:r>
          </w:p>
          <w:p w14:paraId="062CCC29" w14:textId="77777777" w:rsidR="00CD1572" w:rsidRPr="002A692E" w:rsidRDefault="00CD1572" w:rsidP="00CD1572">
            <w:pPr>
              <w:pStyle w:val="Odstavecseseznamem"/>
              <w:ind w:left="0"/>
              <w:jc w:val="both"/>
            </w:pPr>
          </w:p>
          <w:p w14:paraId="3D090E72" w14:textId="1CF224D7" w:rsidR="00CD1572" w:rsidRPr="002A692E" w:rsidRDefault="00CD1572" w:rsidP="00CD1572">
            <w:pPr>
              <w:pStyle w:val="Odstavecseseznamem"/>
              <w:ind w:left="0"/>
              <w:jc w:val="both"/>
            </w:pPr>
          </w:p>
        </w:tc>
        <w:tc>
          <w:tcPr>
            <w:tcW w:w="1412" w:type="dxa"/>
          </w:tcPr>
          <w:p w14:paraId="1F7C0ED9" w14:textId="77777777" w:rsidR="00CD1572" w:rsidRPr="002A692E" w:rsidRDefault="00CD1572" w:rsidP="00CD1572">
            <w:pPr>
              <w:pStyle w:val="Odstavecseseznamem"/>
              <w:ind w:left="0"/>
              <w:jc w:val="both"/>
            </w:pPr>
          </w:p>
        </w:tc>
      </w:tr>
    </w:tbl>
    <w:p w14:paraId="0F3B995F" w14:textId="77777777" w:rsidR="00CD1572" w:rsidRDefault="00737055" w:rsidP="000C505E">
      <w:pPr>
        <w:pStyle w:val="Odstavecseseznamem"/>
        <w:keepNext/>
        <w:numPr>
          <w:ilvl w:val="0"/>
          <w:numId w:val="2"/>
        </w:numPr>
        <w:spacing w:before="120" w:after="120"/>
        <w:ind w:left="992" w:hanging="284"/>
        <w:jc w:val="both"/>
      </w:pPr>
      <w:r w:rsidRPr="00CD1572">
        <w:rPr>
          <w:b/>
        </w:rPr>
        <w:lastRenderedPageBreak/>
        <w:t>Fyzická aktivita</w:t>
      </w:r>
      <w:r w:rsidR="000F25A4">
        <w:t xml:space="preserve"> – energie potřebná pro aktivity spontánní a plánované. Výdej je ovlivněn </w:t>
      </w:r>
      <w:r w:rsidR="001C7500">
        <w:t xml:space="preserve">zejména dvěma </w:t>
      </w:r>
      <w:r w:rsidR="000F25A4">
        <w:t>faktory</w:t>
      </w:r>
      <w:r w:rsidR="001C7500">
        <w:t xml:space="preserve"> </w:t>
      </w:r>
      <w:r w:rsidR="000F25A4">
        <w:t>…………………………………………………</w:t>
      </w:r>
      <w:r w:rsidR="002A692E">
        <w:t xml:space="preserve"> a </w:t>
      </w:r>
      <w:r w:rsidR="000F25A4">
        <w:t xml:space="preserve">………………………………………………… Lehká tělesná práce představuje podíl 30-40 % z TEE. U těžce fyzicky pracujících, výkonnostních či profesionálních sportovců může tento podíl </w:t>
      </w:r>
      <w:r w:rsidR="00F625DD">
        <w:t>tvořit i nadpolovičn</w:t>
      </w:r>
      <w:r w:rsidR="00E70710">
        <w:t>í</w:t>
      </w:r>
      <w:r w:rsidR="00F625DD">
        <w:t xml:space="preserve"> většinu </w:t>
      </w:r>
      <w:r w:rsidR="00E70710">
        <w:t>TEE.</w:t>
      </w:r>
    </w:p>
    <w:p w14:paraId="43B4A369" w14:textId="7C778A9B" w:rsidR="000C505E" w:rsidRPr="00CD1572" w:rsidRDefault="000C505E" w:rsidP="00CD1572">
      <w:pPr>
        <w:pStyle w:val="Titulek"/>
        <w:keepNext/>
        <w:spacing w:before="120" w:after="120"/>
        <w:ind w:left="992"/>
        <w:rPr>
          <w:i w:val="0"/>
          <w:color w:val="auto"/>
        </w:rPr>
      </w:pPr>
      <w:r w:rsidRPr="00CD1572">
        <w:rPr>
          <w:i w:val="0"/>
          <w:color w:val="auto"/>
        </w:rPr>
        <w:t xml:space="preserve">Úkol č. </w:t>
      </w:r>
      <w:r w:rsidRPr="00CD1572">
        <w:rPr>
          <w:i w:val="0"/>
          <w:color w:val="auto"/>
        </w:rPr>
        <w:fldChar w:fldCharType="begin"/>
      </w:r>
      <w:r w:rsidRPr="00CD1572">
        <w:rPr>
          <w:i w:val="0"/>
          <w:color w:val="auto"/>
        </w:rPr>
        <w:instrText xml:space="preserve"> SEQ Úkol_č. \* ARABIC </w:instrText>
      </w:r>
      <w:r w:rsidRPr="00CD1572">
        <w:rPr>
          <w:i w:val="0"/>
          <w:color w:val="auto"/>
        </w:rPr>
        <w:fldChar w:fldCharType="separate"/>
      </w:r>
      <w:r w:rsidR="00B912BC" w:rsidRPr="00CD1572">
        <w:rPr>
          <w:i w:val="0"/>
          <w:color w:val="auto"/>
        </w:rPr>
        <w:t>4</w:t>
      </w:r>
      <w:r w:rsidRPr="00CD1572">
        <w:rPr>
          <w:i w:val="0"/>
          <w:color w:val="auto"/>
        </w:rPr>
        <w:fldChar w:fldCharType="end"/>
      </w:r>
      <w:r w:rsidRPr="00CD1572">
        <w:rPr>
          <w:i w:val="0"/>
          <w:color w:val="auto"/>
        </w:rPr>
        <w:t>: Jmenujte některé další metody zjišťování EV a výpočtu TEE.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8069"/>
      </w:tblGrid>
      <w:tr w:rsidR="000C505E" w:rsidRPr="002A692E" w14:paraId="5337243B" w14:textId="77777777" w:rsidTr="00881EA7">
        <w:tc>
          <w:tcPr>
            <w:tcW w:w="8069" w:type="dxa"/>
          </w:tcPr>
          <w:p w14:paraId="03EDC1F9" w14:textId="77777777" w:rsidR="000C505E" w:rsidRPr="002A692E" w:rsidRDefault="000C505E" w:rsidP="00881EA7">
            <w:pPr>
              <w:pStyle w:val="Odstavecseseznamem"/>
              <w:ind w:left="0"/>
              <w:jc w:val="center"/>
            </w:pPr>
            <w:r w:rsidRPr="002A692E">
              <w:t>Metody zjišťování EV</w:t>
            </w:r>
          </w:p>
        </w:tc>
      </w:tr>
      <w:tr w:rsidR="000C505E" w:rsidRPr="002A692E" w14:paraId="10D90EB8" w14:textId="77777777" w:rsidTr="00881EA7">
        <w:tc>
          <w:tcPr>
            <w:tcW w:w="8069" w:type="dxa"/>
          </w:tcPr>
          <w:p w14:paraId="0575BCCF" w14:textId="77777777" w:rsidR="000C505E" w:rsidRPr="002A692E" w:rsidRDefault="000C505E" w:rsidP="00881EA7">
            <w:pPr>
              <w:pStyle w:val="Odstavecseseznamem"/>
              <w:ind w:left="0"/>
              <w:jc w:val="both"/>
            </w:pPr>
          </w:p>
        </w:tc>
      </w:tr>
      <w:tr w:rsidR="000C505E" w:rsidRPr="002A692E" w14:paraId="5F9B5F0E" w14:textId="77777777" w:rsidTr="00881EA7">
        <w:tc>
          <w:tcPr>
            <w:tcW w:w="8069" w:type="dxa"/>
          </w:tcPr>
          <w:p w14:paraId="72166130" w14:textId="77777777" w:rsidR="000C505E" w:rsidRPr="002A692E" w:rsidRDefault="000C505E" w:rsidP="00881EA7">
            <w:pPr>
              <w:pStyle w:val="Odstavecseseznamem"/>
              <w:ind w:left="0"/>
              <w:jc w:val="both"/>
            </w:pPr>
          </w:p>
        </w:tc>
      </w:tr>
      <w:tr w:rsidR="000C505E" w:rsidRPr="002A692E" w14:paraId="4EB65640" w14:textId="77777777" w:rsidTr="00881EA7">
        <w:tc>
          <w:tcPr>
            <w:tcW w:w="8069" w:type="dxa"/>
          </w:tcPr>
          <w:p w14:paraId="669A7639" w14:textId="77777777" w:rsidR="000C505E" w:rsidRPr="002A692E" w:rsidRDefault="000C505E" w:rsidP="00881EA7">
            <w:pPr>
              <w:pStyle w:val="Odstavecseseznamem"/>
              <w:ind w:left="0"/>
              <w:jc w:val="both"/>
            </w:pPr>
          </w:p>
        </w:tc>
      </w:tr>
    </w:tbl>
    <w:p w14:paraId="4417C485" w14:textId="77777777" w:rsidR="001D78DE" w:rsidRPr="001D78DE" w:rsidRDefault="001D78DE" w:rsidP="000C505E">
      <w:pPr>
        <w:pStyle w:val="Titulek"/>
        <w:keepNext/>
        <w:spacing w:before="120" w:after="120"/>
        <w:ind w:left="992"/>
        <w:rPr>
          <w:i w:val="0"/>
          <w:color w:val="auto"/>
        </w:rPr>
      </w:pPr>
      <w:r w:rsidRPr="001D78DE">
        <w:rPr>
          <w:i w:val="0"/>
          <w:color w:val="auto"/>
        </w:rPr>
        <w:t xml:space="preserve">Úkol č. </w:t>
      </w:r>
      <w:r w:rsidRPr="001D78DE">
        <w:rPr>
          <w:i w:val="0"/>
          <w:color w:val="auto"/>
        </w:rPr>
        <w:fldChar w:fldCharType="begin"/>
      </w:r>
      <w:r w:rsidRPr="001D78DE">
        <w:rPr>
          <w:i w:val="0"/>
          <w:color w:val="auto"/>
        </w:rPr>
        <w:instrText xml:space="preserve"> SEQ Úkol_č. \* ARABIC </w:instrText>
      </w:r>
      <w:r w:rsidRPr="001D78DE">
        <w:rPr>
          <w:i w:val="0"/>
          <w:color w:val="auto"/>
        </w:rPr>
        <w:fldChar w:fldCharType="separate"/>
      </w:r>
      <w:r w:rsidR="00B912BC">
        <w:rPr>
          <w:i w:val="0"/>
          <w:noProof/>
          <w:color w:val="auto"/>
        </w:rPr>
        <w:t>5</w:t>
      </w:r>
      <w:r w:rsidRPr="001D78DE">
        <w:rPr>
          <w:i w:val="0"/>
          <w:color w:val="auto"/>
        </w:rPr>
        <w:fldChar w:fldCharType="end"/>
      </w:r>
      <w:r w:rsidRPr="001D78DE">
        <w:rPr>
          <w:i w:val="0"/>
          <w:color w:val="auto"/>
        </w:rPr>
        <w:t>: Vypočítejte energetický výdej v závislosti na intenzitě činností v průběhu 24 hod pomocí koeficientů uvedených v tabulce č. 1.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2263"/>
        <w:gridCol w:w="4536"/>
        <w:gridCol w:w="1270"/>
      </w:tblGrid>
      <w:tr w:rsidR="001D78DE" w:rsidRPr="002A692E" w14:paraId="10844DAA" w14:textId="77777777" w:rsidTr="00881EA7">
        <w:tc>
          <w:tcPr>
            <w:tcW w:w="8069" w:type="dxa"/>
            <w:gridSpan w:val="3"/>
          </w:tcPr>
          <w:p w14:paraId="5EDAF20A" w14:textId="77777777" w:rsidR="001D78DE" w:rsidRPr="002A692E" w:rsidRDefault="001D78DE" w:rsidP="00881EA7">
            <w:pPr>
              <w:pStyle w:val="Odstavecseseznamem"/>
              <w:ind w:left="0"/>
              <w:jc w:val="center"/>
            </w:pPr>
            <w:r w:rsidRPr="002A692E">
              <w:t xml:space="preserve">Výpočet </w:t>
            </w:r>
            <w:r w:rsidR="00744927" w:rsidRPr="002A692E">
              <w:t>TEE</w:t>
            </w:r>
          </w:p>
        </w:tc>
      </w:tr>
      <w:tr w:rsidR="001D78DE" w:rsidRPr="002A692E" w14:paraId="5C877DAA" w14:textId="77777777" w:rsidTr="00B47E6E">
        <w:trPr>
          <w:trHeight w:val="231"/>
        </w:trPr>
        <w:tc>
          <w:tcPr>
            <w:tcW w:w="2263" w:type="dxa"/>
          </w:tcPr>
          <w:p w14:paraId="3EA4390A" w14:textId="77777777" w:rsidR="001D78DE" w:rsidRPr="002A692E" w:rsidRDefault="001D78DE" w:rsidP="00881EA7">
            <w:pPr>
              <w:pStyle w:val="Odstavecseseznamem"/>
              <w:ind w:left="0"/>
            </w:pPr>
            <w:r w:rsidRPr="002A692E">
              <w:t>Intenzita</w:t>
            </w:r>
          </w:p>
        </w:tc>
        <w:tc>
          <w:tcPr>
            <w:tcW w:w="4536" w:type="dxa"/>
          </w:tcPr>
          <w:p w14:paraId="3D2D1D02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  <w:r w:rsidRPr="002A692E">
              <w:t>Výpočet</w:t>
            </w:r>
          </w:p>
        </w:tc>
        <w:tc>
          <w:tcPr>
            <w:tcW w:w="1270" w:type="dxa"/>
          </w:tcPr>
          <w:p w14:paraId="06BEB08B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  <w:r w:rsidRPr="002A692E">
              <w:t>Výsledek</w:t>
            </w:r>
          </w:p>
        </w:tc>
      </w:tr>
      <w:tr w:rsidR="001D78DE" w:rsidRPr="002A692E" w14:paraId="77926006" w14:textId="77777777" w:rsidTr="001D78DE">
        <w:trPr>
          <w:trHeight w:val="551"/>
        </w:trPr>
        <w:tc>
          <w:tcPr>
            <w:tcW w:w="2263" w:type="dxa"/>
          </w:tcPr>
          <w:p w14:paraId="54ECD34D" w14:textId="77777777" w:rsidR="001D78DE" w:rsidRPr="002A692E" w:rsidRDefault="001D78DE" w:rsidP="00881EA7">
            <w:pPr>
              <w:pStyle w:val="Odstavecseseznamem"/>
              <w:ind w:left="0"/>
            </w:pPr>
            <w:r w:rsidRPr="002A692E">
              <w:t>Velmi lehká intenzita</w:t>
            </w:r>
          </w:p>
        </w:tc>
        <w:tc>
          <w:tcPr>
            <w:tcW w:w="4536" w:type="dxa"/>
          </w:tcPr>
          <w:p w14:paraId="1C730412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  <w:tc>
          <w:tcPr>
            <w:tcW w:w="1270" w:type="dxa"/>
          </w:tcPr>
          <w:p w14:paraId="036FEAE1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</w:tr>
      <w:tr w:rsidR="001D78DE" w:rsidRPr="002A692E" w14:paraId="0ACC15CC" w14:textId="77777777" w:rsidTr="00881EA7">
        <w:tc>
          <w:tcPr>
            <w:tcW w:w="2263" w:type="dxa"/>
          </w:tcPr>
          <w:p w14:paraId="457ABF6A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  <w:r w:rsidRPr="002A692E">
              <w:t>Střední intenzita</w:t>
            </w:r>
          </w:p>
        </w:tc>
        <w:tc>
          <w:tcPr>
            <w:tcW w:w="4536" w:type="dxa"/>
          </w:tcPr>
          <w:p w14:paraId="110E1B74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  <w:p w14:paraId="653FF1BA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  <w:tc>
          <w:tcPr>
            <w:tcW w:w="1270" w:type="dxa"/>
          </w:tcPr>
          <w:p w14:paraId="61295C70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</w:tr>
      <w:tr w:rsidR="001D78DE" w:rsidRPr="002A692E" w14:paraId="4A1616B4" w14:textId="77777777" w:rsidTr="001D78DE">
        <w:trPr>
          <w:trHeight w:val="521"/>
        </w:trPr>
        <w:tc>
          <w:tcPr>
            <w:tcW w:w="2263" w:type="dxa"/>
          </w:tcPr>
          <w:p w14:paraId="526CF62B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  <w:r w:rsidRPr="002A692E">
              <w:t>Těžká intenzita</w:t>
            </w:r>
          </w:p>
        </w:tc>
        <w:tc>
          <w:tcPr>
            <w:tcW w:w="4536" w:type="dxa"/>
          </w:tcPr>
          <w:p w14:paraId="392CBF44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  <w:tc>
          <w:tcPr>
            <w:tcW w:w="1270" w:type="dxa"/>
          </w:tcPr>
          <w:p w14:paraId="04B25FE9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</w:tr>
      <w:tr w:rsidR="001D78DE" w:rsidRPr="002A692E" w14:paraId="05C3E1B8" w14:textId="77777777" w:rsidTr="001D78DE">
        <w:trPr>
          <w:trHeight w:val="521"/>
        </w:trPr>
        <w:tc>
          <w:tcPr>
            <w:tcW w:w="2263" w:type="dxa"/>
          </w:tcPr>
          <w:p w14:paraId="4C71E5E9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  <w:r w:rsidRPr="002A692E">
              <w:t>Mimořádná intenzita</w:t>
            </w:r>
          </w:p>
        </w:tc>
        <w:tc>
          <w:tcPr>
            <w:tcW w:w="4536" w:type="dxa"/>
          </w:tcPr>
          <w:p w14:paraId="488DF269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  <w:tc>
          <w:tcPr>
            <w:tcW w:w="1270" w:type="dxa"/>
          </w:tcPr>
          <w:p w14:paraId="08998D06" w14:textId="77777777" w:rsidR="001D78DE" w:rsidRPr="002A692E" w:rsidRDefault="001D78DE" w:rsidP="00881EA7">
            <w:pPr>
              <w:pStyle w:val="Odstavecseseznamem"/>
              <w:ind w:left="0"/>
              <w:jc w:val="both"/>
            </w:pPr>
          </w:p>
        </w:tc>
      </w:tr>
    </w:tbl>
    <w:p w14:paraId="46B70EB5" w14:textId="77777777" w:rsidR="00AF5225" w:rsidRPr="00AF5225" w:rsidRDefault="00AF5225" w:rsidP="00AF5225">
      <w:pPr>
        <w:pStyle w:val="Titulek"/>
        <w:keepNext/>
        <w:spacing w:before="120" w:after="120"/>
        <w:ind w:left="992"/>
        <w:rPr>
          <w:i w:val="0"/>
          <w:color w:val="auto"/>
        </w:rPr>
      </w:pPr>
      <w:r w:rsidRPr="00AF5225">
        <w:rPr>
          <w:i w:val="0"/>
          <w:color w:val="auto"/>
        </w:rPr>
        <w:t xml:space="preserve">Tabulka č. </w:t>
      </w:r>
      <w:r w:rsidRPr="00AF5225">
        <w:rPr>
          <w:i w:val="0"/>
          <w:color w:val="auto"/>
        </w:rPr>
        <w:fldChar w:fldCharType="begin"/>
      </w:r>
      <w:r w:rsidRPr="00AF5225">
        <w:rPr>
          <w:i w:val="0"/>
          <w:color w:val="auto"/>
        </w:rPr>
        <w:instrText xml:space="preserve"> SEQ Tabulka_č. \* ARABIC </w:instrText>
      </w:r>
      <w:r w:rsidRPr="00AF5225">
        <w:rPr>
          <w:i w:val="0"/>
          <w:color w:val="auto"/>
        </w:rPr>
        <w:fldChar w:fldCharType="separate"/>
      </w:r>
      <w:r w:rsidRPr="00AF5225">
        <w:rPr>
          <w:i w:val="0"/>
          <w:noProof/>
          <w:color w:val="auto"/>
        </w:rPr>
        <w:t>1</w:t>
      </w:r>
      <w:r w:rsidRPr="00AF5225">
        <w:rPr>
          <w:i w:val="0"/>
          <w:color w:val="auto"/>
        </w:rPr>
        <w:fldChar w:fldCharType="end"/>
      </w:r>
      <w:r w:rsidRPr="00AF5225">
        <w:rPr>
          <w:i w:val="0"/>
          <w:color w:val="auto"/>
        </w:rPr>
        <w:t>: Tabulka náročnosti jednotlivých aktivit pro výpočet EV.</w:t>
      </w:r>
    </w:p>
    <w:tbl>
      <w:tblPr>
        <w:tblStyle w:val="Mkatabulky"/>
        <w:tblW w:w="8074" w:type="dxa"/>
        <w:tblInd w:w="993" w:type="dxa"/>
        <w:tblLook w:val="04A0" w:firstRow="1" w:lastRow="0" w:firstColumn="1" w:lastColumn="0" w:noHBand="0" w:noVBand="1"/>
      </w:tblPr>
      <w:tblGrid>
        <w:gridCol w:w="1979"/>
        <w:gridCol w:w="4111"/>
        <w:gridCol w:w="1984"/>
      </w:tblGrid>
      <w:tr w:rsidR="00AF5225" w:rsidRPr="002A692E" w14:paraId="30D6C29A" w14:textId="77777777" w:rsidTr="00AF5225">
        <w:tc>
          <w:tcPr>
            <w:tcW w:w="1979" w:type="dxa"/>
          </w:tcPr>
          <w:p w14:paraId="77BC1ECD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Intenzita činnosti</w:t>
            </w:r>
          </w:p>
        </w:tc>
        <w:tc>
          <w:tcPr>
            <w:tcW w:w="4111" w:type="dxa"/>
          </w:tcPr>
          <w:p w14:paraId="06F691A4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Typ aktivity</w:t>
            </w:r>
          </w:p>
        </w:tc>
        <w:tc>
          <w:tcPr>
            <w:tcW w:w="1984" w:type="dxa"/>
          </w:tcPr>
          <w:p w14:paraId="3C3DFB19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Koeficient aktivity</w:t>
            </w:r>
          </w:p>
        </w:tc>
      </w:tr>
      <w:tr w:rsidR="00AF5225" w:rsidRPr="002A692E" w14:paraId="0912AC02" w14:textId="77777777" w:rsidTr="00AF5225">
        <w:tc>
          <w:tcPr>
            <w:tcW w:w="1979" w:type="dxa"/>
          </w:tcPr>
          <w:p w14:paraId="39F46397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Velmi lehká</w:t>
            </w:r>
          </w:p>
        </w:tc>
        <w:tc>
          <w:tcPr>
            <w:tcW w:w="4111" w:type="dxa"/>
          </w:tcPr>
          <w:p w14:paraId="6F9D62EE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Sezení a stání, řízení, laboratorní práce, studium, sekretářská práce, řízení, šití, psaní, žehlení, vaření, hraní karet, hraní na hudební nástroj, malování.</w:t>
            </w:r>
          </w:p>
        </w:tc>
        <w:tc>
          <w:tcPr>
            <w:tcW w:w="1984" w:type="dxa"/>
          </w:tcPr>
          <w:p w14:paraId="03E944D1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 – 1,3</w:t>
            </w:r>
          </w:p>
          <w:p w14:paraId="2701BF3F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Ž – 1,3</w:t>
            </w:r>
          </w:p>
        </w:tc>
      </w:tr>
      <w:tr w:rsidR="00AF5225" w:rsidRPr="002A692E" w14:paraId="48775F5A" w14:textId="77777777" w:rsidTr="000C505E">
        <w:trPr>
          <w:trHeight w:val="1332"/>
        </w:trPr>
        <w:tc>
          <w:tcPr>
            <w:tcW w:w="1979" w:type="dxa"/>
          </w:tcPr>
          <w:p w14:paraId="2C5D6D38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Lehká</w:t>
            </w:r>
          </w:p>
        </w:tc>
        <w:tc>
          <w:tcPr>
            <w:tcW w:w="4111" w:type="dxa"/>
          </w:tcPr>
          <w:p w14:paraId="1733C26E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Chůze (4-5 km/h), práce v garáži, truhlářská, elektrikářská práce, práce v restauraci, domácí práce, péče o dítě, golf, plachtění, stolní tenis.</w:t>
            </w:r>
          </w:p>
        </w:tc>
        <w:tc>
          <w:tcPr>
            <w:tcW w:w="1984" w:type="dxa"/>
          </w:tcPr>
          <w:p w14:paraId="37B6BB92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 – 1,6</w:t>
            </w:r>
          </w:p>
          <w:p w14:paraId="7846A00F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Ž – 1,5</w:t>
            </w:r>
          </w:p>
        </w:tc>
      </w:tr>
      <w:tr w:rsidR="00AF5225" w:rsidRPr="002A692E" w14:paraId="6DA7F25A" w14:textId="77777777" w:rsidTr="000C505E">
        <w:trPr>
          <w:trHeight w:val="983"/>
        </w:trPr>
        <w:tc>
          <w:tcPr>
            <w:tcW w:w="1979" w:type="dxa"/>
          </w:tcPr>
          <w:p w14:paraId="2691DBEF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Střední</w:t>
            </w:r>
          </w:p>
        </w:tc>
        <w:tc>
          <w:tcPr>
            <w:tcW w:w="4111" w:type="dxa"/>
          </w:tcPr>
          <w:p w14:paraId="44AF2A4E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Chůze (5-6,5 km/h), práce na zahrádce, nošení zátěže, cyklistika, lyžování, tenis, tanec.</w:t>
            </w:r>
          </w:p>
        </w:tc>
        <w:tc>
          <w:tcPr>
            <w:tcW w:w="1984" w:type="dxa"/>
          </w:tcPr>
          <w:p w14:paraId="0EF6BAF2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 – 1,7</w:t>
            </w:r>
          </w:p>
          <w:p w14:paraId="2A6E89C4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Ž – 1,6</w:t>
            </w:r>
          </w:p>
        </w:tc>
      </w:tr>
      <w:tr w:rsidR="00AF5225" w:rsidRPr="002A692E" w14:paraId="1F341431" w14:textId="77777777" w:rsidTr="000C505E">
        <w:trPr>
          <w:trHeight w:val="982"/>
        </w:trPr>
        <w:tc>
          <w:tcPr>
            <w:tcW w:w="1979" w:type="dxa"/>
          </w:tcPr>
          <w:p w14:paraId="5F0951D7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Těžká</w:t>
            </w:r>
          </w:p>
        </w:tc>
        <w:tc>
          <w:tcPr>
            <w:tcW w:w="4111" w:type="dxa"/>
          </w:tcPr>
          <w:p w14:paraId="03959BB9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Chůze do kopce, těžká manuální práce, basketbal, horolezectví, fotbal.</w:t>
            </w:r>
          </w:p>
        </w:tc>
        <w:tc>
          <w:tcPr>
            <w:tcW w:w="1984" w:type="dxa"/>
          </w:tcPr>
          <w:p w14:paraId="1D83A9ED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 – 2,1</w:t>
            </w:r>
          </w:p>
          <w:p w14:paraId="5F1AB8E5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Ž – 1,9</w:t>
            </w:r>
          </w:p>
        </w:tc>
      </w:tr>
      <w:tr w:rsidR="00AF5225" w:rsidRPr="002A692E" w14:paraId="4DA67CFC" w14:textId="77777777" w:rsidTr="000C505E">
        <w:trPr>
          <w:trHeight w:val="996"/>
        </w:trPr>
        <w:tc>
          <w:tcPr>
            <w:tcW w:w="1979" w:type="dxa"/>
          </w:tcPr>
          <w:p w14:paraId="2BF75DF7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Mimořádná</w:t>
            </w:r>
          </w:p>
        </w:tc>
        <w:tc>
          <w:tcPr>
            <w:tcW w:w="4111" w:type="dxa"/>
          </w:tcPr>
          <w:p w14:paraId="4BDC8F1E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 xml:space="preserve">Výkonnostní </w:t>
            </w:r>
            <w:r w:rsidR="000C505E" w:rsidRPr="002A692E">
              <w:t xml:space="preserve">a profesionální </w:t>
            </w:r>
            <w:r w:rsidRPr="002A692E">
              <w:t>sport, náročný vícefázový trénink, sportovní kemp (soustředění).</w:t>
            </w:r>
          </w:p>
        </w:tc>
        <w:tc>
          <w:tcPr>
            <w:tcW w:w="1984" w:type="dxa"/>
          </w:tcPr>
          <w:p w14:paraId="676B4930" w14:textId="77777777" w:rsidR="00AF5225" w:rsidRPr="002A692E" w:rsidRDefault="00AF5225" w:rsidP="00881EA7">
            <w:pPr>
              <w:pStyle w:val="Odstavecseseznamem"/>
              <w:ind w:left="0"/>
              <w:jc w:val="both"/>
            </w:pPr>
            <w:r w:rsidRPr="002A692E">
              <w:t>M – 2,4</w:t>
            </w:r>
          </w:p>
          <w:p w14:paraId="19E3A7BB" w14:textId="77777777" w:rsidR="00AF5225" w:rsidRPr="002A692E" w:rsidRDefault="00AF5225" w:rsidP="00AF5225">
            <w:pPr>
              <w:pStyle w:val="Odstavecseseznamem"/>
              <w:keepNext/>
              <w:ind w:left="0"/>
              <w:jc w:val="both"/>
            </w:pPr>
            <w:r w:rsidRPr="002A692E">
              <w:t>Ž – 2,2</w:t>
            </w:r>
          </w:p>
        </w:tc>
      </w:tr>
    </w:tbl>
    <w:p w14:paraId="77E1BC0A" w14:textId="4FBBEC57" w:rsidR="00CD1572" w:rsidRDefault="00CD1572" w:rsidP="00CD1572">
      <w:pPr>
        <w:spacing w:before="240" w:after="240"/>
        <w:jc w:val="both"/>
      </w:pPr>
    </w:p>
    <w:p w14:paraId="77669F11" w14:textId="77777777" w:rsidR="00CD1572" w:rsidRPr="00CD1572" w:rsidRDefault="00CD1572" w:rsidP="00CD1572">
      <w:pPr>
        <w:spacing w:before="240" w:after="240"/>
        <w:jc w:val="both"/>
      </w:pPr>
    </w:p>
    <w:p w14:paraId="0715B767" w14:textId="5E3D7C98" w:rsidR="00737055" w:rsidRDefault="00737055" w:rsidP="00AF5225">
      <w:pPr>
        <w:pStyle w:val="Odstavecseseznamem"/>
        <w:numPr>
          <w:ilvl w:val="0"/>
          <w:numId w:val="2"/>
        </w:numPr>
        <w:spacing w:before="240" w:after="240"/>
        <w:ind w:left="993" w:hanging="284"/>
        <w:jc w:val="both"/>
      </w:pPr>
      <w:r w:rsidRPr="000C505E">
        <w:rPr>
          <w:b/>
        </w:rPr>
        <w:lastRenderedPageBreak/>
        <w:t>Termický vliv stravy</w:t>
      </w:r>
      <w:r w:rsidR="00AF5225">
        <w:t xml:space="preserve"> – energie potřebná pro trávení, odbourávání, přestavbu a ukládání přijatých živin. </w:t>
      </w:r>
      <w:r w:rsidR="00ED1191">
        <w:t>Liší se pro jednotlivé nutrienty (bílkoviny 18-25 %, sacharidy 4-7 % a tuky 2-4 %). Při konzumaci smíšené stravy se pohybuje 10 % energie bazálního metabolismu.</w:t>
      </w:r>
      <w:r w:rsidR="007853BB">
        <w:t xml:space="preserve"> Z </w:t>
      </w:r>
      <w:r w:rsidR="007853BB" w:rsidRPr="007853BB">
        <w:fldChar w:fldCharType="begin"/>
      </w:r>
      <w:r w:rsidR="007853BB" w:rsidRPr="007853BB">
        <w:instrText xml:space="preserve"> REF _Ref1816832 \h  \* MERGEFORMAT </w:instrText>
      </w:r>
      <w:r w:rsidR="007853BB" w:rsidRPr="007853BB">
        <w:fldChar w:fldCharType="separate"/>
      </w:r>
      <w:r w:rsidR="007853BB">
        <w:t>o</w:t>
      </w:r>
      <w:r w:rsidR="007853BB" w:rsidRPr="007853BB">
        <w:t>bráz</w:t>
      </w:r>
      <w:r w:rsidR="007853BB">
        <w:t>ku</w:t>
      </w:r>
      <w:r w:rsidR="007853BB" w:rsidRPr="007853BB">
        <w:t xml:space="preserve"> č. </w:t>
      </w:r>
      <w:r w:rsidR="007853BB" w:rsidRPr="007853BB">
        <w:rPr>
          <w:noProof/>
        </w:rPr>
        <w:t>1</w:t>
      </w:r>
      <w:r w:rsidR="007853BB" w:rsidRPr="007853BB">
        <w:fldChar w:fldCharType="end"/>
      </w:r>
      <w:r w:rsidR="007853BB">
        <w:t xml:space="preserve"> (na další straně) je čitelné, že energetická potřeba pro zpracování stravy bohaté na bílkoviny, je zvýšená – roste VO</w:t>
      </w:r>
      <w:r w:rsidR="007853BB" w:rsidRPr="007853BB">
        <w:rPr>
          <w:vertAlign w:val="subscript"/>
        </w:rPr>
        <w:t>2</w:t>
      </w:r>
      <w:r w:rsidR="007853BB">
        <w:t>.</w:t>
      </w:r>
    </w:p>
    <w:p w14:paraId="67299473" w14:textId="77777777" w:rsidR="007853BB" w:rsidRDefault="00C76305" w:rsidP="007853BB">
      <w:pPr>
        <w:keepNext/>
        <w:spacing w:before="240" w:after="240"/>
        <w:jc w:val="center"/>
      </w:pPr>
      <w:r>
        <w:rPr>
          <w:noProof/>
        </w:rPr>
        <w:drawing>
          <wp:inline distT="0" distB="0" distL="0" distR="0" wp14:anchorId="373291AE" wp14:editId="76FAAC0C">
            <wp:extent cx="3101340" cy="2330108"/>
            <wp:effectExtent l="0" t="0" r="3810" b="0"/>
            <wp:docPr id="1" name="Obrázek 1" descr="http://www.fsps.muni.cz/emuni/data/reader/book-12/images/pics/gra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ps.muni.cz/emuni/data/reader/book-12/images/pics/graf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48" cy="234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FC29" w14:textId="77777777" w:rsidR="00C76305" w:rsidRPr="007853BB" w:rsidRDefault="007853BB" w:rsidP="007853BB">
      <w:pPr>
        <w:pStyle w:val="Titulek"/>
        <w:spacing w:after="120"/>
        <w:jc w:val="center"/>
        <w:rPr>
          <w:i w:val="0"/>
          <w:color w:val="auto"/>
        </w:rPr>
      </w:pPr>
      <w:bookmarkStart w:id="0" w:name="_Ref1816832"/>
      <w:r w:rsidRPr="007853BB">
        <w:rPr>
          <w:i w:val="0"/>
          <w:color w:val="auto"/>
        </w:rPr>
        <w:t xml:space="preserve">Obrázek č. </w:t>
      </w:r>
      <w:r w:rsidRPr="007853BB">
        <w:rPr>
          <w:i w:val="0"/>
          <w:color w:val="auto"/>
        </w:rPr>
        <w:fldChar w:fldCharType="begin"/>
      </w:r>
      <w:r w:rsidRPr="007853BB">
        <w:rPr>
          <w:i w:val="0"/>
          <w:color w:val="auto"/>
        </w:rPr>
        <w:instrText xml:space="preserve"> SEQ Obrázek_č. \* ARABIC </w:instrText>
      </w:r>
      <w:r w:rsidRPr="007853BB">
        <w:rPr>
          <w:i w:val="0"/>
          <w:color w:val="auto"/>
        </w:rPr>
        <w:fldChar w:fldCharType="separate"/>
      </w:r>
      <w:r w:rsidRPr="007853BB">
        <w:rPr>
          <w:i w:val="0"/>
          <w:noProof/>
          <w:color w:val="auto"/>
        </w:rPr>
        <w:t>1</w:t>
      </w:r>
      <w:r w:rsidRPr="007853BB">
        <w:rPr>
          <w:i w:val="0"/>
          <w:color w:val="auto"/>
        </w:rPr>
        <w:fldChar w:fldCharType="end"/>
      </w:r>
      <w:bookmarkEnd w:id="0"/>
      <w:r w:rsidRPr="007853BB">
        <w:rPr>
          <w:i w:val="0"/>
          <w:color w:val="auto"/>
        </w:rPr>
        <w:t>: Rozdíl ve změnách E potřeby při zpracování různé stravy.</w:t>
      </w:r>
    </w:p>
    <w:sectPr w:rsidR="00C76305" w:rsidRPr="007853BB" w:rsidSect="008E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ED91" w14:textId="77777777" w:rsidR="00D906F4" w:rsidRDefault="00D906F4" w:rsidP="000C505E">
      <w:pPr>
        <w:spacing w:after="0" w:line="240" w:lineRule="auto"/>
      </w:pPr>
      <w:r>
        <w:separator/>
      </w:r>
    </w:p>
  </w:endnote>
  <w:endnote w:type="continuationSeparator" w:id="0">
    <w:p w14:paraId="2ABCC9D6" w14:textId="77777777" w:rsidR="00D906F4" w:rsidRDefault="00D906F4" w:rsidP="000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37BE" w14:textId="77777777" w:rsidR="00FB6D08" w:rsidRDefault="00FB6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20095"/>
      <w:docPartObj>
        <w:docPartGallery w:val="Page Numbers (Bottom of Page)"/>
        <w:docPartUnique/>
      </w:docPartObj>
    </w:sdtPr>
    <w:sdtEndPr/>
    <w:sdtContent>
      <w:p w14:paraId="63B33CB4" w14:textId="44CADF3B" w:rsidR="00CD1572" w:rsidRDefault="00CD15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A4531" w14:textId="77777777" w:rsidR="00CD1572" w:rsidRDefault="00CD15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7F8D" w14:textId="77777777" w:rsidR="00FB6D08" w:rsidRDefault="00FB6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6570" w14:textId="77777777" w:rsidR="00D906F4" w:rsidRDefault="00D906F4" w:rsidP="000C505E">
      <w:pPr>
        <w:spacing w:after="0" w:line="240" w:lineRule="auto"/>
      </w:pPr>
      <w:r>
        <w:separator/>
      </w:r>
    </w:p>
  </w:footnote>
  <w:footnote w:type="continuationSeparator" w:id="0">
    <w:p w14:paraId="49052432" w14:textId="77777777" w:rsidR="00D906F4" w:rsidRDefault="00D906F4" w:rsidP="000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E921" w14:textId="77777777" w:rsidR="00FB6D08" w:rsidRDefault="00FB6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574C" w14:textId="2B1DDEE9" w:rsidR="00FB6D08" w:rsidRDefault="00FB6D08">
    <w:pPr>
      <w:pStyle w:val="Zhlav"/>
    </w:pPr>
    <w:r>
      <w:t>Jméno:</w:t>
    </w:r>
    <w:r>
      <w:ptab w:relativeTo="margin" w:alignment="center" w:leader="none"/>
    </w:r>
    <w:r>
      <w:t>Výživa a regenerace ve sportu</w:t>
    </w:r>
    <w:r>
      <w:ptab w:relativeTo="margin" w:alignment="right" w:leader="none"/>
    </w:r>
    <w:r>
      <w:t>bp4055/bk4055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357" w14:textId="77777777" w:rsidR="00FB6D08" w:rsidRDefault="00FB6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9EE"/>
    <w:multiLevelType w:val="hybridMultilevel"/>
    <w:tmpl w:val="EFCA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8C7"/>
    <w:multiLevelType w:val="hybridMultilevel"/>
    <w:tmpl w:val="A6800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372"/>
    <w:multiLevelType w:val="hybridMultilevel"/>
    <w:tmpl w:val="ED9868D0"/>
    <w:lvl w:ilvl="0" w:tplc="E8464A46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5CD64440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C5E65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NTcwMjA2NTc1MLNQ0lEKTi0uzszPAykwrgUAc++nGiwAAAA="/>
  </w:docVars>
  <w:rsids>
    <w:rsidRoot w:val="00883A92"/>
    <w:rsid w:val="000C505E"/>
    <w:rsid w:val="000F25A4"/>
    <w:rsid w:val="001C7500"/>
    <w:rsid w:val="001D78DE"/>
    <w:rsid w:val="00272642"/>
    <w:rsid w:val="00275284"/>
    <w:rsid w:val="002A692E"/>
    <w:rsid w:val="002B0D40"/>
    <w:rsid w:val="00343357"/>
    <w:rsid w:val="003E7B48"/>
    <w:rsid w:val="00412AF6"/>
    <w:rsid w:val="00470ED9"/>
    <w:rsid w:val="004B31BA"/>
    <w:rsid w:val="00503B4C"/>
    <w:rsid w:val="005A5AA8"/>
    <w:rsid w:val="0063486F"/>
    <w:rsid w:val="00665729"/>
    <w:rsid w:val="00737055"/>
    <w:rsid w:val="00744927"/>
    <w:rsid w:val="007853BB"/>
    <w:rsid w:val="007C3F2C"/>
    <w:rsid w:val="00881EA7"/>
    <w:rsid w:val="00883A92"/>
    <w:rsid w:val="008E16A6"/>
    <w:rsid w:val="00964B2E"/>
    <w:rsid w:val="009906A7"/>
    <w:rsid w:val="00A233DF"/>
    <w:rsid w:val="00A378A2"/>
    <w:rsid w:val="00AA5B14"/>
    <w:rsid w:val="00AD61B6"/>
    <w:rsid w:val="00AF5225"/>
    <w:rsid w:val="00B47E6E"/>
    <w:rsid w:val="00B56288"/>
    <w:rsid w:val="00B912BC"/>
    <w:rsid w:val="00B96123"/>
    <w:rsid w:val="00C240A7"/>
    <w:rsid w:val="00C45C5E"/>
    <w:rsid w:val="00C76305"/>
    <w:rsid w:val="00C77886"/>
    <w:rsid w:val="00C9511C"/>
    <w:rsid w:val="00CC38DB"/>
    <w:rsid w:val="00CD1572"/>
    <w:rsid w:val="00CE7CA1"/>
    <w:rsid w:val="00CE7E65"/>
    <w:rsid w:val="00D2591C"/>
    <w:rsid w:val="00D906F4"/>
    <w:rsid w:val="00E550CD"/>
    <w:rsid w:val="00E70710"/>
    <w:rsid w:val="00ED1191"/>
    <w:rsid w:val="00EF30D3"/>
    <w:rsid w:val="00F625DD"/>
    <w:rsid w:val="00FB2410"/>
    <w:rsid w:val="00FB6D08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9A83"/>
  <w15:docId w15:val="{4567227E-4AE2-4170-81F8-1D080E2F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92"/>
    <w:pPr>
      <w:ind w:left="720"/>
      <w:contextualSpacing/>
    </w:pPr>
  </w:style>
  <w:style w:type="table" w:styleId="Mkatabulky">
    <w:name w:val="Table Grid"/>
    <w:basedOn w:val="Normlntabulka"/>
    <w:uiPriority w:val="39"/>
    <w:rsid w:val="0088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3A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05E"/>
  </w:style>
  <w:style w:type="paragraph" w:styleId="Zpat">
    <w:name w:val="footer"/>
    <w:basedOn w:val="Normln"/>
    <w:link w:val="ZpatChar"/>
    <w:uiPriority w:val="99"/>
    <w:unhideWhenUsed/>
    <w:rsid w:val="000C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2</cp:revision>
  <dcterms:created xsi:type="dcterms:W3CDTF">2020-02-26T09:42:00Z</dcterms:created>
  <dcterms:modified xsi:type="dcterms:W3CDTF">2022-02-14T16:17:00Z</dcterms:modified>
</cp:coreProperties>
</file>