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0D" w:rsidRDefault="0036020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Vyšetření kloubů – 6. a 7. týden</w:t>
      </w:r>
    </w:p>
    <w:p w:rsidR="0036020D" w:rsidRDefault="0036020D" w:rsidP="0036020D">
      <w:pPr>
        <w:pStyle w:val="Odstavecseseznamem"/>
        <w:tabs>
          <w:tab w:val="left" w:pos="2694"/>
        </w:tabs>
        <w:spacing w:line="240" w:lineRule="auto"/>
        <w:ind w:left="0"/>
        <w:jc w:val="both"/>
        <w:rPr>
          <w:rFonts w:ascii="Times New Roman" w:hAnsi="Times New Roman" w:cs="Times New Roman"/>
          <w:b/>
          <w:sz w:val="24"/>
          <w:szCs w:val="24"/>
        </w:rPr>
      </w:pPr>
    </w:p>
    <w:p w:rsidR="0036020D" w:rsidRPr="001A6EFC"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pohyb v kloubu aktivní, pasivní, joint play</w:t>
      </w:r>
    </w:p>
    <w:p w:rsidR="0036020D" w:rsidRPr="001A6EFC"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pohybový segment, otevřený a uzavřený kinematický řetězec</w:t>
      </w:r>
    </w:p>
    <w:p w:rsidR="0036020D" w:rsidRPr="001A6EFC"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centrované postavení v kloubu</w:t>
      </w:r>
    </w:p>
    <w:p w:rsidR="0036020D" w:rsidRPr="001A6EFC"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b/>
          <w:sz w:val="24"/>
          <w:szCs w:val="24"/>
        </w:rPr>
      </w:pPr>
      <w:proofErr w:type="spellStart"/>
      <w:r>
        <w:rPr>
          <w:rFonts w:ascii="Times New Roman" w:hAnsi="Times New Roman" w:cs="Times New Roman"/>
          <w:sz w:val="24"/>
          <w:szCs w:val="24"/>
        </w:rPr>
        <w:t>postura</w:t>
      </w:r>
      <w:proofErr w:type="spellEnd"/>
    </w:p>
    <w:p w:rsidR="0036020D" w:rsidRPr="001A6EFC"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posturální stabilita</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posturální stabilizace</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stabilita páteře</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pohyblivost páteře – základní pohyby, zakřivení páteře </w:t>
      </w:r>
    </w:p>
    <w:p w:rsidR="0036020D" w:rsidRDefault="0036020D" w:rsidP="0036020D">
      <w:pPr>
        <w:pStyle w:val="Odstavecseseznamem"/>
        <w:tabs>
          <w:tab w:val="left" w:pos="2694"/>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(1. v </w:t>
      </w:r>
      <w:r w:rsidRPr="0036020D">
        <w:rPr>
          <w:rFonts w:ascii="Times New Roman" w:hAnsi="Times New Roman" w:cs="Times New Roman"/>
          <w:b/>
          <w:sz w:val="24"/>
          <w:szCs w:val="24"/>
        </w:rPr>
        <w:t>sagitální</w:t>
      </w:r>
      <w:r>
        <w:rPr>
          <w:rFonts w:ascii="Times New Roman" w:hAnsi="Times New Roman" w:cs="Times New Roman"/>
          <w:sz w:val="24"/>
          <w:szCs w:val="24"/>
        </w:rPr>
        <w:t xml:space="preserve"> rovině pozorujeme </w:t>
      </w:r>
      <w:r>
        <w:rPr>
          <w:rFonts w:ascii="Times New Roman" w:hAnsi="Times New Roman" w:cs="Times New Roman"/>
          <w:b/>
          <w:sz w:val="24"/>
          <w:szCs w:val="24"/>
        </w:rPr>
        <w:t>lordosu</w:t>
      </w:r>
      <w:r>
        <w:rPr>
          <w:rFonts w:ascii="Times New Roman" w:hAnsi="Times New Roman" w:cs="Times New Roman"/>
          <w:sz w:val="24"/>
          <w:szCs w:val="24"/>
        </w:rPr>
        <w:t xml:space="preserve"> v </w:t>
      </w:r>
      <w:proofErr w:type="spellStart"/>
      <w:r>
        <w:rPr>
          <w:rFonts w:ascii="Times New Roman" w:hAnsi="Times New Roman" w:cs="Times New Roman"/>
          <w:sz w:val="24"/>
          <w:szCs w:val="24"/>
        </w:rPr>
        <w:t>Cp</w:t>
      </w:r>
      <w:proofErr w:type="spellEnd"/>
      <w:r>
        <w:rPr>
          <w:rFonts w:ascii="Times New Roman" w:hAnsi="Times New Roman" w:cs="Times New Roman"/>
          <w:sz w:val="24"/>
          <w:szCs w:val="24"/>
        </w:rPr>
        <w:t xml:space="preserve"> a v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 xml:space="preserve"> s vrcholy C4-C5, L3-L4, a </w:t>
      </w:r>
      <w:r>
        <w:rPr>
          <w:rFonts w:ascii="Times New Roman" w:hAnsi="Times New Roman" w:cs="Times New Roman"/>
          <w:b/>
          <w:sz w:val="24"/>
          <w:szCs w:val="24"/>
        </w:rPr>
        <w:t>kyfosu</w:t>
      </w:r>
      <w:r>
        <w:rPr>
          <w:rFonts w:ascii="Times New Roman" w:hAnsi="Times New Roman" w:cs="Times New Roman"/>
          <w:sz w:val="24"/>
          <w:szCs w:val="24"/>
        </w:rPr>
        <w:t xml:space="preserve"> v oblasti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s vrcholem Th6-Th7</w:t>
      </w:r>
    </w:p>
    <w:p w:rsidR="0036020D" w:rsidRPr="0036020D" w:rsidRDefault="0036020D" w:rsidP="0036020D">
      <w:pPr>
        <w:pStyle w:val="Odstavecseseznamem"/>
        <w:tabs>
          <w:tab w:val="left" w:pos="2694"/>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 ve</w:t>
      </w:r>
      <w:r>
        <w:rPr>
          <w:rFonts w:ascii="Times New Roman" w:hAnsi="Times New Roman" w:cs="Times New Roman"/>
          <w:b/>
          <w:sz w:val="24"/>
          <w:szCs w:val="24"/>
        </w:rPr>
        <w:t xml:space="preserve"> frontální </w:t>
      </w:r>
      <w:r>
        <w:rPr>
          <w:rFonts w:ascii="Times New Roman" w:hAnsi="Times New Roman" w:cs="Times New Roman"/>
          <w:sz w:val="24"/>
          <w:szCs w:val="24"/>
        </w:rPr>
        <w:t>rovině je fyziologické minimální zakřivení ve smyslu skoliosy, větší zakřivení znamená patologii)</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vyšetření pohyblivosti páteře: Ottova distance, </w:t>
      </w:r>
      <w:proofErr w:type="spellStart"/>
      <w:r>
        <w:rPr>
          <w:rFonts w:ascii="Times New Roman" w:hAnsi="Times New Roman" w:cs="Times New Roman"/>
          <w:sz w:val="24"/>
          <w:szCs w:val="24"/>
        </w:rPr>
        <w:t>Čepojova</w:t>
      </w:r>
      <w:proofErr w:type="spellEnd"/>
      <w:r>
        <w:rPr>
          <w:rFonts w:ascii="Times New Roman" w:hAnsi="Times New Roman" w:cs="Times New Roman"/>
          <w:sz w:val="24"/>
          <w:szCs w:val="24"/>
        </w:rPr>
        <w:t xml:space="preserve"> distance, </w:t>
      </w:r>
      <w:proofErr w:type="spellStart"/>
      <w:r>
        <w:rPr>
          <w:rFonts w:ascii="Times New Roman" w:hAnsi="Times New Roman" w:cs="Times New Roman"/>
          <w:sz w:val="24"/>
          <w:szCs w:val="24"/>
        </w:rPr>
        <w:t>Schoberova</w:t>
      </w:r>
      <w:proofErr w:type="spellEnd"/>
      <w:r>
        <w:rPr>
          <w:rFonts w:ascii="Times New Roman" w:hAnsi="Times New Roman" w:cs="Times New Roman"/>
          <w:sz w:val="24"/>
          <w:szCs w:val="24"/>
        </w:rPr>
        <w:t xml:space="preserve"> distance, Stiborova distance, </w:t>
      </w:r>
      <w:proofErr w:type="spellStart"/>
      <w:r>
        <w:rPr>
          <w:rFonts w:ascii="Times New Roman" w:hAnsi="Times New Roman" w:cs="Times New Roman"/>
          <w:sz w:val="24"/>
          <w:szCs w:val="24"/>
        </w:rPr>
        <w:t>Forestierova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Thomayerova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zk</w:t>
      </w:r>
      <w:proofErr w:type="spellEnd"/>
      <w:r>
        <w:rPr>
          <w:rFonts w:ascii="Times New Roman" w:hAnsi="Times New Roman" w:cs="Times New Roman"/>
          <w:sz w:val="24"/>
          <w:szCs w:val="24"/>
        </w:rPr>
        <w:t>.</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Metoda SFTR, goniometrie</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Goniometrie DKK</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Goniometrie HKK</w:t>
      </w:r>
    </w:p>
    <w:p w:rsidR="0036020D" w:rsidRDefault="0036020D"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Hypermobilita</w:t>
      </w:r>
      <w:proofErr w:type="spellEnd"/>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Vyšetření aktivním pohybem – </w:t>
      </w:r>
      <w:r>
        <w:rPr>
          <w:rFonts w:ascii="Times New Roman" w:hAnsi="Times New Roman" w:cs="Times New Roman"/>
          <w:sz w:val="24"/>
          <w:szCs w:val="24"/>
        </w:rPr>
        <w:t xml:space="preserve">jedná se o pohyb, který provádí vyšetřovaný sám (aktivně), v plném rozsahu pohybu. Testujeme rozsah hybnosti nejen ve smyslu omezení pohybu, ale i ve smyslu </w:t>
      </w:r>
      <w:proofErr w:type="spellStart"/>
      <w:r>
        <w:rPr>
          <w:rFonts w:ascii="Times New Roman" w:hAnsi="Times New Roman" w:cs="Times New Roman"/>
          <w:sz w:val="24"/>
          <w:szCs w:val="24"/>
        </w:rPr>
        <w:t>hypermobility</w:t>
      </w:r>
      <w:proofErr w:type="spellEnd"/>
      <w:r>
        <w:rPr>
          <w:rFonts w:ascii="Times New Roman" w:hAnsi="Times New Roman" w:cs="Times New Roman"/>
          <w:sz w:val="24"/>
          <w:szCs w:val="24"/>
        </w:rPr>
        <w:t xml:space="preserve">. Během vlastního pohybu je třeba pozorovat všechny odchylky, </w:t>
      </w:r>
      <w:proofErr w:type="gramStart"/>
      <w:r>
        <w:rPr>
          <w:rFonts w:ascii="Times New Roman" w:hAnsi="Times New Roman" w:cs="Times New Roman"/>
          <w:sz w:val="24"/>
          <w:szCs w:val="24"/>
        </w:rPr>
        <w:t>tzn. zda</w:t>
      </w:r>
      <w:proofErr w:type="gramEnd"/>
      <w:r>
        <w:rPr>
          <w:rFonts w:ascii="Times New Roman" w:hAnsi="Times New Roman" w:cs="Times New Roman"/>
          <w:sz w:val="24"/>
          <w:szCs w:val="24"/>
        </w:rPr>
        <w:t xml:space="preserve"> je přítomna bolest v průběhu celého pohybu nebo pouze v jeho určitých fázích. Je důležité (pokud to jde) porovnat pohybový rozsah na obou končetinách.</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Vyšetření pasivním pohybem – </w:t>
      </w:r>
      <w:r>
        <w:rPr>
          <w:rFonts w:ascii="Times New Roman" w:hAnsi="Times New Roman" w:cs="Times New Roman"/>
          <w:sz w:val="24"/>
          <w:szCs w:val="24"/>
        </w:rPr>
        <w:t>pro tento pohyb je charakteristické vyloučení svalové složky. Při vyšetřování pasivního pohybu rozlišujeme vyšetření pasivních funkčních pohybů a vyšetření kloubní vůle.</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případě bolestivosti či omezení aktivního pohybu a úplné volnosti pasivního pohybu můžeme předpokládat, že se jedná pravděpodobně o poruchu </w:t>
      </w:r>
      <w:proofErr w:type="spellStart"/>
      <w:r>
        <w:rPr>
          <w:rFonts w:ascii="Times New Roman" w:hAnsi="Times New Roman" w:cs="Times New Roman"/>
          <w:sz w:val="24"/>
          <w:szCs w:val="24"/>
        </w:rPr>
        <w:t>extraartikulární</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intraartikulární</w:t>
      </w:r>
      <w:proofErr w:type="spellEnd"/>
      <w:r>
        <w:rPr>
          <w:rFonts w:ascii="Times New Roman" w:hAnsi="Times New Roman" w:cs="Times New Roman"/>
          <w:sz w:val="24"/>
          <w:szCs w:val="24"/>
        </w:rPr>
        <w:t xml:space="preserve"> poruše můžeme uvažovat v případě omezení pasivního pohybu.  </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Vyšetření proti odporu – </w:t>
      </w:r>
      <w:r>
        <w:rPr>
          <w:rFonts w:ascii="Times New Roman" w:hAnsi="Times New Roman" w:cs="Times New Roman"/>
          <w:sz w:val="24"/>
          <w:szCs w:val="24"/>
        </w:rPr>
        <w:t>svaly, které pohybují kloubem, vyšetřujeme izometrickou kontrakcí. Bolest vyvolaná tímto manévrem může vycházet buď ze svalové tkáně nebo ze šlachy příslušného svalu či jeho úponu. Neklademe maximální odpor, ani vyšetřovaný nepoužívá maximální sílu.</w:t>
      </w:r>
    </w:p>
    <w:p w:rsidR="0036020D" w:rsidRDefault="0036020D" w:rsidP="0036020D">
      <w:pPr>
        <w:pStyle w:val="Odstavecseseznamem"/>
        <w:tabs>
          <w:tab w:val="left" w:pos="3420"/>
        </w:tabs>
        <w:spacing w:line="240" w:lineRule="auto"/>
        <w:ind w:left="0"/>
        <w:jc w:val="both"/>
        <w:rPr>
          <w:rFonts w:ascii="Times New Roman" w:hAnsi="Times New Roman" w:cs="Times New Roman"/>
          <w:b/>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roofErr w:type="spellStart"/>
      <w:r>
        <w:rPr>
          <w:rFonts w:ascii="Times New Roman" w:hAnsi="Times New Roman" w:cs="Times New Roman"/>
          <w:b/>
          <w:sz w:val="24"/>
          <w:szCs w:val="24"/>
        </w:rPr>
        <w:t>Aspekcí</w:t>
      </w:r>
      <w:proofErr w:type="spellEnd"/>
      <w:r>
        <w:rPr>
          <w:rFonts w:ascii="Times New Roman" w:hAnsi="Times New Roman" w:cs="Times New Roman"/>
          <w:sz w:val="24"/>
          <w:szCs w:val="24"/>
        </w:rPr>
        <w:t xml:space="preserve"> pozorujeme např. držení horních končetin vůči tělu při chůzi, zatěžování DKK apod. Lokálním pohledem na kloub pak hodnotíme jeho konfiguraci, přítomnost otoku, deformity, barvu kůže nad i pod kloubem a vzájemné nastavení segmentů proti sobě (např. předloktí a paže).</w:t>
      </w:r>
    </w:p>
    <w:p w:rsidR="0036020D" w:rsidRDefault="0036020D" w:rsidP="0036020D">
      <w:pPr>
        <w:pStyle w:val="Odstavecseseznamem"/>
        <w:tabs>
          <w:tab w:val="left" w:pos="3420"/>
        </w:tabs>
        <w:spacing w:line="240" w:lineRule="auto"/>
        <w:ind w:left="0"/>
        <w:jc w:val="both"/>
        <w:rPr>
          <w:rFonts w:ascii="Times New Roman" w:hAnsi="Times New Roman" w:cs="Times New Roman"/>
          <w:b/>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Palpací </w:t>
      </w:r>
      <w:r>
        <w:rPr>
          <w:rFonts w:ascii="Times New Roman" w:hAnsi="Times New Roman" w:cs="Times New Roman"/>
          <w:sz w:val="24"/>
          <w:szCs w:val="24"/>
        </w:rPr>
        <w:t xml:space="preserve">vyšetřujeme turgor kůže, kožní teplotu nad kloubem a v jeho okolí, lokální palpační citlivost </w:t>
      </w:r>
      <w:proofErr w:type="spellStart"/>
      <w:r>
        <w:rPr>
          <w:rFonts w:ascii="Times New Roman" w:hAnsi="Times New Roman" w:cs="Times New Roman"/>
          <w:sz w:val="24"/>
          <w:szCs w:val="24"/>
        </w:rPr>
        <w:t>periostu</w:t>
      </w:r>
      <w:proofErr w:type="spellEnd"/>
      <w:r>
        <w:rPr>
          <w:rFonts w:ascii="Times New Roman" w:hAnsi="Times New Roman" w:cs="Times New Roman"/>
          <w:sz w:val="24"/>
          <w:szCs w:val="24"/>
        </w:rPr>
        <w:t xml:space="preserve"> a přítomných jizev (pokud jsou). </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b/>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b/>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Pohyblivost páteře</w:t>
      </w:r>
      <w:r>
        <w:rPr>
          <w:rFonts w:ascii="Times New Roman" w:hAnsi="Times New Roman" w:cs="Times New Roman"/>
          <w:sz w:val="24"/>
          <w:szCs w:val="24"/>
        </w:rPr>
        <w:t xml:space="preserve"> je určena:</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1. relativní výškou meziobratlových plotének (</w:t>
      </w:r>
      <w:proofErr w:type="spellStart"/>
      <w:r>
        <w:rPr>
          <w:rFonts w:ascii="Times New Roman" w:hAnsi="Times New Roman" w:cs="Times New Roman"/>
          <w:sz w:val="24"/>
          <w:szCs w:val="24"/>
        </w:rPr>
        <w:t>anulus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fibrosus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nucleus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pulposus</w:t>
      </w:r>
      <w:proofErr w:type="spellEnd"/>
      <w:r>
        <w:rPr>
          <w:rFonts w:ascii="Times New Roman" w:hAnsi="Times New Roman" w:cs="Times New Roman"/>
          <w:sz w:val="24"/>
          <w:szCs w:val="24"/>
        </w:rPr>
        <w:t xml:space="preserve">) </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2. tvarem a sklonem obratlových trnů</w:t>
      </w:r>
    </w:p>
    <w:p w:rsidR="0036020D" w:rsidRP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3. tvarem kloubních ploch</w:t>
      </w:r>
    </w:p>
    <w:p w:rsidR="0036020D" w:rsidRPr="00720F49" w:rsidRDefault="0036020D" w:rsidP="0036020D">
      <w:pPr>
        <w:pStyle w:val="Normlnweb"/>
        <w:jc w:val="both"/>
        <w:rPr>
          <w:color w:val="000000"/>
        </w:rPr>
      </w:pPr>
      <w:r w:rsidRPr="00720F49">
        <w:rPr>
          <w:b/>
          <w:color w:val="000000"/>
        </w:rPr>
        <w:t>Páteřní segment</w:t>
      </w:r>
      <w:r>
        <w:rPr>
          <w:color w:val="000000"/>
        </w:rPr>
        <w:t xml:space="preserve"> -</w:t>
      </w:r>
      <w:r w:rsidRPr="00720F49">
        <w:rPr>
          <w:color w:val="000000"/>
        </w:rPr>
        <w:t xml:space="preserve"> tvořen dvěma sousedními obratli a ploténkou mezi nimi. Intervertebrálními </w:t>
      </w:r>
      <w:proofErr w:type="spellStart"/>
      <w:r w:rsidRPr="00720F49">
        <w:rPr>
          <w:color w:val="000000"/>
        </w:rPr>
        <w:t>foraminy</w:t>
      </w:r>
      <w:proofErr w:type="spellEnd"/>
      <w:r w:rsidRPr="00720F49">
        <w:rPr>
          <w:color w:val="000000"/>
        </w:rPr>
        <w:t xml:space="preserve"> (meziobratlovými otvory) daného páteřního segmentu vystupuje dvojice kořenů vycházejících z odpovídajícího míšního segmentu. Z každého tohoto segmentu je inervován přesně daný okruh svalů, kterému se říká </w:t>
      </w:r>
      <w:proofErr w:type="spellStart"/>
      <w:r w:rsidRPr="00720F49">
        <w:rPr>
          <w:color w:val="000000"/>
        </w:rPr>
        <w:t>myotom</w:t>
      </w:r>
      <w:proofErr w:type="spellEnd"/>
      <w:r w:rsidRPr="00720F49">
        <w:rPr>
          <w:color w:val="000000"/>
        </w:rPr>
        <w:t xml:space="preserve">, dále odpovídající část kůže – dermatom, část vnitřních orgánů – </w:t>
      </w:r>
      <w:proofErr w:type="spellStart"/>
      <w:r w:rsidRPr="00720F49">
        <w:rPr>
          <w:color w:val="000000"/>
        </w:rPr>
        <w:t>viscerotom</w:t>
      </w:r>
      <w:proofErr w:type="spellEnd"/>
      <w:r w:rsidRPr="00720F49">
        <w:rPr>
          <w:color w:val="000000"/>
        </w:rPr>
        <w:t xml:space="preserve"> (dermatom a </w:t>
      </w:r>
      <w:proofErr w:type="spellStart"/>
      <w:r w:rsidRPr="00720F49">
        <w:rPr>
          <w:color w:val="000000"/>
        </w:rPr>
        <w:t>viscerotom</w:t>
      </w:r>
      <w:proofErr w:type="spellEnd"/>
      <w:r w:rsidRPr="00720F49">
        <w:rPr>
          <w:color w:val="000000"/>
        </w:rPr>
        <w:t xml:space="preserve"> společně tvoří </w:t>
      </w:r>
      <w:proofErr w:type="spellStart"/>
      <w:r w:rsidRPr="00720F49">
        <w:rPr>
          <w:color w:val="000000"/>
        </w:rPr>
        <w:t>Headovy</w:t>
      </w:r>
      <w:proofErr w:type="spellEnd"/>
      <w:r w:rsidRPr="00720F49">
        <w:rPr>
          <w:color w:val="000000"/>
        </w:rPr>
        <w:t xml:space="preserve"> zóny – klasicky např. bolest při infarktu </w:t>
      </w:r>
      <w:proofErr w:type="spellStart"/>
      <w:r w:rsidRPr="00720F49">
        <w:rPr>
          <w:color w:val="000000"/>
        </w:rPr>
        <w:t>projikuje</w:t>
      </w:r>
      <w:proofErr w:type="spellEnd"/>
      <w:r w:rsidRPr="00720F49">
        <w:rPr>
          <w:color w:val="000000"/>
        </w:rPr>
        <w:t xml:space="preserve"> do levé horní končetiny) a konečně část vazů, kostí a kloubů – </w:t>
      </w:r>
      <w:proofErr w:type="spellStart"/>
      <w:r w:rsidRPr="00720F49">
        <w:rPr>
          <w:color w:val="000000"/>
        </w:rPr>
        <w:t>sklerotom</w:t>
      </w:r>
      <w:proofErr w:type="spellEnd"/>
      <w:r w:rsidRPr="00720F49">
        <w:rPr>
          <w:color w:val="000000"/>
        </w:rPr>
        <w:t xml:space="preserve">. Ze senzitivní porce nervového kořene vystupuje malá nervová větvička, jež se vrací do páteřního segmentu a inervuje meziobratlový kloub.  </w:t>
      </w:r>
    </w:p>
    <w:p w:rsidR="0036020D" w:rsidRDefault="0036020D" w:rsidP="0036020D">
      <w:pPr>
        <w:pStyle w:val="Normlnweb"/>
        <w:rPr>
          <w:rFonts w:ascii="Verdana" w:hAnsi="Verdana"/>
          <w:color w:val="000000"/>
        </w:rPr>
      </w:pPr>
      <w:r>
        <w:rPr>
          <w:rFonts w:ascii="Verdana" w:hAnsi="Verdana"/>
          <w:color w:val="000000"/>
        </w:rPr>
        <w:t xml:space="preserve">  </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Stabilita kloubu -  </w:t>
      </w:r>
      <w:r>
        <w:rPr>
          <w:rFonts w:ascii="Times New Roman" w:hAnsi="Times New Roman" w:cs="Times New Roman"/>
          <w:sz w:val="24"/>
          <w:szCs w:val="24"/>
        </w:rPr>
        <w:t xml:space="preserve">stav, kdy je co nejméně namáháno kloubní pouzdro a </w:t>
      </w:r>
      <w:proofErr w:type="spellStart"/>
      <w:r>
        <w:rPr>
          <w:rFonts w:ascii="Times New Roman" w:hAnsi="Times New Roman" w:cs="Times New Roman"/>
          <w:sz w:val="24"/>
          <w:szCs w:val="24"/>
        </w:rPr>
        <w:t>periartikulární</w:t>
      </w:r>
      <w:proofErr w:type="spellEnd"/>
      <w:r>
        <w:rPr>
          <w:rFonts w:ascii="Times New Roman" w:hAnsi="Times New Roman" w:cs="Times New Roman"/>
          <w:sz w:val="24"/>
          <w:szCs w:val="24"/>
        </w:rPr>
        <w:t xml:space="preserve"> svaly pracují v co nejlepší spolupráci (ve vzájemné </w:t>
      </w:r>
      <w:proofErr w:type="spellStart"/>
      <w:r>
        <w:rPr>
          <w:rFonts w:ascii="Times New Roman" w:hAnsi="Times New Roman" w:cs="Times New Roman"/>
          <w:sz w:val="24"/>
          <w:szCs w:val="24"/>
        </w:rPr>
        <w:t>koaktivaci</w:t>
      </w:r>
      <w:proofErr w:type="spellEnd"/>
      <w:r>
        <w:rPr>
          <w:rFonts w:ascii="Times New Roman" w:hAnsi="Times New Roman" w:cs="Times New Roman"/>
          <w:sz w:val="24"/>
          <w:szCs w:val="24"/>
        </w:rPr>
        <w:t xml:space="preserve"> potřebné k udržení požadovaného postavení) a pohyb v kloubu je tedy vykonáván co nejekonomičtěji – s co nejmenšími energetickými nároky k dosažení požadovaného úkonu vzhledem k dané situaci (dle Suchomela)</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Pr="00690468"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Funkční centrace - </w:t>
      </w:r>
      <w:r>
        <w:rPr>
          <w:rFonts w:ascii="Times New Roman" w:hAnsi="Times New Roman" w:cs="Times New Roman"/>
          <w:sz w:val="24"/>
          <w:szCs w:val="24"/>
        </w:rPr>
        <w:t>takové kloubní postavení, které umožňuje jeho optimální statické zatížení</w:t>
      </w:r>
      <w:r>
        <w:rPr>
          <w:rFonts w:ascii="Times New Roman" w:hAnsi="Times New Roman" w:cs="Times New Roman"/>
          <w:b/>
          <w:sz w:val="24"/>
          <w:szCs w:val="24"/>
        </w:rPr>
        <w:t xml:space="preserve"> </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roofErr w:type="spellStart"/>
      <w:r>
        <w:rPr>
          <w:rFonts w:ascii="Times New Roman" w:hAnsi="Times New Roman" w:cs="Times New Roman"/>
          <w:b/>
          <w:sz w:val="24"/>
          <w:szCs w:val="24"/>
        </w:rPr>
        <w:t>Postura</w:t>
      </w:r>
      <w:proofErr w:type="spellEnd"/>
      <w:r>
        <w:rPr>
          <w:rFonts w:ascii="Times New Roman" w:hAnsi="Times New Roman" w:cs="Times New Roman"/>
          <w:sz w:val="24"/>
          <w:szCs w:val="24"/>
        </w:rPr>
        <w:t xml:space="preserve"> – aktivní držení pohybových segmentů těla proti působení zevních sil. Je základní podmínkou pohybu a nikoliv naopak.</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Posture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follows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movement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shadow</w:t>
      </w:r>
      <w:proofErr w:type="spellEnd"/>
      <w:r>
        <w:rPr>
          <w:rFonts w:ascii="Times New Roman" w:hAnsi="Times New Roman" w:cs="Times New Roman"/>
          <w:sz w:val="24"/>
          <w:szCs w:val="24"/>
        </w:rPr>
        <w:t>“</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Posturální stabilita</w:t>
      </w:r>
      <w:r>
        <w:rPr>
          <w:rFonts w:ascii="Times New Roman" w:hAnsi="Times New Roman" w:cs="Times New Roman"/>
          <w:sz w:val="24"/>
          <w:szCs w:val="24"/>
        </w:rPr>
        <w:t xml:space="preserve"> – kontinuální „zaujímání“ stále polohy – schopnost zajistit takové držení těla, aby nedošlo k nezamýšlenému anebo neřízenému pádu, nazýváme </w:t>
      </w:r>
      <w:proofErr w:type="gramStart"/>
      <w:r>
        <w:rPr>
          <w:rFonts w:ascii="Times New Roman" w:hAnsi="Times New Roman" w:cs="Times New Roman"/>
          <w:sz w:val="24"/>
          <w:szCs w:val="24"/>
        </w:rPr>
        <w:t>P.S.</w:t>
      </w:r>
      <w:proofErr w:type="gramEnd"/>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Stabilitu ovlivňují faktory biomechanické a neurofyziologické. Mezi biomechanické faktory patří velikost opěrné plochy.</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Opěrná plocha – je část podložky, která je v přímém kontaktu s tělem</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Posturální stabilizace </w:t>
      </w:r>
      <w:r>
        <w:rPr>
          <w:rFonts w:ascii="Times New Roman" w:hAnsi="Times New Roman" w:cs="Times New Roman"/>
          <w:sz w:val="24"/>
          <w:szCs w:val="24"/>
        </w:rPr>
        <w:t>– aktivní (svalové) držení segmentů těla proti působení zevních sil řízené CNS. Jde o svalovou aktivitu zpevňující segmenty (aktivní držení segmentů) těla proti působení zevních sil (především tíhové síly).</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Každý pohyb lidského těla se děje mezi dvěma segmenty – </w:t>
      </w:r>
      <w:r>
        <w:rPr>
          <w:rFonts w:ascii="Times New Roman" w:hAnsi="Times New Roman" w:cs="Times New Roman"/>
          <w:b/>
          <w:sz w:val="24"/>
          <w:szCs w:val="24"/>
        </w:rPr>
        <w:t>pohybový segment.</w:t>
      </w:r>
      <w:r>
        <w:rPr>
          <w:rFonts w:ascii="Times New Roman" w:hAnsi="Times New Roman" w:cs="Times New Roman"/>
          <w:sz w:val="24"/>
          <w:szCs w:val="24"/>
        </w:rPr>
        <w:t xml:space="preserve">     </w:t>
      </w:r>
    </w:p>
    <w:p w:rsidR="0036020D" w:rsidRDefault="0036020D" w:rsidP="0036020D">
      <w:pPr>
        <w:pStyle w:val="Odstavecseseznamem"/>
        <w:tabs>
          <w:tab w:val="left" w:pos="2694"/>
        </w:tabs>
        <w:spacing w:line="240" w:lineRule="auto"/>
        <w:ind w:left="0"/>
        <w:jc w:val="both"/>
        <w:rPr>
          <w:rFonts w:ascii="Times New Roman" w:hAnsi="Times New Roman" w:cs="Times New Roman"/>
          <w:b/>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„Otevřený kinematický řetězec“ – </w:t>
      </w:r>
      <w:r>
        <w:rPr>
          <w:rFonts w:ascii="Times New Roman" w:hAnsi="Times New Roman" w:cs="Times New Roman"/>
          <w:sz w:val="24"/>
          <w:szCs w:val="24"/>
        </w:rPr>
        <w:t>pohyb distálního segmentu vůči proximálnímu. Fixace proximálního segmentu a distální segment se může pohybovat izolovaně</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P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„Uzavřený kinematický řetězec“</w:t>
      </w:r>
      <w:r>
        <w:rPr>
          <w:rFonts w:ascii="Times New Roman" w:hAnsi="Times New Roman" w:cs="Times New Roman"/>
          <w:sz w:val="24"/>
          <w:szCs w:val="24"/>
        </w:rPr>
        <w:t xml:space="preserve"> – proximální segment se pohybuje proti segmentu distálnímu. Distální segment je fixován (punctum </w:t>
      </w:r>
      <w:proofErr w:type="spellStart"/>
      <w:r>
        <w:rPr>
          <w:rFonts w:ascii="Times New Roman" w:hAnsi="Times New Roman" w:cs="Times New Roman"/>
          <w:sz w:val="24"/>
          <w:szCs w:val="24"/>
        </w:rPr>
        <w:t>fixum</w:t>
      </w:r>
      <w:proofErr w:type="spellEnd"/>
      <w:r>
        <w:rPr>
          <w:rFonts w:ascii="Times New Roman" w:hAnsi="Times New Roman" w:cs="Times New Roman"/>
          <w:sz w:val="24"/>
          <w:szCs w:val="24"/>
        </w:rPr>
        <w:t>) a je na něj přenášena váha těla.</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Default="0036020D" w:rsidP="0036020D">
      <w:pPr>
        <w:tabs>
          <w:tab w:val="left" w:pos="2694"/>
        </w:tabs>
        <w:spacing w:line="240" w:lineRule="auto"/>
        <w:jc w:val="both"/>
        <w:rPr>
          <w:rFonts w:ascii="Times New Roman" w:hAnsi="Times New Roman" w:cs="Times New Roman"/>
          <w:b/>
          <w:sz w:val="24"/>
          <w:szCs w:val="24"/>
        </w:rPr>
      </w:pPr>
    </w:p>
    <w:p w:rsidR="0036020D" w:rsidRDefault="0036020D" w:rsidP="0036020D">
      <w:pPr>
        <w:tabs>
          <w:tab w:val="left" w:pos="2694"/>
        </w:tabs>
        <w:spacing w:line="240" w:lineRule="auto"/>
        <w:jc w:val="both"/>
        <w:rPr>
          <w:rFonts w:ascii="Times New Roman" w:hAnsi="Times New Roman" w:cs="Times New Roman"/>
          <w:sz w:val="24"/>
          <w:szCs w:val="24"/>
        </w:rPr>
      </w:pPr>
      <w:proofErr w:type="spellStart"/>
      <w:r w:rsidRPr="00CB67A5">
        <w:rPr>
          <w:rFonts w:ascii="Times New Roman" w:hAnsi="Times New Roman" w:cs="Times New Roman"/>
          <w:b/>
          <w:sz w:val="24"/>
          <w:szCs w:val="24"/>
        </w:rPr>
        <w:lastRenderedPageBreak/>
        <w:t>Hypermobilita</w:t>
      </w:r>
      <w:proofErr w:type="spellEnd"/>
      <w:r>
        <w:rPr>
          <w:rFonts w:ascii="Times New Roman" w:hAnsi="Times New Roman" w:cs="Times New Roman"/>
          <w:sz w:val="24"/>
          <w:szCs w:val="24"/>
        </w:rPr>
        <w:t xml:space="preserve"> – zvětšený rozsah kloubní pohyblivosti nad běžnou fyziologickou normu, a to jak ve smyslu joint play, tak v pasivním i aktivním pohybu</w:t>
      </w:r>
    </w:p>
    <w:p w:rsidR="0036020D" w:rsidRPr="00CB67A5" w:rsidRDefault="0036020D" w:rsidP="0036020D">
      <w:pPr>
        <w:pStyle w:val="Odstavecseseznamem"/>
        <w:numPr>
          <w:ilvl w:val="0"/>
          <w:numId w:val="1"/>
        </w:numPr>
        <w:tabs>
          <w:tab w:val="left" w:pos="2694"/>
        </w:tabs>
        <w:spacing w:line="240" w:lineRule="auto"/>
        <w:jc w:val="both"/>
        <w:rPr>
          <w:rFonts w:ascii="Times New Roman" w:hAnsi="Times New Roman" w:cs="Times New Roman"/>
          <w:sz w:val="24"/>
          <w:szCs w:val="24"/>
        </w:rPr>
      </w:pPr>
      <w:r w:rsidRPr="00CB67A5">
        <w:rPr>
          <w:rFonts w:ascii="Times New Roman" w:hAnsi="Times New Roman" w:cs="Times New Roman"/>
          <w:sz w:val="24"/>
          <w:szCs w:val="24"/>
        </w:rPr>
        <w:t xml:space="preserve">kompenzační </w:t>
      </w:r>
      <w:proofErr w:type="spellStart"/>
      <w:r w:rsidRPr="00CB67A5">
        <w:rPr>
          <w:rFonts w:ascii="Times New Roman" w:hAnsi="Times New Roman" w:cs="Times New Roman"/>
          <w:sz w:val="24"/>
          <w:szCs w:val="24"/>
        </w:rPr>
        <w:t>hypermobilita</w:t>
      </w:r>
      <w:proofErr w:type="spellEnd"/>
    </w:p>
    <w:p w:rsidR="0036020D" w:rsidRDefault="0036020D" w:rsidP="0036020D">
      <w:pPr>
        <w:pStyle w:val="Odstavecseseznamem"/>
        <w:numPr>
          <w:ilvl w:val="0"/>
          <w:numId w:val="1"/>
        </w:numPr>
        <w:tabs>
          <w:tab w:val="left" w:pos="2694"/>
        </w:tabs>
        <w:spacing w:line="240" w:lineRule="auto"/>
        <w:jc w:val="both"/>
        <w:rPr>
          <w:rFonts w:ascii="Times New Roman" w:hAnsi="Times New Roman" w:cs="Times New Roman"/>
          <w:sz w:val="24"/>
          <w:szCs w:val="24"/>
        </w:rPr>
      </w:pPr>
      <w:r>
        <w:rPr>
          <w:rFonts w:ascii="Times New Roman" w:hAnsi="Times New Roman" w:cs="Times New Roman"/>
          <w:sz w:val="24"/>
          <w:szCs w:val="24"/>
        </w:rPr>
        <w:t>při neurologickém onemocnění</w:t>
      </w:r>
    </w:p>
    <w:p w:rsidR="0036020D" w:rsidRDefault="0036020D" w:rsidP="0036020D">
      <w:pPr>
        <w:pStyle w:val="Odstavecseseznamem"/>
        <w:numPr>
          <w:ilvl w:val="0"/>
          <w:numId w:val="1"/>
        </w:numPr>
        <w:tabs>
          <w:tab w:val="left" w:pos="2694"/>
        </w:tabs>
        <w:spacing w:line="240" w:lineRule="auto"/>
        <w:jc w:val="both"/>
        <w:rPr>
          <w:rFonts w:ascii="Times New Roman" w:hAnsi="Times New Roman" w:cs="Times New Roman"/>
          <w:sz w:val="24"/>
          <w:szCs w:val="24"/>
        </w:rPr>
      </w:pPr>
      <w:r>
        <w:rPr>
          <w:rFonts w:ascii="Times New Roman" w:hAnsi="Times New Roman" w:cs="Times New Roman"/>
          <w:sz w:val="24"/>
          <w:szCs w:val="24"/>
        </w:rPr>
        <w:t>konstituční</w:t>
      </w:r>
    </w:p>
    <w:p w:rsidR="0036020D" w:rsidRDefault="0036020D" w:rsidP="0036020D">
      <w:pPr>
        <w:pStyle w:val="Odstavecseseznamem"/>
        <w:numPr>
          <w:ilvl w:val="0"/>
          <w:numId w:val="1"/>
        </w:numPr>
        <w:tabs>
          <w:tab w:val="left" w:pos="2694"/>
        </w:tabs>
        <w:spacing w:line="240" w:lineRule="auto"/>
        <w:jc w:val="both"/>
        <w:rPr>
          <w:rFonts w:ascii="Times New Roman" w:hAnsi="Times New Roman" w:cs="Times New Roman"/>
          <w:sz w:val="24"/>
          <w:szCs w:val="24"/>
        </w:rPr>
      </w:pPr>
      <w:r>
        <w:rPr>
          <w:rFonts w:ascii="Times New Roman" w:hAnsi="Times New Roman" w:cs="Times New Roman"/>
          <w:sz w:val="24"/>
          <w:szCs w:val="24"/>
        </w:rPr>
        <w:t>lokální patologická (posttraumatická)</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Důsledkem </w:t>
      </w:r>
      <w:proofErr w:type="spellStart"/>
      <w:r>
        <w:rPr>
          <w:rFonts w:ascii="Times New Roman" w:hAnsi="Times New Roman" w:cs="Times New Roman"/>
          <w:sz w:val="24"/>
          <w:szCs w:val="24"/>
        </w:rPr>
        <w:t>hypermobility</w:t>
      </w:r>
      <w:proofErr w:type="spellEnd"/>
      <w:r>
        <w:rPr>
          <w:rFonts w:ascii="Times New Roman" w:hAnsi="Times New Roman" w:cs="Times New Roman"/>
          <w:sz w:val="24"/>
          <w:szCs w:val="24"/>
        </w:rPr>
        <w:t xml:space="preserve"> segmentu může být nestabilita. Klinickým projevem bývá často bolest.</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Vyšetření </w:t>
      </w:r>
      <w:proofErr w:type="spellStart"/>
      <w:r>
        <w:rPr>
          <w:rFonts w:ascii="Times New Roman" w:hAnsi="Times New Roman" w:cs="Times New Roman"/>
          <w:b/>
          <w:sz w:val="24"/>
          <w:szCs w:val="24"/>
        </w:rPr>
        <w:t>hypermobility</w:t>
      </w:r>
      <w:proofErr w:type="spellEnd"/>
      <w:r>
        <w:rPr>
          <w:rFonts w:ascii="Times New Roman" w:hAnsi="Times New Roman" w:cs="Times New Roman"/>
          <w:b/>
          <w:sz w:val="24"/>
          <w:szCs w:val="24"/>
        </w:rPr>
        <w:t xml:space="preserve"> dle Jandy (Funkční svalové testy) : </w:t>
      </w: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1. Zkouška rotace hlavy</w:t>
      </w: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2. Zkouška šály</w:t>
      </w: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 Zkouška zapažených paží</w:t>
      </w: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 Zkouška založených paží</w:t>
      </w:r>
    </w:p>
    <w:p w:rsidR="00F8123D" w:rsidRP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5. Zkouška </w:t>
      </w:r>
      <w:proofErr w:type="spellStart"/>
      <w:r>
        <w:rPr>
          <w:rFonts w:ascii="Times New Roman" w:hAnsi="Times New Roman" w:cs="Times New Roman"/>
          <w:b/>
          <w:sz w:val="24"/>
          <w:szCs w:val="24"/>
        </w:rPr>
        <w:t>extendovaných</w:t>
      </w:r>
      <w:proofErr w:type="spellEnd"/>
      <w:r>
        <w:rPr>
          <w:rFonts w:ascii="Times New Roman" w:hAnsi="Times New Roman" w:cs="Times New Roman"/>
          <w:b/>
          <w:sz w:val="24"/>
          <w:szCs w:val="24"/>
        </w:rPr>
        <w:t xml:space="preserve"> loktů</w:t>
      </w:r>
    </w:p>
    <w:p w:rsidR="0036020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6. Zkouška sepjatých rukou</w:t>
      </w: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7. Zkouška sepjatých prstů</w:t>
      </w: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8. Zkouška předklonu</w:t>
      </w:r>
    </w:p>
    <w:p w:rsid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9. Zkouška úklonu</w:t>
      </w:r>
    </w:p>
    <w:p w:rsidR="00F8123D" w:rsidRPr="00F8123D" w:rsidRDefault="00F8123D" w:rsidP="0036020D">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10. Zkouška posazení na paty </w:t>
      </w:r>
    </w:p>
    <w:p w:rsidR="00F8123D" w:rsidRDefault="00F8123D" w:rsidP="00F8123D">
      <w:pPr>
        <w:pStyle w:val="Zkladntext"/>
        <w:spacing w:line="360" w:lineRule="auto"/>
        <w:jc w:val="both"/>
        <w:rPr>
          <w:rFonts w:ascii="Times New Roman" w:hAnsi="Times New Roman" w:cs="Times New Roman"/>
        </w:rPr>
      </w:pPr>
    </w:p>
    <w:p w:rsidR="00F8123D" w:rsidRPr="00F8123D" w:rsidRDefault="00F8123D" w:rsidP="00F8123D">
      <w:pPr>
        <w:pStyle w:val="Zkladntext"/>
        <w:spacing w:line="360" w:lineRule="auto"/>
        <w:jc w:val="both"/>
        <w:rPr>
          <w:rFonts w:ascii="Times New Roman" w:hAnsi="Times New Roman" w:cs="Times New Roman"/>
        </w:rPr>
      </w:pPr>
      <w:proofErr w:type="spellStart"/>
      <w:r w:rsidRPr="00F8123D">
        <w:rPr>
          <w:rFonts w:ascii="Times New Roman" w:hAnsi="Times New Roman" w:cs="Times New Roman"/>
        </w:rPr>
        <w:t>Hypermobilita</w:t>
      </w:r>
      <w:proofErr w:type="spellEnd"/>
      <w:r w:rsidRPr="00F8123D">
        <w:rPr>
          <w:rFonts w:ascii="Times New Roman" w:hAnsi="Times New Roman" w:cs="Times New Roman"/>
        </w:rPr>
        <w:t xml:space="preserve"> není v pravém slova smyslu chorobným stavem, ale k</w:t>
      </w:r>
      <w:r>
        <w:rPr>
          <w:rFonts w:ascii="Times New Roman" w:hAnsi="Times New Roman" w:cs="Times New Roman"/>
        </w:rPr>
        <w:t xml:space="preserve">linickým popisem </w:t>
      </w:r>
      <w:proofErr w:type="gramStart"/>
      <w:r>
        <w:rPr>
          <w:rFonts w:ascii="Times New Roman" w:hAnsi="Times New Roman" w:cs="Times New Roman"/>
        </w:rPr>
        <w:t>určité   kvality</w:t>
      </w:r>
      <w:proofErr w:type="gramEnd"/>
      <w:r>
        <w:rPr>
          <w:rFonts w:ascii="Times New Roman" w:hAnsi="Times New Roman" w:cs="Times New Roman"/>
        </w:rPr>
        <w:t xml:space="preserve"> vaziva.  Kvalita </w:t>
      </w:r>
      <w:r w:rsidRPr="00F8123D">
        <w:rPr>
          <w:rFonts w:ascii="Times New Roman" w:hAnsi="Times New Roman" w:cs="Times New Roman"/>
        </w:rPr>
        <w:t xml:space="preserve">vaziva ovlivňuje biomechanickou stabilitu </w:t>
      </w:r>
      <w:proofErr w:type="spellStart"/>
      <w:r w:rsidRPr="00F8123D">
        <w:rPr>
          <w:rFonts w:ascii="Times New Roman" w:hAnsi="Times New Roman" w:cs="Times New Roman"/>
        </w:rPr>
        <w:t>myoskeletálního</w:t>
      </w:r>
      <w:proofErr w:type="spellEnd"/>
      <w:r w:rsidRPr="00F8123D">
        <w:rPr>
          <w:rFonts w:ascii="Times New Roman" w:hAnsi="Times New Roman" w:cs="Times New Roman"/>
        </w:rPr>
        <w:t xml:space="preserve"> (zvláště</w:t>
      </w:r>
      <w:r>
        <w:rPr>
          <w:rFonts w:ascii="Times New Roman" w:hAnsi="Times New Roman" w:cs="Times New Roman"/>
        </w:rPr>
        <w:t xml:space="preserve"> kloubního) systému, </w:t>
      </w:r>
      <w:r w:rsidRPr="00F8123D">
        <w:rPr>
          <w:rFonts w:ascii="Times New Roman" w:hAnsi="Times New Roman" w:cs="Times New Roman"/>
        </w:rPr>
        <w:t xml:space="preserve">výrazně se podílí na ochraně </w:t>
      </w:r>
      <w:proofErr w:type="gramStart"/>
      <w:r w:rsidRPr="00F8123D">
        <w:rPr>
          <w:rFonts w:ascii="Times New Roman" w:hAnsi="Times New Roman" w:cs="Times New Roman"/>
        </w:rPr>
        <w:t>kloubu  proti</w:t>
      </w:r>
      <w:proofErr w:type="gramEnd"/>
      <w:r w:rsidRPr="00F8123D">
        <w:rPr>
          <w:rFonts w:ascii="Times New Roman" w:hAnsi="Times New Roman" w:cs="Times New Roman"/>
        </w:rPr>
        <w:t xml:space="preserve"> přetížení a tím nepřímo ovlivňuje  rozvoj bolestivých stavů hybné soustavy v pozdějším věku. Proto tato otázka není zanedbatelná, zvláště přihlédneme-li ke skutečnosti, že 80 až 90% populace v produktivním věku čas od času vyhle</w:t>
      </w:r>
      <w:r>
        <w:rPr>
          <w:rFonts w:ascii="Times New Roman" w:hAnsi="Times New Roman" w:cs="Times New Roman"/>
        </w:rPr>
        <w:t xml:space="preserve">dá pomoc pro bolesti v zádech, </w:t>
      </w:r>
      <w:r w:rsidRPr="00F8123D">
        <w:rPr>
          <w:rFonts w:ascii="Times New Roman" w:hAnsi="Times New Roman" w:cs="Times New Roman"/>
        </w:rPr>
        <w:t xml:space="preserve">že bolesti v kříži jsou na prvním místě pro přiznání invalidity ve věku do 45 let, že tyto bolesti jsou druhou až třetí nejčastější příčinou krátkodobé pracovní neschopnosti a konečně že tzv. benigní bolest hybné soustavy je nejčastějším </w:t>
      </w:r>
      <w:r>
        <w:rPr>
          <w:rFonts w:ascii="Times New Roman" w:hAnsi="Times New Roman" w:cs="Times New Roman"/>
        </w:rPr>
        <w:t xml:space="preserve">bolestivým syndromem člověka. </w:t>
      </w:r>
      <w:r w:rsidRPr="00F8123D">
        <w:rPr>
          <w:rFonts w:ascii="Times New Roman" w:hAnsi="Times New Roman" w:cs="Times New Roman"/>
        </w:rPr>
        <w:t>Podle současného chápání patogenese  „</w:t>
      </w:r>
      <w:proofErr w:type="spellStart"/>
      <w:r w:rsidRPr="00F8123D">
        <w:rPr>
          <w:rFonts w:ascii="Times New Roman" w:hAnsi="Times New Roman" w:cs="Times New Roman"/>
        </w:rPr>
        <w:t>vertebrogenních</w:t>
      </w:r>
      <w:proofErr w:type="spellEnd"/>
      <w:r w:rsidRPr="00F8123D">
        <w:rPr>
          <w:rFonts w:ascii="Times New Roman" w:hAnsi="Times New Roman" w:cs="Times New Roman"/>
        </w:rPr>
        <w:t xml:space="preserve"> „ poruch je dnes obecně přijímán názor, že první poruchy mají svůj základ v dětství a </w:t>
      </w:r>
      <w:proofErr w:type="gramStart"/>
      <w:r w:rsidRPr="00F8123D">
        <w:rPr>
          <w:rFonts w:ascii="Times New Roman" w:hAnsi="Times New Roman" w:cs="Times New Roman"/>
        </w:rPr>
        <w:t>proto  z hlediska</w:t>
      </w:r>
      <w:proofErr w:type="gramEnd"/>
      <w:r w:rsidRPr="00F8123D">
        <w:rPr>
          <w:rFonts w:ascii="Times New Roman" w:hAnsi="Times New Roman" w:cs="Times New Roman"/>
        </w:rPr>
        <w:t xml:space="preserve"> prevence poruch v dospělosti bychom měli začít s preventivními opatřeními již ve školním věku. Široce zavedená prevence je v současnosti nereálná, nicméně poznání kterékoli situace, jež by mohla ovlivnit dosud nepříznivý trend vývoje i e</w:t>
      </w:r>
      <w:r>
        <w:rPr>
          <w:rFonts w:ascii="Times New Roman" w:hAnsi="Times New Roman" w:cs="Times New Roman"/>
        </w:rPr>
        <w:t xml:space="preserve">fektivitu terapie, má nesmírný </w:t>
      </w:r>
      <w:r w:rsidRPr="00F8123D">
        <w:rPr>
          <w:rFonts w:ascii="Times New Roman" w:hAnsi="Times New Roman" w:cs="Times New Roman"/>
        </w:rPr>
        <w:t xml:space="preserve">význam </w:t>
      </w:r>
      <w:proofErr w:type="gramStart"/>
      <w:r w:rsidRPr="00F8123D">
        <w:rPr>
          <w:rFonts w:ascii="Times New Roman" w:hAnsi="Times New Roman" w:cs="Times New Roman"/>
        </w:rPr>
        <w:t>jak  pro</w:t>
      </w:r>
      <w:proofErr w:type="gramEnd"/>
      <w:r w:rsidRPr="00F8123D">
        <w:rPr>
          <w:rFonts w:ascii="Times New Roman" w:hAnsi="Times New Roman" w:cs="Times New Roman"/>
        </w:rPr>
        <w:t xml:space="preserve"> jedince, tak i pro celkovou ekonomiku společnosti.</w:t>
      </w:r>
    </w:p>
    <w:p w:rsidR="00F8123D" w:rsidRPr="00F8123D" w:rsidRDefault="00F8123D" w:rsidP="00F8123D">
      <w:pPr>
        <w:pStyle w:val="Zkladntext"/>
        <w:spacing w:line="360" w:lineRule="auto"/>
        <w:jc w:val="both"/>
        <w:rPr>
          <w:rFonts w:ascii="Times New Roman" w:hAnsi="Times New Roman" w:cs="Times New Roman"/>
        </w:rPr>
      </w:pPr>
    </w:p>
    <w:p w:rsidR="00F8123D" w:rsidRPr="00F8123D" w:rsidRDefault="00F8123D" w:rsidP="00F8123D">
      <w:pPr>
        <w:pStyle w:val="Zkladntext"/>
        <w:spacing w:line="360" w:lineRule="auto"/>
        <w:jc w:val="both"/>
        <w:rPr>
          <w:rFonts w:ascii="Times New Roman" w:hAnsi="Times New Roman" w:cs="Times New Roman"/>
        </w:rPr>
      </w:pPr>
      <w:r w:rsidRPr="00F8123D">
        <w:rPr>
          <w:rFonts w:ascii="Times New Roman" w:hAnsi="Times New Roman" w:cs="Times New Roman"/>
        </w:rPr>
        <w:t xml:space="preserve">Vzhledem k tomu, že konstitucionální  </w:t>
      </w:r>
      <w:proofErr w:type="spellStart"/>
      <w:r w:rsidRPr="00F8123D">
        <w:rPr>
          <w:rFonts w:ascii="Times New Roman" w:hAnsi="Times New Roman" w:cs="Times New Roman"/>
        </w:rPr>
        <w:t>hypermobilitu</w:t>
      </w:r>
      <w:proofErr w:type="spellEnd"/>
      <w:r w:rsidRPr="00F8123D">
        <w:rPr>
          <w:rFonts w:ascii="Times New Roman" w:hAnsi="Times New Roman" w:cs="Times New Roman"/>
        </w:rPr>
        <w:t xml:space="preserve"> nepovažujeme za patologický</w:t>
      </w:r>
      <w:r>
        <w:rPr>
          <w:rFonts w:ascii="Times New Roman" w:hAnsi="Times New Roman" w:cs="Times New Roman"/>
        </w:rPr>
        <w:t xml:space="preserve"> stav, je tento klinický nález </w:t>
      </w:r>
      <w:r w:rsidRPr="00F8123D">
        <w:rPr>
          <w:rFonts w:ascii="Times New Roman" w:hAnsi="Times New Roman" w:cs="Times New Roman"/>
        </w:rPr>
        <w:t>přehlížen, jeho význam jako risikový faktor nebrán v </w:t>
      </w:r>
      <w:proofErr w:type="gramStart"/>
      <w:r w:rsidRPr="00F8123D">
        <w:rPr>
          <w:rFonts w:ascii="Times New Roman" w:hAnsi="Times New Roman" w:cs="Times New Roman"/>
        </w:rPr>
        <w:t>úvahu, a  co</w:t>
      </w:r>
      <w:proofErr w:type="gramEnd"/>
      <w:r w:rsidRPr="00F8123D">
        <w:rPr>
          <w:rFonts w:ascii="Times New Roman" w:hAnsi="Times New Roman" w:cs="Times New Roman"/>
        </w:rPr>
        <w:t xml:space="preserve"> je snad ještě horší,  pacient je při obtížích </w:t>
      </w:r>
      <w:r>
        <w:rPr>
          <w:rFonts w:ascii="Times New Roman" w:hAnsi="Times New Roman" w:cs="Times New Roman"/>
        </w:rPr>
        <w:t>(zvláště bolestí)  léčen mobiliz</w:t>
      </w:r>
      <w:r w:rsidRPr="00F8123D">
        <w:rPr>
          <w:rFonts w:ascii="Times New Roman" w:hAnsi="Times New Roman" w:cs="Times New Roman"/>
        </w:rPr>
        <w:t xml:space="preserve">ačními technikami, podroben </w:t>
      </w:r>
      <w:r w:rsidRPr="00F8123D">
        <w:rPr>
          <w:rFonts w:ascii="Times New Roman" w:hAnsi="Times New Roman" w:cs="Times New Roman"/>
        </w:rPr>
        <w:lastRenderedPageBreak/>
        <w:t xml:space="preserve">strečinku nebo mu jsou podávána při obtížích </w:t>
      </w:r>
      <w:proofErr w:type="spellStart"/>
      <w:r w:rsidRPr="00F8123D">
        <w:rPr>
          <w:rFonts w:ascii="Times New Roman" w:hAnsi="Times New Roman" w:cs="Times New Roman"/>
        </w:rPr>
        <w:t>myorelaxancia</w:t>
      </w:r>
      <w:proofErr w:type="spellEnd"/>
      <w:r w:rsidRPr="00F8123D">
        <w:rPr>
          <w:rFonts w:ascii="Times New Roman" w:hAnsi="Times New Roman" w:cs="Times New Roman"/>
        </w:rPr>
        <w:t xml:space="preserve">. Tyto terapeutické přístupy jsou však u </w:t>
      </w:r>
      <w:proofErr w:type="spellStart"/>
      <w:r w:rsidRPr="00F8123D">
        <w:rPr>
          <w:rFonts w:ascii="Times New Roman" w:hAnsi="Times New Roman" w:cs="Times New Roman"/>
        </w:rPr>
        <w:t>hypermobilních</w:t>
      </w:r>
      <w:proofErr w:type="spellEnd"/>
      <w:r w:rsidRPr="00F8123D">
        <w:rPr>
          <w:rFonts w:ascii="Times New Roman" w:hAnsi="Times New Roman" w:cs="Times New Roman"/>
        </w:rPr>
        <w:t xml:space="preserve"> pacientů kontraindikovány nebo alespoň relativně ko</w:t>
      </w:r>
      <w:r>
        <w:rPr>
          <w:rFonts w:ascii="Times New Roman" w:hAnsi="Times New Roman" w:cs="Times New Roman"/>
        </w:rPr>
        <w:t xml:space="preserve">ntraindikovány. Poněvadž jde o </w:t>
      </w:r>
      <w:r w:rsidRPr="00F8123D">
        <w:rPr>
          <w:rFonts w:ascii="Times New Roman" w:hAnsi="Times New Roman" w:cs="Times New Roman"/>
        </w:rPr>
        <w:t>častý stav, týkají se tyto chyby značného počtu jedinců. Rovněž celkový pohybový režim těc</w:t>
      </w:r>
      <w:r>
        <w:rPr>
          <w:rFonts w:ascii="Times New Roman" w:hAnsi="Times New Roman" w:cs="Times New Roman"/>
        </w:rPr>
        <w:t xml:space="preserve">hto jedinců by měl být </w:t>
      </w:r>
      <w:proofErr w:type="gramStart"/>
      <w:r>
        <w:rPr>
          <w:rFonts w:ascii="Times New Roman" w:hAnsi="Times New Roman" w:cs="Times New Roman"/>
        </w:rPr>
        <w:t xml:space="preserve">upraven </w:t>
      </w:r>
      <w:r w:rsidRPr="00F8123D">
        <w:rPr>
          <w:rFonts w:ascii="Times New Roman" w:hAnsi="Times New Roman" w:cs="Times New Roman"/>
        </w:rPr>
        <w:t>a  některá</w:t>
      </w:r>
      <w:proofErr w:type="gramEnd"/>
      <w:r w:rsidRPr="00F8123D">
        <w:rPr>
          <w:rFonts w:ascii="Times New Roman" w:hAnsi="Times New Roman" w:cs="Times New Roman"/>
        </w:rPr>
        <w:t xml:space="preserve"> cvičení a sporty vyloučeny nebo alespoň omezeny na minimum. Patří sem v prvé řadě balet, umělecká gymnastika a všechna cvičení nebo sporty, které podporují zvětšení rozsahu kloubní pohyblivosti</w:t>
      </w:r>
    </w:p>
    <w:p w:rsidR="00F8123D" w:rsidRPr="00F8123D" w:rsidRDefault="00F8123D" w:rsidP="00F8123D">
      <w:pPr>
        <w:pStyle w:val="Zkladntext"/>
        <w:spacing w:line="360" w:lineRule="auto"/>
        <w:jc w:val="both"/>
        <w:rPr>
          <w:rFonts w:ascii="Times New Roman" w:hAnsi="Times New Roman" w:cs="Times New Roman"/>
        </w:rPr>
      </w:pPr>
    </w:p>
    <w:p w:rsidR="00F8123D" w:rsidRPr="00F8123D" w:rsidRDefault="00F8123D" w:rsidP="00F8123D">
      <w:pPr>
        <w:spacing w:line="360" w:lineRule="auto"/>
        <w:jc w:val="both"/>
        <w:rPr>
          <w:rFonts w:ascii="Times New Roman" w:hAnsi="Times New Roman" w:cs="Times New Roman"/>
          <w:sz w:val="24"/>
          <w:szCs w:val="24"/>
        </w:rPr>
      </w:pPr>
      <w:r w:rsidRPr="00F8123D">
        <w:rPr>
          <w:rFonts w:ascii="Times New Roman" w:hAnsi="Times New Roman" w:cs="Times New Roman"/>
          <w:sz w:val="24"/>
          <w:szCs w:val="24"/>
        </w:rPr>
        <w:t xml:space="preserve">Pod pojmem </w:t>
      </w:r>
      <w:proofErr w:type="spellStart"/>
      <w:r w:rsidRPr="00F8123D">
        <w:rPr>
          <w:rFonts w:ascii="Times New Roman" w:hAnsi="Times New Roman" w:cs="Times New Roman"/>
          <w:sz w:val="24"/>
          <w:szCs w:val="24"/>
        </w:rPr>
        <w:t>hypermobilita</w:t>
      </w:r>
      <w:proofErr w:type="spellEnd"/>
      <w:r w:rsidRPr="00F8123D">
        <w:rPr>
          <w:rFonts w:ascii="Times New Roman" w:hAnsi="Times New Roman" w:cs="Times New Roman"/>
          <w:sz w:val="24"/>
          <w:szCs w:val="24"/>
        </w:rPr>
        <w:t xml:space="preserve"> rozumíme zvětšený rozsah kloubní pohyblivosti nad běžnou normu. </w:t>
      </w:r>
      <w:proofErr w:type="spellStart"/>
      <w:r w:rsidRPr="00F8123D">
        <w:rPr>
          <w:rFonts w:ascii="Times New Roman" w:hAnsi="Times New Roman" w:cs="Times New Roman"/>
          <w:sz w:val="24"/>
          <w:szCs w:val="24"/>
        </w:rPr>
        <w:t>Hypermobilita</w:t>
      </w:r>
      <w:proofErr w:type="spellEnd"/>
      <w:r w:rsidRPr="00F8123D">
        <w:rPr>
          <w:rFonts w:ascii="Times New Roman" w:hAnsi="Times New Roman" w:cs="Times New Roman"/>
          <w:sz w:val="24"/>
          <w:szCs w:val="24"/>
        </w:rPr>
        <w:t xml:space="preserve">  v širším slova smyslu nepředstavuje jednu noso</w:t>
      </w:r>
      <w:r>
        <w:rPr>
          <w:rFonts w:ascii="Times New Roman" w:hAnsi="Times New Roman" w:cs="Times New Roman"/>
          <w:sz w:val="24"/>
          <w:szCs w:val="24"/>
        </w:rPr>
        <w:t xml:space="preserve">logickou jednotku, </w:t>
      </w:r>
      <w:r w:rsidRPr="00F8123D">
        <w:rPr>
          <w:rFonts w:ascii="Times New Roman" w:hAnsi="Times New Roman" w:cs="Times New Roman"/>
          <w:sz w:val="24"/>
          <w:szCs w:val="24"/>
        </w:rPr>
        <w:t>nýbrž můžeme rozeznávat několik typů.</w:t>
      </w:r>
    </w:p>
    <w:p w:rsidR="00F8123D" w:rsidRPr="00F8123D" w:rsidRDefault="00F8123D" w:rsidP="00F8123D">
      <w:pPr>
        <w:spacing w:line="360" w:lineRule="auto"/>
        <w:jc w:val="both"/>
        <w:rPr>
          <w:rFonts w:ascii="Times New Roman" w:hAnsi="Times New Roman" w:cs="Times New Roman"/>
          <w:sz w:val="24"/>
          <w:szCs w:val="24"/>
        </w:rPr>
      </w:pPr>
      <w:r w:rsidRPr="00F8123D">
        <w:rPr>
          <w:rFonts w:ascii="Times New Roman" w:hAnsi="Times New Roman" w:cs="Times New Roman"/>
          <w:sz w:val="24"/>
          <w:szCs w:val="24"/>
        </w:rPr>
        <w:t xml:space="preserve">1. tzv. </w:t>
      </w:r>
      <w:r w:rsidRPr="00F8123D">
        <w:rPr>
          <w:rFonts w:ascii="Times New Roman" w:hAnsi="Times New Roman" w:cs="Times New Roman"/>
          <w:b/>
          <w:sz w:val="24"/>
          <w:szCs w:val="24"/>
        </w:rPr>
        <w:t xml:space="preserve">lokální patologická </w:t>
      </w:r>
      <w:proofErr w:type="spellStart"/>
      <w:r w:rsidRPr="00F8123D">
        <w:rPr>
          <w:rFonts w:ascii="Times New Roman" w:hAnsi="Times New Roman" w:cs="Times New Roman"/>
          <w:b/>
          <w:sz w:val="24"/>
          <w:szCs w:val="24"/>
        </w:rPr>
        <w:t>hypermobilita</w:t>
      </w:r>
      <w:proofErr w:type="spellEnd"/>
      <w:r w:rsidRPr="00F8123D">
        <w:rPr>
          <w:rFonts w:ascii="Times New Roman" w:hAnsi="Times New Roman" w:cs="Times New Roman"/>
          <w:sz w:val="24"/>
          <w:szCs w:val="24"/>
        </w:rPr>
        <w:t xml:space="preserve">, která je výrazem kompensačních mechanismů při omezení rozsahu pohybu v jiném segmentu nebo kloubu. Tato </w:t>
      </w:r>
      <w:proofErr w:type="spellStart"/>
      <w:r w:rsidRPr="00F8123D">
        <w:rPr>
          <w:rFonts w:ascii="Times New Roman" w:hAnsi="Times New Roman" w:cs="Times New Roman"/>
          <w:sz w:val="24"/>
          <w:szCs w:val="24"/>
        </w:rPr>
        <w:t>hypermobilita</w:t>
      </w:r>
      <w:proofErr w:type="spellEnd"/>
      <w:r w:rsidRPr="00F8123D">
        <w:rPr>
          <w:rFonts w:ascii="Times New Roman" w:hAnsi="Times New Roman" w:cs="Times New Roman"/>
          <w:sz w:val="24"/>
          <w:szCs w:val="24"/>
        </w:rPr>
        <w:t xml:space="preserve"> je předmětem </w:t>
      </w:r>
      <w:proofErr w:type="spellStart"/>
      <w:r w:rsidRPr="00F8123D">
        <w:rPr>
          <w:rFonts w:ascii="Times New Roman" w:hAnsi="Times New Roman" w:cs="Times New Roman"/>
          <w:sz w:val="24"/>
          <w:szCs w:val="24"/>
        </w:rPr>
        <w:t>myoskeletálního</w:t>
      </w:r>
      <w:proofErr w:type="spellEnd"/>
      <w:r w:rsidRPr="00F8123D">
        <w:rPr>
          <w:rFonts w:ascii="Times New Roman" w:hAnsi="Times New Roman" w:cs="Times New Roman"/>
          <w:sz w:val="24"/>
          <w:szCs w:val="24"/>
        </w:rPr>
        <w:t xml:space="preserve"> vyšetření, nespadá do kategorie celkové </w:t>
      </w:r>
      <w:proofErr w:type="spellStart"/>
      <w:r w:rsidRPr="00F8123D">
        <w:rPr>
          <w:rFonts w:ascii="Times New Roman" w:hAnsi="Times New Roman" w:cs="Times New Roman"/>
          <w:sz w:val="24"/>
          <w:szCs w:val="24"/>
        </w:rPr>
        <w:t>hypermobility</w:t>
      </w:r>
      <w:proofErr w:type="spellEnd"/>
      <w:r w:rsidRPr="00F8123D">
        <w:rPr>
          <w:rFonts w:ascii="Times New Roman" w:hAnsi="Times New Roman" w:cs="Times New Roman"/>
          <w:sz w:val="24"/>
          <w:szCs w:val="24"/>
        </w:rPr>
        <w:t xml:space="preserve"> a vyžaduje specifický lokálně cílený terapeutický přístup, patřící do kompetence specificky zaměřeného </w:t>
      </w:r>
      <w:proofErr w:type="gramStart"/>
      <w:r w:rsidRPr="00F8123D">
        <w:rPr>
          <w:rFonts w:ascii="Times New Roman" w:hAnsi="Times New Roman" w:cs="Times New Roman"/>
          <w:sz w:val="24"/>
          <w:szCs w:val="24"/>
        </w:rPr>
        <w:t>odborníka..</w:t>
      </w:r>
      <w:proofErr w:type="gramEnd"/>
      <w:r w:rsidRPr="00F8123D">
        <w:rPr>
          <w:rFonts w:ascii="Times New Roman" w:hAnsi="Times New Roman" w:cs="Times New Roman"/>
          <w:sz w:val="24"/>
          <w:szCs w:val="24"/>
        </w:rPr>
        <w:t xml:space="preserve"> </w:t>
      </w:r>
    </w:p>
    <w:p w:rsidR="00F8123D" w:rsidRPr="00F8123D" w:rsidRDefault="00F8123D" w:rsidP="00F8123D">
      <w:pPr>
        <w:spacing w:line="360" w:lineRule="auto"/>
        <w:jc w:val="both"/>
        <w:rPr>
          <w:rFonts w:ascii="Times New Roman" w:hAnsi="Times New Roman" w:cs="Times New Roman"/>
          <w:sz w:val="24"/>
          <w:szCs w:val="24"/>
        </w:rPr>
      </w:pPr>
      <w:r w:rsidRPr="00F8123D">
        <w:rPr>
          <w:rFonts w:ascii="Times New Roman" w:hAnsi="Times New Roman" w:cs="Times New Roman"/>
          <w:sz w:val="24"/>
          <w:szCs w:val="24"/>
        </w:rPr>
        <w:t xml:space="preserve">2. </w:t>
      </w:r>
      <w:proofErr w:type="spellStart"/>
      <w:r w:rsidRPr="00F8123D">
        <w:rPr>
          <w:rFonts w:ascii="Times New Roman" w:hAnsi="Times New Roman" w:cs="Times New Roman"/>
          <w:b/>
          <w:sz w:val="24"/>
          <w:szCs w:val="24"/>
        </w:rPr>
        <w:t>hypermobilita</w:t>
      </w:r>
      <w:proofErr w:type="spellEnd"/>
      <w:r w:rsidRPr="00F8123D">
        <w:rPr>
          <w:rFonts w:ascii="Times New Roman" w:hAnsi="Times New Roman" w:cs="Times New Roman"/>
          <w:sz w:val="24"/>
          <w:szCs w:val="24"/>
        </w:rPr>
        <w:t xml:space="preserve"> (zvýšená pasivita) jako příznak </w:t>
      </w:r>
      <w:r w:rsidRPr="00F8123D">
        <w:rPr>
          <w:rFonts w:ascii="Times New Roman" w:hAnsi="Times New Roman" w:cs="Times New Roman"/>
          <w:b/>
          <w:sz w:val="24"/>
          <w:szCs w:val="24"/>
        </w:rPr>
        <w:t>při některých neurologických onemocněních</w:t>
      </w:r>
      <w:r w:rsidRPr="00F8123D">
        <w:rPr>
          <w:rFonts w:ascii="Times New Roman" w:hAnsi="Times New Roman" w:cs="Times New Roman"/>
          <w:sz w:val="24"/>
          <w:szCs w:val="24"/>
        </w:rPr>
        <w:t xml:space="preserve">, typicky např. při zánikových mozečkových lézích, u periferních pares, nebo při poruchách </w:t>
      </w:r>
      <w:proofErr w:type="spellStart"/>
      <w:r w:rsidRPr="00F8123D">
        <w:rPr>
          <w:rFonts w:ascii="Times New Roman" w:hAnsi="Times New Roman" w:cs="Times New Roman"/>
          <w:sz w:val="24"/>
          <w:szCs w:val="24"/>
        </w:rPr>
        <w:t>aference</w:t>
      </w:r>
      <w:proofErr w:type="spellEnd"/>
      <w:r w:rsidRPr="00F8123D">
        <w:rPr>
          <w:rFonts w:ascii="Times New Roman" w:hAnsi="Times New Roman" w:cs="Times New Roman"/>
          <w:sz w:val="24"/>
          <w:szCs w:val="24"/>
        </w:rPr>
        <w:t xml:space="preserve"> jakékoliv lokalizace nebo etiologie. Patří sem však i  hypotonie v rámci syndromu malé mozkové dysfunkce, a to zvláště u dyskinetické a mozečkové formy (malá mozková dysfunkce se vyskytuje  až u 15% dětské </w:t>
      </w:r>
      <w:proofErr w:type="gramStart"/>
      <w:r w:rsidRPr="00F8123D">
        <w:rPr>
          <w:rFonts w:ascii="Times New Roman" w:hAnsi="Times New Roman" w:cs="Times New Roman"/>
          <w:sz w:val="24"/>
          <w:szCs w:val="24"/>
        </w:rPr>
        <w:t>populace !) nebo</w:t>
      </w:r>
      <w:proofErr w:type="gramEnd"/>
      <w:r w:rsidRPr="00F8123D">
        <w:rPr>
          <w:rFonts w:ascii="Times New Roman" w:hAnsi="Times New Roman" w:cs="Times New Roman"/>
          <w:sz w:val="24"/>
          <w:szCs w:val="24"/>
        </w:rPr>
        <w:t xml:space="preserve"> u Downova syndromu.či oligofrenie. </w:t>
      </w:r>
    </w:p>
    <w:p w:rsidR="00F8123D" w:rsidRPr="00F8123D" w:rsidRDefault="00F8123D" w:rsidP="00F8123D">
      <w:pPr>
        <w:spacing w:line="360" w:lineRule="auto"/>
        <w:jc w:val="both"/>
        <w:rPr>
          <w:rFonts w:ascii="Times New Roman" w:hAnsi="Times New Roman" w:cs="Times New Roman"/>
          <w:sz w:val="24"/>
          <w:szCs w:val="24"/>
        </w:rPr>
      </w:pPr>
      <w:r w:rsidRPr="00F8123D">
        <w:rPr>
          <w:rFonts w:ascii="Times New Roman" w:hAnsi="Times New Roman" w:cs="Times New Roman"/>
          <w:sz w:val="24"/>
          <w:szCs w:val="24"/>
        </w:rPr>
        <w:t>3.</w:t>
      </w:r>
      <w:r>
        <w:rPr>
          <w:rFonts w:ascii="Times New Roman" w:hAnsi="Times New Roman" w:cs="Times New Roman"/>
          <w:sz w:val="24"/>
          <w:szCs w:val="24"/>
        </w:rPr>
        <w:t xml:space="preserve"> </w:t>
      </w:r>
      <w:r w:rsidRPr="00F8123D">
        <w:rPr>
          <w:rFonts w:ascii="Times New Roman" w:hAnsi="Times New Roman" w:cs="Times New Roman"/>
          <w:sz w:val="24"/>
          <w:szCs w:val="24"/>
        </w:rPr>
        <w:t xml:space="preserve">Na přechodu ke konstitucionální </w:t>
      </w:r>
      <w:proofErr w:type="spellStart"/>
      <w:r w:rsidRPr="00F8123D">
        <w:rPr>
          <w:rFonts w:ascii="Times New Roman" w:hAnsi="Times New Roman" w:cs="Times New Roman"/>
          <w:sz w:val="24"/>
          <w:szCs w:val="24"/>
        </w:rPr>
        <w:t>hypermobilitě</w:t>
      </w:r>
      <w:proofErr w:type="spellEnd"/>
      <w:r w:rsidRPr="00F8123D">
        <w:rPr>
          <w:rFonts w:ascii="Times New Roman" w:hAnsi="Times New Roman" w:cs="Times New Roman"/>
          <w:sz w:val="24"/>
          <w:szCs w:val="24"/>
        </w:rPr>
        <w:t xml:space="preserve"> jsou </w:t>
      </w:r>
      <w:proofErr w:type="gramStart"/>
      <w:r w:rsidRPr="00F8123D">
        <w:rPr>
          <w:rFonts w:ascii="Times New Roman" w:hAnsi="Times New Roman" w:cs="Times New Roman"/>
          <w:sz w:val="24"/>
          <w:szCs w:val="24"/>
        </w:rPr>
        <w:t>některé  klinicky</w:t>
      </w:r>
      <w:proofErr w:type="gramEnd"/>
      <w:r w:rsidRPr="00F8123D">
        <w:rPr>
          <w:rFonts w:ascii="Times New Roman" w:hAnsi="Times New Roman" w:cs="Times New Roman"/>
          <w:sz w:val="24"/>
          <w:szCs w:val="24"/>
        </w:rPr>
        <w:t xml:space="preserve"> patologické stavy, jako </w:t>
      </w:r>
      <w:proofErr w:type="spellStart"/>
      <w:r w:rsidRPr="00F8123D">
        <w:rPr>
          <w:rFonts w:ascii="Times New Roman" w:hAnsi="Times New Roman" w:cs="Times New Roman"/>
          <w:b/>
          <w:sz w:val="24"/>
          <w:szCs w:val="24"/>
        </w:rPr>
        <w:t>Marfanův</w:t>
      </w:r>
      <w:proofErr w:type="spellEnd"/>
      <w:r w:rsidRPr="00F8123D">
        <w:rPr>
          <w:rFonts w:ascii="Times New Roman" w:hAnsi="Times New Roman" w:cs="Times New Roman"/>
          <w:b/>
          <w:sz w:val="24"/>
          <w:szCs w:val="24"/>
        </w:rPr>
        <w:t xml:space="preserve"> nebo </w:t>
      </w:r>
      <w:proofErr w:type="spellStart"/>
      <w:r w:rsidRPr="00F8123D">
        <w:rPr>
          <w:rFonts w:ascii="Times New Roman" w:hAnsi="Times New Roman" w:cs="Times New Roman"/>
          <w:b/>
          <w:sz w:val="24"/>
          <w:szCs w:val="24"/>
        </w:rPr>
        <w:t>Ehlers</w:t>
      </w:r>
      <w:proofErr w:type="spellEnd"/>
      <w:r w:rsidRPr="00F8123D">
        <w:rPr>
          <w:rFonts w:ascii="Times New Roman" w:hAnsi="Times New Roman" w:cs="Times New Roman"/>
          <w:b/>
          <w:sz w:val="24"/>
          <w:szCs w:val="24"/>
        </w:rPr>
        <w:t xml:space="preserve"> </w:t>
      </w:r>
      <w:proofErr w:type="spellStart"/>
      <w:r w:rsidRPr="00F8123D">
        <w:rPr>
          <w:rFonts w:ascii="Times New Roman" w:hAnsi="Times New Roman" w:cs="Times New Roman"/>
          <w:b/>
          <w:sz w:val="24"/>
          <w:szCs w:val="24"/>
        </w:rPr>
        <w:t>Danlos</w:t>
      </w:r>
      <w:proofErr w:type="spellEnd"/>
      <w:r w:rsidRPr="00F8123D">
        <w:rPr>
          <w:rFonts w:ascii="Times New Roman" w:hAnsi="Times New Roman" w:cs="Times New Roman"/>
          <w:b/>
          <w:sz w:val="24"/>
          <w:szCs w:val="24"/>
        </w:rPr>
        <w:t xml:space="preserve"> syndrom</w:t>
      </w:r>
      <w:r>
        <w:rPr>
          <w:rFonts w:ascii="Times New Roman" w:hAnsi="Times New Roman" w:cs="Times New Roman"/>
          <w:sz w:val="24"/>
          <w:szCs w:val="24"/>
        </w:rPr>
        <w:t>.</w:t>
      </w: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4.</w:t>
      </w:r>
      <w:r>
        <w:rPr>
          <w:rFonts w:ascii="Times New Roman" w:hAnsi="Times New Roman" w:cs="Times New Roman"/>
        </w:rPr>
        <w:t xml:space="preserve"> Tzv. </w:t>
      </w:r>
      <w:r>
        <w:rPr>
          <w:rFonts w:ascii="Times New Roman" w:hAnsi="Times New Roman" w:cs="Times New Roman"/>
          <w:b/>
        </w:rPr>
        <w:t>konstituční</w:t>
      </w:r>
      <w:r w:rsidRPr="00F8123D">
        <w:rPr>
          <w:rFonts w:ascii="Times New Roman" w:hAnsi="Times New Roman" w:cs="Times New Roman"/>
          <w:b/>
        </w:rPr>
        <w:t xml:space="preserve"> </w:t>
      </w:r>
      <w:proofErr w:type="spellStart"/>
      <w:r w:rsidRPr="00F8123D">
        <w:rPr>
          <w:rFonts w:ascii="Times New Roman" w:hAnsi="Times New Roman" w:cs="Times New Roman"/>
          <w:b/>
        </w:rPr>
        <w:t>hypermobilita</w:t>
      </w:r>
      <w:proofErr w:type="spellEnd"/>
      <w:r w:rsidRPr="00F8123D">
        <w:rPr>
          <w:rFonts w:ascii="Times New Roman" w:hAnsi="Times New Roman" w:cs="Times New Roman"/>
        </w:rPr>
        <w:t xml:space="preserve">, která z hlediska funkčních poruch hybné soustavy má největší význam a je nejčastější. Je charakterizována zvětšením kloubního rozsahu nad běžnou normu, spolu s celkovou lehkou svalovou hypotonií a vcelku nízkou svalovou silou, i když tato </w:t>
      </w:r>
      <w:r>
        <w:rPr>
          <w:rFonts w:ascii="Times New Roman" w:hAnsi="Times New Roman" w:cs="Times New Roman"/>
        </w:rPr>
        <w:t xml:space="preserve">se pohybuje ještě v mezích </w:t>
      </w:r>
      <w:r w:rsidRPr="00F8123D">
        <w:rPr>
          <w:rFonts w:ascii="Times New Roman" w:hAnsi="Times New Roman" w:cs="Times New Roman"/>
        </w:rPr>
        <w:t xml:space="preserve">dolní poloviny normy. Její etiologie je nejasná, předpokládá se však insuficience mesenchymu, projevující se klinicky   </w:t>
      </w:r>
      <w:proofErr w:type="spellStart"/>
      <w:r w:rsidRPr="00F8123D">
        <w:rPr>
          <w:rFonts w:ascii="Times New Roman" w:hAnsi="Times New Roman" w:cs="Times New Roman"/>
        </w:rPr>
        <w:t>laxitou</w:t>
      </w:r>
      <w:proofErr w:type="spellEnd"/>
      <w:r w:rsidRPr="00F8123D">
        <w:rPr>
          <w:rFonts w:ascii="Times New Roman" w:hAnsi="Times New Roman" w:cs="Times New Roman"/>
        </w:rPr>
        <w:t xml:space="preserve"> </w:t>
      </w:r>
      <w:proofErr w:type="spellStart"/>
      <w:r w:rsidRPr="00F8123D">
        <w:rPr>
          <w:rFonts w:ascii="Times New Roman" w:hAnsi="Times New Roman" w:cs="Times New Roman"/>
        </w:rPr>
        <w:t>ligament</w:t>
      </w:r>
      <w:proofErr w:type="spellEnd"/>
      <w:r w:rsidRPr="00F8123D">
        <w:rPr>
          <w:rFonts w:ascii="Times New Roman" w:hAnsi="Times New Roman" w:cs="Times New Roman"/>
        </w:rPr>
        <w:t xml:space="preserve"> a nitrosvalového podpůrného </w:t>
      </w:r>
      <w:proofErr w:type="spellStart"/>
      <w:r w:rsidRPr="00F8123D">
        <w:rPr>
          <w:rFonts w:ascii="Times New Roman" w:hAnsi="Times New Roman" w:cs="Times New Roman"/>
        </w:rPr>
        <w:t>stromatu</w:t>
      </w:r>
      <w:proofErr w:type="spellEnd"/>
      <w:r w:rsidRPr="00F8123D">
        <w:rPr>
          <w:rFonts w:ascii="Times New Roman" w:hAnsi="Times New Roman" w:cs="Times New Roman"/>
        </w:rPr>
        <w:t xml:space="preserve">. </w:t>
      </w:r>
    </w:p>
    <w:p w:rsidR="00F8123D" w:rsidRPr="00F8123D" w:rsidRDefault="00F8123D" w:rsidP="00F8123D">
      <w:pPr>
        <w:pStyle w:val="Zkladntext2"/>
        <w:spacing w:line="360" w:lineRule="auto"/>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proofErr w:type="spellStart"/>
      <w:r w:rsidRPr="00F8123D">
        <w:rPr>
          <w:rFonts w:ascii="Times New Roman" w:hAnsi="Times New Roman" w:cs="Times New Roman"/>
        </w:rPr>
        <w:t>Laxita</w:t>
      </w:r>
      <w:proofErr w:type="spellEnd"/>
      <w:r w:rsidRPr="00F8123D">
        <w:rPr>
          <w:rFonts w:ascii="Times New Roman" w:hAnsi="Times New Roman" w:cs="Times New Roman"/>
        </w:rPr>
        <w:t xml:space="preserve"> </w:t>
      </w:r>
      <w:proofErr w:type="spellStart"/>
      <w:r w:rsidRPr="00F8123D">
        <w:rPr>
          <w:rFonts w:ascii="Times New Roman" w:hAnsi="Times New Roman" w:cs="Times New Roman"/>
        </w:rPr>
        <w:t>ligament</w:t>
      </w:r>
      <w:proofErr w:type="spellEnd"/>
      <w:r w:rsidRPr="00F8123D">
        <w:rPr>
          <w:rFonts w:ascii="Times New Roman" w:hAnsi="Times New Roman" w:cs="Times New Roman"/>
        </w:rPr>
        <w:t xml:space="preserve"> má za následek nejen zvětšení rozsa</w:t>
      </w:r>
      <w:r>
        <w:rPr>
          <w:rFonts w:ascii="Times New Roman" w:hAnsi="Times New Roman" w:cs="Times New Roman"/>
        </w:rPr>
        <w:t xml:space="preserve">hu kloubní pohyblivosti, </w:t>
      </w:r>
      <w:r w:rsidRPr="00F8123D">
        <w:rPr>
          <w:rFonts w:ascii="Times New Roman" w:hAnsi="Times New Roman" w:cs="Times New Roman"/>
        </w:rPr>
        <w:t xml:space="preserve">ale hlavně kloubní </w:t>
      </w:r>
      <w:proofErr w:type="spellStart"/>
      <w:r w:rsidRPr="00F8123D">
        <w:rPr>
          <w:rFonts w:ascii="Times New Roman" w:hAnsi="Times New Roman" w:cs="Times New Roman"/>
        </w:rPr>
        <w:t>instabilitu</w:t>
      </w:r>
      <w:proofErr w:type="spellEnd"/>
      <w:r w:rsidRPr="00F8123D">
        <w:rPr>
          <w:rFonts w:ascii="Times New Roman" w:hAnsi="Times New Roman" w:cs="Times New Roman"/>
        </w:rPr>
        <w:t xml:space="preserve">. Tato </w:t>
      </w:r>
      <w:proofErr w:type="spellStart"/>
      <w:r w:rsidRPr="00F8123D">
        <w:rPr>
          <w:rFonts w:ascii="Times New Roman" w:hAnsi="Times New Roman" w:cs="Times New Roman"/>
        </w:rPr>
        <w:t>instabilita</w:t>
      </w:r>
      <w:proofErr w:type="spellEnd"/>
      <w:r w:rsidRPr="00F8123D">
        <w:rPr>
          <w:rFonts w:ascii="Times New Roman" w:hAnsi="Times New Roman" w:cs="Times New Roman"/>
        </w:rPr>
        <w:t xml:space="preserve"> je mimo jiné skrytou příčinou tzv. nevysvětlitelných pádů.</w:t>
      </w:r>
    </w:p>
    <w:p w:rsidR="00F8123D" w:rsidRPr="00F8123D" w:rsidRDefault="00F8123D" w:rsidP="00F8123D">
      <w:pPr>
        <w:pStyle w:val="Zkladntext2"/>
        <w:spacing w:line="360" w:lineRule="auto"/>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Pr>
          <w:rFonts w:ascii="Times New Roman" w:hAnsi="Times New Roman" w:cs="Times New Roman"/>
        </w:rPr>
        <w:lastRenderedPageBreak/>
        <w:t xml:space="preserve">Insuficience </w:t>
      </w:r>
      <w:r w:rsidRPr="00F8123D">
        <w:rPr>
          <w:rFonts w:ascii="Times New Roman" w:hAnsi="Times New Roman" w:cs="Times New Roman"/>
        </w:rPr>
        <w:t>nitrosvalového</w:t>
      </w:r>
      <w:r>
        <w:rPr>
          <w:rFonts w:ascii="Times New Roman" w:hAnsi="Times New Roman" w:cs="Times New Roman"/>
        </w:rPr>
        <w:t xml:space="preserve"> </w:t>
      </w:r>
      <w:proofErr w:type="spellStart"/>
      <w:r>
        <w:rPr>
          <w:rFonts w:ascii="Times New Roman" w:hAnsi="Times New Roman" w:cs="Times New Roman"/>
        </w:rPr>
        <w:t>stromatu</w:t>
      </w:r>
      <w:proofErr w:type="spellEnd"/>
      <w:r>
        <w:rPr>
          <w:rFonts w:ascii="Times New Roman" w:hAnsi="Times New Roman" w:cs="Times New Roman"/>
        </w:rPr>
        <w:t xml:space="preserve"> se podílí na celkové </w:t>
      </w:r>
      <w:r w:rsidRPr="00F8123D">
        <w:rPr>
          <w:rFonts w:ascii="Times New Roman" w:hAnsi="Times New Roman" w:cs="Times New Roman"/>
        </w:rPr>
        <w:t xml:space="preserve">svalové hypotonii se sníženou </w:t>
      </w:r>
      <w:proofErr w:type="spellStart"/>
      <w:r w:rsidRPr="00F8123D">
        <w:rPr>
          <w:rFonts w:ascii="Times New Roman" w:hAnsi="Times New Roman" w:cs="Times New Roman"/>
        </w:rPr>
        <w:t>viskoelasticitou</w:t>
      </w:r>
      <w:proofErr w:type="spellEnd"/>
      <w:r w:rsidRPr="00F8123D">
        <w:rPr>
          <w:rFonts w:ascii="Times New Roman" w:hAnsi="Times New Roman" w:cs="Times New Roman"/>
        </w:rPr>
        <w:t>. Posilovací cvičení správně indikované pro zvýšení svalové síly nevede k hypertrofii, která by odpovídala</w:t>
      </w:r>
      <w:r>
        <w:rPr>
          <w:rFonts w:ascii="Times New Roman" w:hAnsi="Times New Roman" w:cs="Times New Roman"/>
        </w:rPr>
        <w:t xml:space="preserve"> vynaložené námaze.  Relativně </w:t>
      </w:r>
      <w:r w:rsidRPr="00F8123D">
        <w:rPr>
          <w:rFonts w:ascii="Times New Roman" w:hAnsi="Times New Roman" w:cs="Times New Roman"/>
        </w:rPr>
        <w:t xml:space="preserve">nízká svalová síla vede k snadnému přetížení svalů, což se projeví vznikem bolestivých spoušťových bodů a úponových bolestí typu </w:t>
      </w:r>
      <w:proofErr w:type="spellStart"/>
      <w:r w:rsidRPr="00F8123D">
        <w:rPr>
          <w:rFonts w:ascii="Times New Roman" w:hAnsi="Times New Roman" w:cs="Times New Roman"/>
        </w:rPr>
        <w:t>tend</w:t>
      </w:r>
      <w:r>
        <w:rPr>
          <w:rFonts w:ascii="Times New Roman" w:hAnsi="Times New Roman" w:cs="Times New Roman"/>
        </w:rPr>
        <w:t>omyos</w:t>
      </w:r>
      <w:proofErr w:type="spellEnd"/>
      <w:r>
        <w:rPr>
          <w:rFonts w:ascii="Times New Roman" w:hAnsi="Times New Roman" w:cs="Times New Roman"/>
        </w:rPr>
        <w:t xml:space="preserve"> nebo </w:t>
      </w:r>
      <w:proofErr w:type="spellStart"/>
      <w:r>
        <w:rPr>
          <w:rFonts w:ascii="Times New Roman" w:hAnsi="Times New Roman" w:cs="Times New Roman"/>
        </w:rPr>
        <w:t>entesopatií</w:t>
      </w:r>
      <w:proofErr w:type="spellEnd"/>
      <w:r>
        <w:rPr>
          <w:rFonts w:ascii="Times New Roman" w:hAnsi="Times New Roman" w:cs="Times New Roman"/>
        </w:rPr>
        <w:t xml:space="preserve">. Rovněž </w:t>
      </w:r>
      <w:r w:rsidRPr="00F8123D">
        <w:rPr>
          <w:rFonts w:ascii="Times New Roman" w:hAnsi="Times New Roman" w:cs="Times New Roman"/>
        </w:rPr>
        <w:t>výskyt bolestivých spoušťových bodů ve svalech (</w:t>
      </w:r>
      <w:proofErr w:type="spellStart"/>
      <w:r w:rsidRPr="00F8123D">
        <w:rPr>
          <w:rFonts w:ascii="Times New Roman" w:hAnsi="Times New Roman" w:cs="Times New Roman"/>
        </w:rPr>
        <w:t>trigger</w:t>
      </w:r>
      <w:proofErr w:type="spellEnd"/>
      <w:r w:rsidRPr="00F8123D">
        <w:rPr>
          <w:rFonts w:ascii="Times New Roman" w:hAnsi="Times New Roman" w:cs="Times New Roman"/>
        </w:rPr>
        <w:t xml:space="preserve"> </w:t>
      </w:r>
      <w:proofErr w:type="spellStart"/>
      <w:r w:rsidRPr="00F8123D">
        <w:rPr>
          <w:rFonts w:ascii="Times New Roman" w:hAnsi="Times New Roman" w:cs="Times New Roman"/>
        </w:rPr>
        <w:t>points</w:t>
      </w:r>
      <w:proofErr w:type="spellEnd"/>
      <w:r w:rsidRPr="00F8123D">
        <w:rPr>
          <w:rFonts w:ascii="Times New Roman" w:hAnsi="Times New Roman" w:cs="Times New Roman"/>
        </w:rPr>
        <w:t xml:space="preserve">) je relativně </w:t>
      </w:r>
      <w:proofErr w:type="gramStart"/>
      <w:r w:rsidRPr="00F8123D">
        <w:rPr>
          <w:rFonts w:ascii="Times New Roman" w:hAnsi="Times New Roman" w:cs="Times New Roman"/>
        </w:rPr>
        <w:t>častější  podobně</w:t>
      </w:r>
      <w:proofErr w:type="gramEnd"/>
      <w:r w:rsidRPr="00F8123D">
        <w:rPr>
          <w:rFonts w:ascii="Times New Roman" w:hAnsi="Times New Roman" w:cs="Times New Roman"/>
        </w:rPr>
        <w:t xml:space="preserve"> </w:t>
      </w:r>
      <w:r>
        <w:rPr>
          <w:rFonts w:ascii="Times New Roman" w:hAnsi="Times New Roman" w:cs="Times New Roman"/>
        </w:rPr>
        <w:t xml:space="preserve"> </w:t>
      </w:r>
      <w:r w:rsidRPr="00F8123D">
        <w:rPr>
          <w:rFonts w:ascii="Times New Roman" w:hAnsi="Times New Roman" w:cs="Times New Roman"/>
        </w:rPr>
        <w:t>jako svalové bolesti z přetížení.</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 xml:space="preserve">Konstitucionální </w:t>
      </w:r>
      <w:proofErr w:type="spellStart"/>
      <w:r w:rsidRPr="00F8123D">
        <w:rPr>
          <w:rFonts w:ascii="Times New Roman" w:hAnsi="Times New Roman" w:cs="Times New Roman"/>
        </w:rPr>
        <w:t>hypermobilita</w:t>
      </w:r>
      <w:proofErr w:type="spellEnd"/>
      <w:r w:rsidRPr="00F8123D">
        <w:rPr>
          <w:rFonts w:ascii="Times New Roman" w:hAnsi="Times New Roman" w:cs="Times New Roman"/>
        </w:rPr>
        <w:t xml:space="preserve"> je častější u žen a postihuje až 40% ženské populace. Je výraznější u mladých dívek, s postupujícím věkem se stává méně nápadnou, kol</w:t>
      </w:r>
      <w:r>
        <w:rPr>
          <w:rFonts w:ascii="Times New Roman" w:hAnsi="Times New Roman" w:cs="Times New Roman"/>
        </w:rPr>
        <w:t xml:space="preserve">em 40 let věku zůstává stabilní </w:t>
      </w:r>
      <w:r w:rsidRPr="00F8123D">
        <w:rPr>
          <w:rFonts w:ascii="Times New Roman" w:hAnsi="Times New Roman" w:cs="Times New Roman"/>
        </w:rPr>
        <w:t>a později se naopak zmenšuje.</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proofErr w:type="spellStart"/>
      <w:r w:rsidRPr="00F8123D">
        <w:rPr>
          <w:rFonts w:ascii="Times New Roman" w:hAnsi="Times New Roman" w:cs="Times New Roman"/>
        </w:rPr>
        <w:t>Hypermobilita</w:t>
      </w:r>
      <w:proofErr w:type="spellEnd"/>
      <w:r w:rsidRPr="00F8123D">
        <w:rPr>
          <w:rFonts w:ascii="Times New Roman" w:hAnsi="Times New Roman" w:cs="Times New Roman"/>
        </w:rPr>
        <w:t xml:space="preserve"> je symetrická nebo skoro symetrická co do </w:t>
      </w:r>
      <w:proofErr w:type="spellStart"/>
      <w:r w:rsidRPr="00F8123D">
        <w:rPr>
          <w:rFonts w:ascii="Times New Roman" w:hAnsi="Times New Roman" w:cs="Times New Roman"/>
        </w:rPr>
        <w:t>lateralisace</w:t>
      </w:r>
      <w:proofErr w:type="spellEnd"/>
      <w:r w:rsidRPr="00F8123D">
        <w:rPr>
          <w:rFonts w:ascii="Times New Roman" w:hAnsi="Times New Roman" w:cs="Times New Roman"/>
        </w:rPr>
        <w:t>, může však být více vyjádřená v dolní nebo horní polovině tě</w:t>
      </w:r>
      <w:r>
        <w:rPr>
          <w:rFonts w:ascii="Times New Roman" w:hAnsi="Times New Roman" w:cs="Times New Roman"/>
        </w:rPr>
        <w:t xml:space="preserve">la. Výraznější symptomatologie na horní polovině těla </w:t>
      </w:r>
      <w:r w:rsidRPr="00F8123D">
        <w:rPr>
          <w:rFonts w:ascii="Times New Roman" w:hAnsi="Times New Roman" w:cs="Times New Roman"/>
        </w:rPr>
        <w:t>je častější.</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Pr>
          <w:rFonts w:ascii="Times New Roman" w:hAnsi="Times New Roman" w:cs="Times New Roman"/>
        </w:rPr>
        <w:t xml:space="preserve">Poněvadž </w:t>
      </w:r>
      <w:r w:rsidRPr="00F8123D">
        <w:rPr>
          <w:rFonts w:ascii="Times New Roman" w:hAnsi="Times New Roman" w:cs="Times New Roman"/>
        </w:rPr>
        <w:t>děti mají</w:t>
      </w:r>
      <w:r>
        <w:rPr>
          <w:rFonts w:ascii="Times New Roman" w:hAnsi="Times New Roman" w:cs="Times New Roman"/>
        </w:rPr>
        <w:t xml:space="preserve"> obecně nižší tonus a poněvadž neexistují normy </w:t>
      </w:r>
      <w:r w:rsidRPr="00F8123D">
        <w:rPr>
          <w:rFonts w:ascii="Times New Roman" w:hAnsi="Times New Roman" w:cs="Times New Roman"/>
        </w:rPr>
        <w:t xml:space="preserve">kvality svalového </w:t>
      </w:r>
      <w:proofErr w:type="spellStart"/>
      <w:r w:rsidRPr="00F8123D">
        <w:rPr>
          <w:rFonts w:ascii="Times New Roman" w:hAnsi="Times New Roman" w:cs="Times New Roman"/>
        </w:rPr>
        <w:t>tonusu</w:t>
      </w:r>
      <w:proofErr w:type="spellEnd"/>
      <w:r w:rsidRPr="00F8123D">
        <w:rPr>
          <w:rFonts w:ascii="Times New Roman" w:hAnsi="Times New Roman" w:cs="Times New Roman"/>
        </w:rPr>
        <w:t>, je určení hranice mezi ideálním stavem a hypotonií obtížné a do puberty sporné.</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 xml:space="preserve">Diagnosa </w:t>
      </w:r>
      <w:proofErr w:type="spellStart"/>
      <w:r w:rsidRPr="00F8123D">
        <w:rPr>
          <w:rFonts w:ascii="Times New Roman" w:hAnsi="Times New Roman" w:cs="Times New Roman"/>
        </w:rPr>
        <w:t>hypermobility</w:t>
      </w:r>
      <w:proofErr w:type="spellEnd"/>
      <w:r w:rsidRPr="00F8123D">
        <w:rPr>
          <w:rFonts w:ascii="Times New Roman" w:hAnsi="Times New Roman" w:cs="Times New Roman"/>
        </w:rPr>
        <w:t xml:space="preserve"> je relativně jednoduchá, i když hraniční případy většinou uniknou.  Kůže bývá jemná s volným podkožím, takže lze snadno vytvořit kožní řasu.</w:t>
      </w:r>
    </w:p>
    <w:p w:rsidR="00F8123D" w:rsidRDefault="00F8123D" w:rsidP="00F8123D">
      <w:pPr>
        <w:pStyle w:val="Zkladntext2"/>
        <w:spacing w:line="360" w:lineRule="auto"/>
        <w:ind w:left="0"/>
        <w:jc w:val="both"/>
      </w:pPr>
      <w:r w:rsidRPr="00F8123D">
        <w:rPr>
          <w:rFonts w:ascii="Times New Roman" w:hAnsi="Times New Roman" w:cs="Times New Roman"/>
        </w:rPr>
        <w:t xml:space="preserve">Pro určení rozsahu kloubní pohyblivosti slouží goniometrie (pro tyto účely v praxi málo používaná pro časovou náročnost) nebo komplexní pohybové testy. Pro oblast dolní poloviny těla je to především </w:t>
      </w:r>
      <w:proofErr w:type="spellStart"/>
      <w:r w:rsidRPr="00F8123D">
        <w:rPr>
          <w:rFonts w:ascii="Times New Roman" w:hAnsi="Times New Roman" w:cs="Times New Roman"/>
          <w:i/>
          <w:iCs/>
        </w:rPr>
        <w:t>Thomayerova</w:t>
      </w:r>
      <w:proofErr w:type="spellEnd"/>
      <w:r w:rsidRPr="00F8123D">
        <w:rPr>
          <w:rFonts w:ascii="Times New Roman" w:hAnsi="Times New Roman" w:cs="Times New Roman"/>
          <w:i/>
          <w:iCs/>
        </w:rPr>
        <w:t xml:space="preserve"> zkouška předklonu</w:t>
      </w:r>
      <w:r w:rsidRPr="00F8123D">
        <w:rPr>
          <w:rFonts w:ascii="Times New Roman" w:hAnsi="Times New Roman" w:cs="Times New Roman"/>
        </w:rPr>
        <w:t xml:space="preserve"> při plně </w:t>
      </w:r>
      <w:proofErr w:type="spellStart"/>
      <w:r w:rsidRPr="00F8123D">
        <w:rPr>
          <w:rFonts w:ascii="Times New Roman" w:hAnsi="Times New Roman" w:cs="Times New Roman"/>
        </w:rPr>
        <w:t>extendovaných</w:t>
      </w:r>
      <w:proofErr w:type="spellEnd"/>
      <w:r w:rsidRPr="00F8123D">
        <w:rPr>
          <w:rFonts w:ascii="Times New Roman" w:hAnsi="Times New Roman" w:cs="Times New Roman"/>
        </w:rPr>
        <w:t xml:space="preserve"> kolenních kloubech. Normálně dospělý jedinec má být schopen se při maximálním předklonu dotknout špičkami prstů ruky podlahy. </w:t>
      </w:r>
      <w:proofErr w:type="spellStart"/>
      <w:r w:rsidRPr="00F8123D">
        <w:rPr>
          <w:rFonts w:ascii="Times New Roman" w:hAnsi="Times New Roman" w:cs="Times New Roman"/>
        </w:rPr>
        <w:t>Hypermobilní</w:t>
      </w:r>
      <w:proofErr w:type="spellEnd"/>
      <w:r w:rsidRPr="00F8123D">
        <w:rPr>
          <w:rFonts w:ascii="Times New Roman" w:hAnsi="Times New Roman" w:cs="Times New Roman"/>
        </w:rPr>
        <w:t xml:space="preserve"> jedinec může položit až celé dlaně na podlahu.  </w:t>
      </w:r>
      <w:r w:rsidRPr="00F8123D">
        <w:rPr>
          <w:rFonts w:ascii="Times New Roman" w:hAnsi="Times New Roman" w:cs="Times New Roman"/>
          <w:i/>
          <w:iCs/>
        </w:rPr>
        <w:t>Zkouška pasivní elevace dolní končetiny</w:t>
      </w:r>
      <w:r w:rsidRPr="00F8123D">
        <w:rPr>
          <w:rFonts w:ascii="Times New Roman" w:hAnsi="Times New Roman" w:cs="Times New Roman"/>
        </w:rPr>
        <w:t xml:space="preserve"> vleže na zádech je analogická </w:t>
      </w:r>
      <w:proofErr w:type="spellStart"/>
      <w:r w:rsidRPr="00F8123D">
        <w:rPr>
          <w:rFonts w:ascii="Times New Roman" w:hAnsi="Times New Roman" w:cs="Times New Roman"/>
        </w:rPr>
        <w:t>Lasegueově</w:t>
      </w:r>
      <w:proofErr w:type="spellEnd"/>
      <w:r w:rsidRPr="00F8123D">
        <w:rPr>
          <w:rFonts w:ascii="Times New Roman" w:hAnsi="Times New Roman" w:cs="Times New Roman"/>
        </w:rPr>
        <w:t xml:space="preserve"> zkoušce. Normální rozsah elevace se pohybuje mezi 80-90st  flexe v kyčelním kloubu bez souhybu pánve. U </w:t>
      </w:r>
      <w:proofErr w:type="spellStart"/>
      <w:r w:rsidRPr="00F8123D">
        <w:rPr>
          <w:rFonts w:ascii="Times New Roman" w:hAnsi="Times New Roman" w:cs="Times New Roman"/>
        </w:rPr>
        <w:t>hypermobilních</w:t>
      </w:r>
      <w:proofErr w:type="spellEnd"/>
      <w:r w:rsidRPr="00F8123D">
        <w:rPr>
          <w:rFonts w:ascii="Times New Roman" w:hAnsi="Times New Roman" w:cs="Times New Roman"/>
        </w:rPr>
        <w:t xml:space="preserve"> je rozsah</w:t>
      </w:r>
      <w:r>
        <w:t xml:space="preserve"> 100 </w:t>
      </w:r>
      <w:proofErr w:type="spellStart"/>
      <w:r>
        <w:t>st</w:t>
      </w:r>
      <w:proofErr w:type="spellEnd"/>
      <w:r>
        <w:t xml:space="preserve"> i více.</w:t>
      </w: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 xml:space="preserve">V oblasti horní poloviny těla je to např. zvýšený rozsah pasivně provedené </w:t>
      </w:r>
      <w:r w:rsidRPr="00F8123D">
        <w:rPr>
          <w:rFonts w:ascii="Times New Roman" w:hAnsi="Times New Roman" w:cs="Times New Roman"/>
          <w:i/>
          <w:iCs/>
        </w:rPr>
        <w:t>extense</w:t>
      </w:r>
      <w:r w:rsidRPr="00F8123D">
        <w:rPr>
          <w:rFonts w:ascii="Times New Roman" w:hAnsi="Times New Roman" w:cs="Times New Roman"/>
        </w:rPr>
        <w:t xml:space="preserve"> </w:t>
      </w:r>
      <w:r w:rsidRPr="00F8123D">
        <w:rPr>
          <w:rFonts w:ascii="Times New Roman" w:hAnsi="Times New Roman" w:cs="Times New Roman"/>
          <w:i/>
          <w:iCs/>
        </w:rPr>
        <w:t xml:space="preserve">palce </w:t>
      </w:r>
      <w:r w:rsidRPr="00F8123D">
        <w:rPr>
          <w:rFonts w:ascii="Times New Roman" w:hAnsi="Times New Roman" w:cs="Times New Roman"/>
        </w:rPr>
        <w:t xml:space="preserve">nebo </w:t>
      </w:r>
      <w:r w:rsidRPr="00F8123D">
        <w:rPr>
          <w:rFonts w:ascii="Times New Roman" w:hAnsi="Times New Roman" w:cs="Times New Roman"/>
          <w:i/>
          <w:iCs/>
        </w:rPr>
        <w:t>příznak sepjetí rukou</w:t>
      </w:r>
      <w:r w:rsidRPr="00F8123D">
        <w:rPr>
          <w:rFonts w:ascii="Times New Roman" w:hAnsi="Times New Roman" w:cs="Times New Roman"/>
        </w:rPr>
        <w:t xml:space="preserve">, kdy při přitlačení planí proti sobě normální jedinec dosáhne 90st. extense v zápěstí, </w:t>
      </w:r>
      <w:proofErr w:type="spellStart"/>
      <w:r w:rsidRPr="00F8123D">
        <w:rPr>
          <w:rFonts w:ascii="Times New Roman" w:hAnsi="Times New Roman" w:cs="Times New Roman"/>
        </w:rPr>
        <w:t>hypermobilní</w:t>
      </w:r>
      <w:proofErr w:type="spellEnd"/>
      <w:r w:rsidRPr="00F8123D">
        <w:rPr>
          <w:rFonts w:ascii="Times New Roman" w:hAnsi="Times New Roman" w:cs="Times New Roman"/>
        </w:rPr>
        <w:t xml:space="preserve"> 100 st. i více</w:t>
      </w:r>
      <w:r w:rsidRPr="00F8123D">
        <w:rPr>
          <w:rFonts w:ascii="Times New Roman" w:hAnsi="Times New Roman" w:cs="Times New Roman"/>
          <w:i/>
          <w:iCs/>
        </w:rPr>
        <w:t>. Příznak šály</w:t>
      </w:r>
      <w:r w:rsidRPr="00F8123D">
        <w:rPr>
          <w:rFonts w:ascii="Times New Roman" w:hAnsi="Times New Roman" w:cs="Times New Roman"/>
        </w:rPr>
        <w:t xml:space="preserve"> (při </w:t>
      </w:r>
      <w:proofErr w:type="spellStart"/>
      <w:r w:rsidRPr="00F8123D">
        <w:rPr>
          <w:rFonts w:ascii="Times New Roman" w:hAnsi="Times New Roman" w:cs="Times New Roman"/>
        </w:rPr>
        <w:t>obejmutí</w:t>
      </w:r>
      <w:proofErr w:type="spellEnd"/>
      <w:r w:rsidRPr="00F8123D">
        <w:rPr>
          <w:rFonts w:ascii="Times New Roman" w:hAnsi="Times New Roman" w:cs="Times New Roman"/>
        </w:rPr>
        <w:t xml:space="preserve"> šíje jednou paží jedinec n</w:t>
      </w:r>
      <w:r>
        <w:rPr>
          <w:rFonts w:ascii="Times New Roman" w:hAnsi="Times New Roman" w:cs="Times New Roman"/>
        </w:rPr>
        <w:t xml:space="preserve">ormálně dosáhne špičkami prstů </w:t>
      </w:r>
      <w:r w:rsidRPr="00F8123D">
        <w:rPr>
          <w:rFonts w:ascii="Times New Roman" w:hAnsi="Times New Roman" w:cs="Times New Roman"/>
        </w:rPr>
        <w:t xml:space="preserve">na trnové výběžky krční páteře,  </w:t>
      </w:r>
      <w:proofErr w:type="spellStart"/>
      <w:r w:rsidRPr="00F8123D">
        <w:rPr>
          <w:rFonts w:ascii="Times New Roman" w:hAnsi="Times New Roman" w:cs="Times New Roman"/>
        </w:rPr>
        <w:t>hypermobilní</w:t>
      </w:r>
      <w:proofErr w:type="spellEnd"/>
      <w:r w:rsidRPr="00F8123D">
        <w:rPr>
          <w:rFonts w:ascii="Times New Roman" w:hAnsi="Times New Roman" w:cs="Times New Roman"/>
        </w:rPr>
        <w:t xml:space="preserve"> přesáhne prsty střední čáru až o délku celé dlaně.  Testů je celá řada, pro orientaci tyto základní postačí</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Kausální terapie není známa. Jedinou možností je systematická pohybová výchova s posilováním svalstva, i když svalový volum nikdy nedosáhne stupně, který by odpovídal vy</w:t>
      </w:r>
      <w:r>
        <w:rPr>
          <w:rFonts w:ascii="Times New Roman" w:hAnsi="Times New Roman" w:cs="Times New Roman"/>
        </w:rPr>
        <w:t xml:space="preserve">naloženému úsilí. Přitom platí </w:t>
      </w:r>
      <w:r w:rsidRPr="00F8123D">
        <w:rPr>
          <w:rFonts w:ascii="Times New Roman" w:hAnsi="Times New Roman" w:cs="Times New Roman"/>
        </w:rPr>
        <w:t>zásada, že pohybová pestrost a respektování přirozeného pohybu jsou obecně rozumnější než jakkoliv sofistikovaně vymyšlené cvičební soustavy nebo systémy.  Cvičení odporová j</w:t>
      </w:r>
      <w:r>
        <w:rPr>
          <w:rFonts w:ascii="Times New Roman" w:hAnsi="Times New Roman" w:cs="Times New Roman"/>
        </w:rPr>
        <w:t xml:space="preserve">sou indikována v rozumné míře, </w:t>
      </w:r>
      <w:r w:rsidRPr="00F8123D">
        <w:rPr>
          <w:rFonts w:ascii="Times New Roman" w:hAnsi="Times New Roman" w:cs="Times New Roman"/>
        </w:rPr>
        <w:t>provád</w:t>
      </w:r>
      <w:r>
        <w:rPr>
          <w:rFonts w:ascii="Times New Roman" w:hAnsi="Times New Roman" w:cs="Times New Roman"/>
        </w:rPr>
        <w:t xml:space="preserve">ěná jen do lehké únavy. Obecně by měla být spíše zaměřena </w:t>
      </w:r>
      <w:r w:rsidRPr="00F8123D">
        <w:rPr>
          <w:rFonts w:ascii="Times New Roman" w:hAnsi="Times New Roman" w:cs="Times New Roman"/>
        </w:rPr>
        <w:t xml:space="preserve">vytrvalostně. Než použití činek je vhodnější odpor, </w:t>
      </w:r>
      <w:r>
        <w:rPr>
          <w:rFonts w:ascii="Times New Roman" w:hAnsi="Times New Roman" w:cs="Times New Roman"/>
        </w:rPr>
        <w:t xml:space="preserve">kladený pomocí </w:t>
      </w:r>
      <w:r w:rsidRPr="00F8123D">
        <w:rPr>
          <w:rFonts w:ascii="Times New Roman" w:hAnsi="Times New Roman" w:cs="Times New Roman"/>
        </w:rPr>
        <w:t xml:space="preserve">pružin nebo ještě lépe elastického materiálu, zvláště takového, který klade více méně konstantní odpor během celého rozsahu prováděného pohybu, jako je např. </w:t>
      </w:r>
      <w:proofErr w:type="spellStart"/>
      <w:r w:rsidRPr="00F8123D">
        <w:rPr>
          <w:rFonts w:ascii="Times New Roman" w:hAnsi="Times New Roman" w:cs="Times New Roman"/>
        </w:rPr>
        <w:t>Theraband</w:t>
      </w:r>
      <w:proofErr w:type="spellEnd"/>
      <w:r w:rsidRPr="00F8123D">
        <w:rPr>
          <w:rFonts w:ascii="Times New Roman" w:hAnsi="Times New Roman" w:cs="Times New Roman"/>
        </w:rPr>
        <w:t xml:space="preserve">. </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 xml:space="preserve">Švihové cviky a sporty, které </w:t>
      </w:r>
      <w:proofErr w:type="gramStart"/>
      <w:r w:rsidRPr="00F8123D">
        <w:rPr>
          <w:rFonts w:ascii="Times New Roman" w:hAnsi="Times New Roman" w:cs="Times New Roman"/>
        </w:rPr>
        <w:t>zvětšují</w:t>
      </w:r>
      <w:proofErr w:type="gramEnd"/>
      <w:r w:rsidRPr="00F8123D">
        <w:rPr>
          <w:rFonts w:ascii="Times New Roman" w:hAnsi="Times New Roman" w:cs="Times New Roman"/>
        </w:rPr>
        <w:t xml:space="preserve"> rozsah pohybu </w:t>
      </w:r>
      <w:proofErr w:type="gramStart"/>
      <w:r w:rsidRPr="00F8123D">
        <w:rPr>
          <w:rFonts w:ascii="Times New Roman" w:hAnsi="Times New Roman" w:cs="Times New Roman"/>
        </w:rPr>
        <w:t>j</w:t>
      </w:r>
      <w:r>
        <w:rPr>
          <w:rFonts w:ascii="Times New Roman" w:hAnsi="Times New Roman" w:cs="Times New Roman"/>
        </w:rPr>
        <w:t>sou</w:t>
      </w:r>
      <w:proofErr w:type="gramEnd"/>
      <w:r>
        <w:rPr>
          <w:rFonts w:ascii="Times New Roman" w:hAnsi="Times New Roman" w:cs="Times New Roman"/>
        </w:rPr>
        <w:t xml:space="preserve"> v zásadě kontraindikovány (</w:t>
      </w:r>
      <w:r w:rsidRPr="00F8123D">
        <w:rPr>
          <w:rFonts w:ascii="Times New Roman" w:hAnsi="Times New Roman" w:cs="Times New Roman"/>
        </w:rPr>
        <w:t>balet, umělecká gymnastika, ale i aerobik), což platí zvláště pro dívky v kritickém věku kolem puberty. Vytahovací resp. protahovací cvik</w:t>
      </w:r>
      <w:r>
        <w:rPr>
          <w:rFonts w:ascii="Times New Roman" w:hAnsi="Times New Roman" w:cs="Times New Roman"/>
        </w:rPr>
        <w:t xml:space="preserve">y jsou obecně </w:t>
      </w:r>
      <w:proofErr w:type="gramStart"/>
      <w:r>
        <w:rPr>
          <w:rFonts w:ascii="Times New Roman" w:hAnsi="Times New Roman" w:cs="Times New Roman"/>
        </w:rPr>
        <w:t xml:space="preserve">kontraindikovány </w:t>
      </w:r>
      <w:r w:rsidRPr="00F8123D">
        <w:rPr>
          <w:rFonts w:ascii="Times New Roman" w:hAnsi="Times New Roman" w:cs="Times New Roman"/>
        </w:rPr>
        <w:t>a  jejich</w:t>
      </w:r>
      <w:proofErr w:type="gramEnd"/>
      <w:r w:rsidRPr="00F8123D">
        <w:rPr>
          <w:rFonts w:ascii="Times New Roman" w:hAnsi="Times New Roman" w:cs="Times New Roman"/>
        </w:rPr>
        <w:t xml:space="preserve"> aplikace v případě potřeby by měla být určena specialistou.</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Pr>
          <w:rFonts w:ascii="Times New Roman" w:hAnsi="Times New Roman" w:cs="Times New Roman"/>
        </w:rPr>
        <w:t xml:space="preserve">Léky, </w:t>
      </w:r>
      <w:r w:rsidRPr="00F8123D">
        <w:rPr>
          <w:rFonts w:ascii="Times New Roman" w:hAnsi="Times New Roman" w:cs="Times New Roman"/>
        </w:rPr>
        <w:t>snižují</w:t>
      </w:r>
      <w:r>
        <w:rPr>
          <w:rFonts w:ascii="Times New Roman" w:hAnsi="Times New Roman" w:cs="Times New Roman"/>
        </w:rPr>
        <w:t xml:space="preserve">cí svalový tonus, jsou obecně </w:t>
      </w:r>
      <w:r w:rsidRPr="00F8123D">
        <w:rPr>
          <w:rFonts w:ascii="Times New Roman" w:hAnsi="Times New Roman" w:cs="Times New Roman"/>
        </w:rPr>
        <w:t>kontraindikovány. To pl</w:t>
      </w:r>
      <w:r>
        <w:rPr>
          <w:rFonts w:ascii="Times New Roman" w:hAnsi="Times New Roman" w:cs="Times New Roman"/>
        </w:rPr>
        <w:t xml:space="preserve">atí zejména pro </w:t>
      </w:r>
      <w:proofErr w:type="spellStart"/>
      <w:r>
        <w:rPr>
          <w:rFonts w:ascii="Times New Roman" w:hAnsi="Times New Roman" w:cs="Times New Roman"/>
        </w:rPr>
        <w:t>myorelaxantia</w:t>
      </w:r>
      <w:proofErr w:type="spellEnd"/>
      <w:r>
        <w:rPr>
          <w:rFonts w:ascii="Times New Roman" w:hAnsi="Times New Roman" w:cs="Times New Roman"/>
        </w:rPr>
        <w:t xml:space="preserve">, </w:t>
      </w:r>
      <w:r w:rsidRPr="00F8123D">
        <w:rPr>
          <w:rFonts w:ascii="Times New Roman" w:hAnsi="Times New Roman" w:cs="Times New Roman"/>
        </w:rPr>
        <w:t>která jsou v našic</w:t>
      </w:r>
      <w:r>
        <w:rPr>
          <w:rFonts w:ascii="Times New Roman" w:hAnsi="Times New Roman" w:cs="Times New Roman"/>
        </w:rPr>
        <w:t xml:space="preserve">h poměrech v absolutní většině </w:t>
      </w:r>
      <w:r w:rsidRPr="00F8123D">
        <w:rPr>
          <w:rFonts w:ascii="Times New Roman" w:hAnsi="Times New Roman" w:cs="Times New Roman"/>
        </w:rPr>
        <w:t xml:space="preserve">předepisována při bolestivých stavech hybného systému téměř rutinně.  Jejich indikace je velmi omezena (i časově) a u </w:t>
      </w:r>
      <w:proofErr w:type="spellStart"/>
      <w:r w:rsidRPr="00F8123D">
        <w:rPr>
          <w:rFonts w:ascii="Times New Roman" w:hAnsi="Times New Roman" w:cs="Times New Roman"/>
        </w:rPr>
        <w:t>hypermobilních</w:t>
      </w:r>
      <w:proofErr w:type="spellEnd"/>
      <w:r w:rsidRPr="00F8123D">
        <w:rPr>
          <w:rFonts w:ascii="Times New Roman" w:hAnsi="Times New Roman" w:cs="Times New Roman"/>
        </w:rPr>
        <w:t xml:space="preserve"> jedinců prakticky zcela kontraindikována. Málo se bere v úvahu, že antidepresiva snižují svalový tonus a tím zvětšují </w:t>
      </w:r>
      <w:proofErr w:type="spellStart"/>
      <w:r w:rsidRPr="00F8123D">
        <w:rPr>
          <w:rFonts w:ascii="Times New Roman" w:hAnsi="Times New Roman" w:cs="Times New Roman"/>
        </w:rPr>
        <w:t>hypermobilitu</w:t>
      </w:r>
      <w:proofErr w:type="spellEnd"/>
      <w:r w:rsidRPr="00F8123D">
        <w:rPr>
          <w:rFonts w:ascii="Times New Roman" w:hAnsi="Times New Roman" w:cs="Times New Roman"/>
        </w:rPr>
        <w:t xml:space="preserve">. Nesteroidní </w:t>
      </w:r>
      <w:proofErr w:type="spellStart"/>
      <w:r w:rsidRPr="00F8123D">
        <w:rPr>
          <w:rFonts w:ascii="Times New Roman" w:hAnsi="Times New Roman" w:cs="Times New Roman"/>
        </w:rPr>
        <w:t>antireumatika</w:t>
      </w:r>
      <w:proofErr w:type="spellEnd"/>
      <w:r w:rsidRPr="00F8123D">
        <w:rPr>
          <w:rFonts w:ascii="Times New Roman" w:hAnsi="Times New Roman" w:cs="Times New Roman"/>
        </w:rPr>
        <w:t xml:space="preserve">  snižují svalový tonus sice málo, avšak u </w:t>
      </w:r>
      <w:proofErr w:type="spellStart"/>
      <w:r w:rsidRPr="00F8123D">
        <w:rPr>
          <w:rFonts w:ascii="Times New Roman" w:hAnsi="Times New Roman" w:cs="Times New Roman"/>
        </w:rPr>
        <w:t>hypermobilních</w:t>
      </w:r>
      <w:proofErr w:type="spellEnd"/>
      <w:r w:rsidRPr="00F8123D">
        <w:rPr>
          <w:rFonts w:ascii="Times New Roman" w:hAnsi="Times New Roman" w:cs="Times New Roman"/>
        </w:rPr>
        <w:t xml:space="preserve"> jedinců i malé snížení může nepříznivě ovlivnit celkový stav. Tyto skutečnosti je třeba mít na paměti i u hypotonií jiné etiologie, jako jsou např. periferní paresy nebo myopatie., </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Výběr cviků má respektovat zásady p</w:t>
      </w:r>
      <w:r>
        <w:rPr>
          <w:rFonts w:ascii="Times New Roman" w:hAnsi="Times New Roman" w:cs="Times New Roman"/>
        </w:rPr>
        <w:t xml:space="preserve">revence </w:t>
      </w:r>
      <w:r w:rsidRPr="00F8123D">
        <w:rPr>
          <w:rFonts w:ascii="Times New Roman" w:hAnsi="Times New Roman" w:cs="Times New Roman"/>
        </w:rPr>
        <w:t xml:space="preserve">svalové </w:t>
      </w:r>
      <w:proofErr w:type="spellStart"/>
      <w:r w:rsidRPr="00F8123D">
        <w:rPr>
          <w:rFonts w:ascii="Times New Roman" w:hAnsi="Times New Roman" w:cs="Times New Roman"/>
        </w:rPr>
        <w:t>dysbalance</w:t>
      </w:r>
      <w:proofErr w:type="spellEnd"/>
      <w:r w:rsidRPr="00F8123D">
        <w:rPr>
          <w:rFonts w:ascii="Times New Roman" w:hAnsi="Times New Roman" w:cs="Times New Roman"/>
        </w:rPr>
        <w:t>. Z pracovního hlediska je třeba častěji měnit polohu, nesetrvávat dlouho</w:t>
      </w:r>
      <w:r>
        <w:rPr>
          <w:rFonts w:ascii="Times New Roman" w:hAnsi="Times New Roman" w:cs="Times New Roman"/>
        </w:rPr>
        <w:t xml:space="preserve"> v jedné poloze, jako je např. </w:t>
      </w:r>
      <w:r w:rsidRPr="00F8123D">
        <w:rPr>
          <w:rFonts w:ascii="Times New Roman" w:hAnsi="Times New Roman" w:cs="Times New Roman"/>
        </w:rPr>
        <w:t>dlouhé sezení u počí</w:t>
      </w:r>
      <w:r>
        <w:rPr>
          <w:rFonts w:ascii="Times New Roman" w:hAnsi="Times New Roman" w:cs="Times New Roman"/>
        </w:rPr>
        <w:t xml:space="preserve">tače, ale i např. při vyučování </w:t>
      </w:r>
      <w:r w:rsidRPr="00F8123D">
        <w:rPr>
          <w:rFonts w:ascii="Times New Roman" w:hAnsi="Times New Roman" w:cs="Times New Roman"/>
        </w:rPr>
        <w:t>ve školních lavicích.</w:t>
      </w:r>
    </w:p>
    <w:p w:rsidR="00F8123D" w:rsidRPr="00F8123D" w:rsidRDefault="00F8123D" w:rsidP="00F8123D">
      <w:pPr>
        <w:pStyle w:val="Zkladntext2"/>
        <w:spacing w:line="360" w:lineRule="auto"/>
        <w:ind w:left="0"/>
        <w:jc w:val="both"/>
        <w:rPr>
          <w:rFonts w:ascii="Times New Roman" w:hAnsi="Times New Roman" w:cs="Times New Roman"/>
        </w:rPr>
      </w:pP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 xml:space="preserve">Posudková kriteria.  Jak řečeno, samotnou konstitucionální </w:t>
      </w:r>
      <w:proofErr w:type="spellStart"/>
      <w:r w:rsidRPr="00F8123D">
        <w:rPr>
          <w:rFonts w:ascii="Times New Roman" w:hAnsi="Times New Roman" w:cs="Times New Roman"/>
        </w:rPr>
        <w:t>hypermobi</w:t>
      </w:r>
      <w:r>
        <w:rPr>
          <w:rFonts w:ascii="Times New Roman" w:hAnsi="Times New Roman" w:cs="Times New Roman"/>
        </w:rPr>
        <w:t>litu</w:t>
      </w:r>
      <w:proofErr w:type="spellEnd"/>
      <w:r>
        <w:rPr>
          <w:rFonts w:ascii="Times New Roman" w:hAnsi="Times New Roman" w:cs="Times New Roman"/>
        </w:rPr>
        <w:t xml:space="preserve"> nepovažujeme za vysloveně </w:t>
      </w:r>
      <w:r w:rsidRPr="00F8123D">
        <w:rPr>
          <w:rFonts w:ascii="Times New Roman" w:hAnsi="Times New Roman" w:cs="Times New Roman"/>
        </w:rPr>
        <w:t>patologický stav. Představuje však významný rizikový faktor, který může zhoršovat průběh bolestivých sta</w:t>
      </w:r>
      <w:r>
        <w:rPr>
          <w:rFonts w:ascii="Times New Roman" w:hAnsi="Times New Roman" w:cs="Times New Roman"/>
        </w:rPr>
        <w:t xml:space="preserve">vů hybné soustavy, významně se </w:t>
      </w:r>
      <w:r w:rsidRPr="00F8123D">
        <w:rPr>
          <w:rFonts w:ascii="Times New Roman" w:hAnsi="Times New Roman" w:cs="Times New Roman"/>
        </w:rPr>
        <w:t xml:space="preserve">podílí na vývoji chronické bolesti, zvláště tzv. chronické episodické bolesti v kříži. Proto je třeba tento nález brát </w:t>
      </w:r>
      <w:r w:rsidRPr="00F8123D">
        <w:rPr>
          <w:rFonts w:ascii="Times New Roman" w:hAnsi="Times New Roman" w:cs="Times New Roman"/>
        </w:rPr>
        <w:lastRenderedPageBreak/>
        <w:t xml:space="preserve">v úvahu při stanovení prognosy, délky trvání bolestivé episody a přihlédnout k ní také při preskripci medikamentosní léčby. </w:t>
      </w:r>
    </w:p>
    <w:p w:rsidR="00F8123D" w:rsidRPr="00F8123D" w:rsidRDefault="00F8123D" w:rsidP="00F8123D">
      <w:pPr>
        <w:pStyle w:val="Zkladntext2"/>
        <w:spacing w:line="360" w:lineRule="auto"/>
        <w:ind w:left="0"/>
        <w:jc w:val="both"/>
        <w:rPr>
          <w:rFonts w:ascii="Times New Roman" w:hAnsi="Times New Roman" w:cs="Times New Roman"/>
        </w:rPr>
      </w:pPr>
      <w:r w:rsidRPr="00F8123D">
        <w:rPr>
          <w:rFonts w:ascii="Times New Roman" w:hAnsi="Times New Roman" w:cs="Times New Roman"/>
        </w:rPr>
        <w:t>I když zatím chybí dostatek stu</w:t>
      </w:r>
      <w:r>
        <w:rPr>
          <w:rFonts w:ascii="Times New Roman" w:hAnsi="Times New Roman" w:cs="Times New Roman"/>
        </w:rPr>
        <w:t xml:space="preserve">dií je velmi pravděpodobné, že </w:t>
      </w:r>
      <w:r w:rsidRPr="00F8123D">
        <w:rPr>
          <w:rFonts w:ascii="Times New Roman" w:hAnsi="Times New Roman" w:cs="Times New Roman"/>
        </w:rPr>
        <w:t xml:space="preserve">konstitucionální </w:t>
      </w:r>
      <w:proofErr w:type="spellStart"/>
      <w:r w:rsidRPr="00F8123D">
        <w:rPr>
          <w:rFonts w:ascii="Times New Roman" w:hAnsi="Times New Roman" w:cs="Times New Roman"/>
        </w:rPr>
        <w:t>hypermobilita</w:t>
      </w:r>
      <w:proofErr w:type="spellEnd"/>
      <w:r w:rsidRPr="00F8123D">
        <w:rPr>
          <w:rFonts w:ascii="Times New Roman" w:hAnsi="Times New Roman" w:cs="Times New Roman"/>
        </w:rPr>
        <w:t>, jak</w:t>
      </w:r>
      <w:r>
        <w:rPr>
          <w:rFonts w:ascii="Times New Roman" w:hAnsi="Times New Roman" w:cs="Times New Roman"/>
        </w:rPr>
        <w:t xml:space="preserve">o výraz vazivové insuficience, </w:t>
      </w:r>
      <w:r w:rsidRPr="00F8123D">
        <w:rPr>
          <w:rFonts w:ascii="Times New Roman" w:hAnsi="Times New Roman" w:cs="Times New Roman"/>
        </w:rPr>
        <w:t>patří do klinického obrazu visceroptos nebo insuficience závěsného aparátu v gynekologii</w:t>
      </w:r>
    </w:p>
    <w:p w:rsidR="00F8123D" w:rsidRPr="00F8123D" w:rsidRDefault="00F8123D" w:rsidP="00F8123D">
      <w:pPr>
        <w:pStyle w:val="Zkladntext2"/>
        <w:spacing w:line="360" w:lineRule="auto"/>
        <w:ind w:left="0"/>
        <w:jc w:val="both"/>
        <w:rPr>
          <w:rFonts w:ascii="Times New Roman" w:hAnsi="Times New Roman" w:cs="Times New Roman"/>
        </w:rPr>
      </w:pPr>
    </w:p>
    <w:p w:rsidR="006E3D40" w:rsidRPr="00F8123D" w:rsidRDefault="006E3D40" w:rsidP="00F8123D">
      <w:pPr>
        <w:jc w:val="both"/>
        <w:rPr>
          <w:rFonts w:ascii="Times New Roman" w:hAnsi="Times New Roman" w:cs="Times New Roman"/>
          <w:sz w:val="24"/>
          <w:szCs w:val="24"/>
        </w:rPr>
      </w:pPr>
    </w:p>
    <w:sectPr w:rsidR="006E3D40" w:rsidRPr="00F8123D" w:rsidSect="006E3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75309"/>
    <w:multiLevelType w:val="hybridMultilevel"/>
    <w:tmpl w:val="CDA0FA9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nsid w:val="71C90C7E"/>
    <w:multiLevelType w:val="hybridMultilevel"/>
    <w:tmpl w:val="A3C4377C"/>
    <w:lvl w:ilvl="0" w:tplc="EB2EEAF6">
      <w:numFmt w:val="bullet"/>
      <w:lvlText w:val="-"/>
      <w:lvlJc w:val="left"/>
      <w:pPr>
        <w:ind w:left="720" w:hanging="360"/>
      </w:pPr>
      <w:rPr>
        <w:rFonts w:ascii="Times New Roman" w:eastAsiaTheme="minorHAnsi" w:hAnsi="Times New Roman" w:cs="Times New Roman"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020D"/>
    <w:rsid w:val="0036020D"/>
    <w:rsid w:val="006E3D40"/>
    <w:rsid w:val="00F812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2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020D"/>
    <w:pPr>
      <w:ind w:left="720"/>
      <w:contextualSpacing/>
    </w:pPr>
  </w:style>
  <w:style w:type="paragraph" w:styleId="Normlnweb">
    <w:name w:val="Normal (Web)"/>
    <w:basedOn w:val="Normln"/>
    <w:uiPriority w:val="99"/>
    <w:semiHidden/>
    <w:unhideWhenUsed/>
    <w:rsid w:val="0036020D"/>
    <w:pPr>
      <w:spacing w:before="150" w:after="15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F8123D"/>
    <w:pPr>
      <w:autoSpaceDE w:val="0"/>
      <w:autoSpaceDN w:val="0"/>
      <w:spacing w:after="0" w:line="240" w:lineRule="auto"/>
      <w:ind w:left="708"/>
    </w:pPr>
    <w:rPr>
      <w:rFonts w:ascii="Arial" w:eastAsiaTheme="minorEastAsia" w:hAnsi="Arial" w:cs="Arial"/>
      <w:sz w:val="24"/>
      <w:szCs w:val="24"/>
      <w:lang w:eastAsia="cs-CZ"/>
    </w:rPr>
  </w:style>
  <w:style w:type="character" w:customStyle="1" w:styleId="Zkladntext2Char">
    <w:name w:val="Základní text 2 Char"/>
    <w:basedOn w:val="Standardnpsmoodstavce"/>
    <w:link w:val="Zkladntext2"/>
    <w:uiPriority w:val="99"/>
    <w:rsid w:val="00F8123D"/>
    <w:rPr>
      <w:rFonts w:ascii="Arial" w:eastAsiaTheme="minorEastAsia" w:hAnsi="Arial" w:cs="Arial"/>
      <w:sz w:val="24"/>
      <w:szCs w:val="24"/>
      <w:lang w:eastAsia="cs-CZ"/>
    </w:rPr>
  </w:style>
  <w:style w:type="paragraph" w:styleId="Zkladntext">
    <w:name w:val="Body Text"/>
    <w:basedOn w:val="Normln"/>
    <w:link w:val="ZkladntextChar"/>
    <w:uiPriority w:val="99"/>
    <w:rsid w:val="00F8123D"/>
    <w:pPr>
      <w:autoSpaceDE w:val="0"/>
      <w:autoSpaceDN w:val="0"/>
      <w:spacing w:after="0" w:line="240" w:lineRule="auto"/>
    </w:pPr>
    <w:rPr>
      <w:rFonts w:ascii="Arial" w:eastAsiaTheme="minorEastAsia" w:hAnsi="Arial" w:cs="Arial"/>
      <w:sz w:val="24"/>
      <w:szCs w:val="24"/>
      <w:lang w:eastAsia="cs-CZ"/>
    </w:rPr>
  </w:style>
  <w:style w:type="character" w:customStyle="1" w:styleId="ZkladntextChar">
    <w:name w:val="Základní text Char"/>
    <w:basedOn w:val="Standardnpsmoodstavce"/>
    <w:link w:val="Zkladntext"/>
    <w:uiPriority w:val="99"/>
    <w:rsid w:val="00F8123D"/>
    <w:rPr>
      <w:rFonts w:ascii="Arial" w:eastAsiaTheme="minorEastAsia" w:hAnsi="Arial" w:cs="Arial"/>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2089</Words>
  <Characters>12326</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2010-10-08T11:25:00Z</dcterms:created>
  <dcterms:modified xsi:type="dcterms:W3CDTF">2010-10-08T12:09:00Z</dcterms:modified>
</cp:coreProperties>
</file>