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Syndrom karpálního tunelu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Syndrom kubitálního kanálu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Syndrom supinátorového kanálu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Paréza plexus brachialis </w:t>
      </w:r>
      <w:r>
        <w:rPr>
          <w:lang w:val="sk-SK"/>
        </w:rPr>
        <w:t xml:space="preserve">                           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Glenohumerální instabilita a SLAP léze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Akromioklavikulární instabilita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Ruptura dlouhé šlachy bicepsu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Sternoklavikulární instabilita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Skalenový syndrom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Scapulae alatae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Zánět dlouhé šlachy bicepsu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Rhizartróza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Fractura os naviculare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Poškození triangulárního fibrokartilaginosního komplexu (TFCC)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Zlomeniny v oblasti humeru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Zlomeniny v oblasti předloktí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Zlomeniny v oblasti ruky a prstů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Traumatické poškození šlach flexorů ruky a prstů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Traumatické poškození šlach extenzorů ruky a prstů</w:t>
      </w:r>
      <w:r w:rsidRPr="004A777B">
        <w:t xml:space="preserve"> </w:t>
      </w:r>
    </w:p>
    <w:p w:rsidR="008214B2" w:rsidRPr="004A777B" w:rsidRDefault="00F2182B" w:rsidP="004A777B">
      <w:pPr>
        <w:numPr>
          <w:ilvl w:val="0"/>
          <w:numId w:val="1"/>
        </w:numPr>
      </w:pPr>
      <w:r>
        <w:t>Impigement ramene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Morbus de Quervain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Dupuytrenova kontraktura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Volkmannova kontraktura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Golfový loket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Tenisový loket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Bursitis olecrani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 xml:space="preserve">Syndrom zmrzlého ramene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lastRenderedPageBreak/>
        <w:t>Kalcifikující tendinitida RM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Syndrom rotátorové manžety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Digitus saltans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Scapholunátní instabilita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Hypermobilita loketního kloubu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Entezopatie m. triceps brachii</w:t>
      </w:r>
      <w:r w:rsidRPr="004A777B">
        <w:t xml:space="preserve"> </w:t>
      </w:r>
    </w:p>
    <w:p w:rsidR="008214B2" w:rsidRPr="004A777B" w:rsidRDefault="004A777B" w:rsidP="004A777B">
      <w:pPr>
        <w:numPr>
          <w:ilvl w:val="0"/>
          <w:numId w:val="1"/>
        </w:numPr>
      </w:pPr>
      <w:r w:rsidRPr="004A777B">
        <w:rPr>
          <w:lang w:val="sk-SK"/>
        </w:rPr>
        <w:t>Subakromiální burzitida</w:t>
      </w:r>
      <w:r w:rsidRPr="004A777B">
        <w:t xml:space="preserve"> </w:t>
      </w:r>
    </w:p>
    <w:p w:rsidR="008D1C38" w:rsidRDefault="008D1C38"/>
    <w:sectPr w:rsidR="008D1C38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28F2"/>
    <w:multiLevelType w:val="hybridMultilevel"/>
    <w:tmpl w:val="F08CD67A"/>
    <w:lvl w:ilvl="0" w:tplc="BF86F9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86B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C3AC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2ED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CB6E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046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894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448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E02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32539F"/>
    <w:multiLevelType w:val="hybridMultilevel"/>
    <w:tmpl w:val="F1CCC442"/>
    <w:lvl w:ilvl="0" w:tplc="9476D7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40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073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E18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E4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2E6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0AE3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5E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6F4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A777B"/>
    <w:rsid w:val="004A777B"/>
    <w:rsid w:val="005D2660"/>
    <w:rsid w:val="008214B2"/>
    <w:rsid w:val="00842549"/>
    <w:rsid w:val="00894D76"/>
    <w:rsid w:val="008D1C38"/>
    <w:rsid w:val="00B026D1"/>
    <w:rsid w:val="00F2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cp:lastPrinted>2023-10-01T14:52:00Z</cp:lastPrinted>
  <dcterms:created xsi:type="dcterms:W3CDTF">2023-10-01T16:14:00Z</dcterms:created>
  <dcterms:modified xsi:type="dcterms:W3CDTF">2023-10-01T16:14:00Z</dcterms:modified>
</cp:coreProperties>
</file>