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6682" w14:textId="5CEFAEFD" w:rsidR="00CD02AA" w:rsidRPr="000479F8" w:rsidRDefault="00CD02AA" w:rsidP="00CD02AA">
      <w:pPr>
        <w:widowControl w:val="0"/>
        <w:spacing w:after="0" w:line="240" w:lineRule="auto"/>
        <w:rPr>
          <w:rFonts w:ascii="Calibri" w:eastAsia="Times New Roman" w:hAnsi="Calibri" w:cs="Open Sans"/>
          <w:color w:val="3A3A3A"/>
          <w:sz w:val="24"/>
          <w:szCs w:val="21"/>
          <w:shd w:val="clear" w:color="auto" w:fill="FFFFFF"/>
          <w:lang w:val="en-US"/>
        </w:rPr>
      </w:pPr>
      <w:r w:rsidRPr="00CD02AA">
        <w:rPr>
          <w:rFonts w:ascii="Calibri" w:eastAsia="Times New Roman" w:hAnsi="Calibri" w:cs="Open Sans"/>
          <w:color w:val="3A3A3A"/>
          <w:sz w:val="24"/>
          <w:szCs w:val="21"/>
          <w:u w:val="single"/>
          <w:shd w:val="clear" w:color="auto" w:fill="FFFFFF"/>
          <w:lang w:val="en-US"/>
        </w:rPr>
        <w:t>Systematic review: </w:t>
      </w:r>
      <w:r w:rsidRPr="00CD02AA">
        <w:rPr>
          <w:rFonts w:ascii="Calibri" w:eastAsia="Times New Roman" w:hAnsi="Calibri" w:cs="Open Sans"/>
          <w:color w:val="3A3A3A"/>
          <w:sz w:val="24"/>
          <w:szCs w:val="21"/>
          <w:shd w:val="clear" w:color="auto" w:fill="FFFFFF"/>
          <w:lang w:val="en-US"/>
        </w:rPr>
        <w:t>a summary of the literature using reproducible methods to systematically search, appraise, synthesize results, and report bias of included studies. It is usually performed by three and more co-authors.</w:t>
      </w:r>
    </w:p>
    <w:p w14:paraId="7DED7BCF" w14:textId="4AF836F8" w:rsidR="00CD02AA" w:rsidRPr="000479F8" w:rsidRDefault="00CD02AA" w:rsidP="00CD02AA">
      <w:pPr>
        <w:widowControl w:val="0"/>
        <w:spacing w:after="0" w:line="240" w:lineRule="auto"/>
        <w:jc w:val="center"/>
        <w:rPr>
          <w:rFonts w:ascii="Calibri" w:eastAsia="Times New Roman" w:hAnsi="Calibri" w:cs="Times New Roman"/>
          <w:b/>
          <w:bCs/>
          <w:sz w:val="40"/>
          <w:lang w:val="en-US"/>
        </w:rPr>
      </w:pPr>
      <w:r w:rsidRPr="000479F8">
        <w:rPr>
          <w:rFonts w:ascii="Calibri" w:eastAsia="Times New Roman" w:hAnsi="Calibri" w:cs="Times New Roman"/>
          <w:b/>
          <w:bCs/>
          <w:sz w:val="40"/>
          <w:lang w:val="en-US"/>
        </w:rPr>
        <w:t>STEPS</w:t>
      </w:r>
    </w:p>
    <w:p w14:paraId="7D4D2C05" w14:textId="77777777" w:rsidR="00CD02AA" w:rsidRPr="00CD02AA" w:rsidRDefault="00CD02AA" w:rsidP="00CD02AA">
      <w:pPr>
        <w:widowControl w:val="0"/>
        <w:spacing w:after="0" w:line="240" w:lineRule="auto"/>
        <w:rPr>
          <w:rFonts w:ascii="Calibri" w:eastAsia="Times New Roman" w:hAnsi="Calibri" w:cs="Times New Roman"/>
          <w:sz w:val="24"/>
          <w:lang w:val="en-US"/>
        </w:rPr>
      </w:pPr>
    </w:p>
    <w:tbl>
      <w:tblPr>
        <w:tblStyle w:val="Mkatabulky"/>
        <w:tblW w:w="0" w:type="auto"/>
        <w:tblLook w:val="04A0" w:firstRow="1" w:lastRow="0" w:firstColumn="1" w:lastColumn="0" w:noHBand="0" w:noVBand="1"/>
      </w:tblPr>
      <w:tblGrid>
        <w:gridCol w:w="1476"/>
        <w:gridCol w:w="8980"/>
      </w:tblGrid>
      <w:tr w:rsidR="00CD02AA" w:rsidRPr="000479F8" w14:paraId="539DB05D" w14:textId="77777777" w:rsidTr="000479F8">
        <w:trPr>
          <w:tblHeader/>
        </w:trPr>
        <w:tc>
          <w:tcPr>
            <w:tcW w:w="0" w:type="auto"/>
            <w:shd w:val="clear" w:color="auto" w:fill="BFBFBF" w:themeFill="background1" w:themeFillShade="BF"/>
            <w:vAlign w:val="center"/>
          </w:tcPr>
          <w:p w14:paraId="36162C25" w14:textId="7B54AC69" w:rsidR="00CD02AA" w:rsidRPr="00CD02AA" w:rsidRDefault="00CD02AA" w:rsidP="00CD02AA">
            <w:pPr>
              <w:widowControl w:val="0"/>
              <w:rPr>
                <w:rFonts w:ascii="Calibri" w:hAnsi="Calibri"/>
                <w:b/>
                <w:bCs/>
                <w:sz w:val="24"/>
                <w:lang w:val="en-US"/>
              </w:rPr>
            </w:pPr>
            <w:r w:rsidRPr="000479F8">
              <w:rPr>
                <w:rFonts w:ascii="Calibri" w:hAnsi="Calibri"/>
                <w:b/>
                <w:bCs/>
                <w:sz w:val="24"/>
                <w:lang w:val="en-US"/>
              </w:rPr>
              <w:t>T</w:t>
            </w:r>
            <w:r w:rsidRPr="00CD02AA">
              <w:rPr>
                <w:rFonts w:ascii="Calibri" w:hAnsi="Calibri"/>
                <w:b/>
                <w:bCs/>
                <w:sz w:val="24"/>
                <w:lang w:val="en-US"/>
              </w:rPr>
              <w:t>opic definition</w:t>
            </w:r>
          </w:p>
        </w:tc>
        <w:tc>
          <w:tcPr>
            <w:tcW w:w="0" w:type="auto"/>
            <w:shd w:val="clear" w:color="auto" w:fill="BFBFBF" w:themeFill="background1" w:themeFillShade="BF"/>
            <w:vAlign w:val="center"/>
          </w:tcPr>
          <w:p w14:paraId="1B5B6207" w14:textId="61D95294" w:rsidR="000479F8" w:rsidRPr="000479F8" w:rsidRDefault="00CD02AA" w:rsidP="000479F8">
            <w:pPr>
              <w:widowControl w:val="0"/>
              <w:jc w:val="center"/>
              <w:rPr>
                <w:rFonts w:ascii="Calibri" w:hAnsi="Calibri"/>
                <w:b/>
                <w:bCs/>
                <w:sz w:val="24"/>
                <w:lang w:val="en-US"/>
              </w:rPr>
            </w:pPr>
            <w:r w:rsidRPr="000479F8">
              <w:rPr>
                <w:rFonts w:ascii="Calibri" w:hAnsi="Calibri"/>
                <w:b/>
                <w:bCs/>
                <w:sz w:val="24"/>
                <w:lang w:val="en-US"/>
              </w:rPr>
              <w:t xml:space="preserve">Benefits of </w:t>
            </w:r>
            <w:proofErr w:type="spellStart"/>
            <w:r w:rsidRPr="000479F8">
              <w:rPr>
                <w:rFonts w:ascii="Calibri" w:hAnsi="Calibri"/>
                <w:b/>
                <w:bCs/>
                <w:sz w:val="24"/>
                <w:lang w:val="en-US"/>
              </w:rPr>
              <w:t>Esport</w:t>
            </w:r>
            <w:proofErr w:type="spellEnd"/>
          </w:p>
          <w:p w14:paraId="0BA853A6" w14:textId="712CE1A4" w:rsidR="00CD02AA" w:rsidRPr="00CD02AA" w:rsidRDefault="000479F8" w:rsidP="00CD02AA">
            <w:pPr>
              <w:widowControl w:val="0"/>
              <w:rPr>
                <w:rFonts w:ascii="Calibri" w:hAnsi="Calibri"/>
                <w:b/>
                <w:bCs/>
                <w:sz w:val="24"/>
                <w:lang w:val="en-US"/>
              </w:rPr>
            </w:pPr>
            <w:r w:rsidRPr="000479F8">
              <w:rPr>
                <w:rFonts w:ascii="Calibri" w:hAnsi="Calibri" w:cs="Courier New"/>
                <w:color w:val="3A3A3A"/>
                <w:sz w:val="24"/>
                <w:szCs w:val="20"/>
                <w:shd w:val="clear" w:color="auto" w:fill="BFBFBF" w:themeFill="background1" w:themeFillShade="BF"/>
              </w:rPr>
              <w:t xml:space="preserve">Červinka, A. (2024). </w:t>
            </w:r>
            <w:r w:rsidRPr="000479F8">
              <w:rPr>
                <w:rFonts w:ascii="Calibri" w:hAnsi="Calibri" w:cs="Courier New"/>
                <w:i/>
                <w:iCs/>
                <w:color w:val="3A3A3A"/>
                <w:sz w:val="24"/>
                <w:szCs w:val="20"/>
                <w:shd w:val="clear" w:color="auto" w:fill="BFBFBF" w:themeFill="background1" w:themeFillShade="BF"/>
              </w:rPr>
              <w:t xml:space="preserve">Pozitiva </w:t>
            </w:r>
            <w:proofErr w:type="spellStart"/>
            <w:r w:rsidRPr="000479F8">
              <w:rPr>
                <w:rFonts w:ascii="Calibri" w:hAnsi="Calibri" w:cs="Courier New"/>
                <w:i/>
                <w:iCs/>
                <w:color w:val="3A3A3A"/>
                <w:sz w:val="24"/>
                <w:szCs w:val="20"/>
                <w:shd w:val="clear" w:color="auto" w:fill="BFBFBF" w:themeFill="background1" w:themeFillShade="BF"/>
              </w:rPr>
              <w:t>esportu</w:t>
            </w:r>
            <w:proofErr w:type="spellEnd"/>
            <w:r w:rsidRPr="000479F8">
              <w:rPr>
                <w:rFonts w:ascii="Calibri" w:hAnsi="Calibri" w:cs="Courier New"/>
                <w:color w:val="3A3A3A"/>
                <w:sz w:val="24"/>
                <w:szCs w:val="20"/>
                <w:shd w:val="clear" w:color="auto" w:fill="BFBFBF" w:themeFill="background1" w:themeFillShade="BF"/>
              </w:rPr>
              <w:t xml:space="preserve"> [</w:t>
            </w:r>
            <w:proofErr w:type="spellStart"/>
            <w:r w:rsidRPr="000479F8">
              <w:rPr>
                <w:rFonts w:ascii="Calibri" w:hAnsi="Calibri" w:cs="Courier New"/>
                <w:color w:val="3A3A3A"/>
                <w:sz w:val="24"/>
                <w:szCs w:val="20"/>
                <w:shd w:val="clear" w:color="auto" w:fill="BFBFBF" w:themeFill="background1" w:themeFillShade="BF"/>
              </w:rPr>
              <w:t>Master's</w:t>
            </w:r>
            <w:proofErr w:type="spellEnd"/>
            <w:r w:rsidRPr="000479F8">
              <w:rPr>
                <w:rFonts w:ascii="Calibri" w:hAnsi="Calibri" w:cs="Courier New"/>
                <w:color w:val="3A3A3A"/>
                <w:sz w:val="24"/>
                <w:szCs w:val="20"/>
                <w:shd w:val="clear" w:color="auto" w:fill="BFBFBF" w:themeFill="background1" w:themeFillShade="BF"/>
              </w:rPr>
              <w:t xml:space="preserve"> thesis, Masaryk University]. </w:t>
            </w:r>
            <w:proofErr w:type="spellStart"/>
            <w:r w:rsidRPr="000479F8">
              <w:rPr>
                <w:rFonts w:ascii="Calibri" w:hAnsi="Calibri" w:cs="Courier New"/>
                <w:color w:val="3A3A3A"/>
                <w:sz w:val="24"/>
                <w:szCs w:val="20"/>
                <w:shd w:val="clear" w:color="auto" w:fill="BFBFBF" w:themeFill="background1" w:themeFillShade="BF"/>
              </w:rPr>
              <w:t>Institutional</w:t>
            </w:r>
            <w:proofErr w:type="spellEnd"/>
            <w:r w:rsidRPr="000479F8">
              <w:rPr>
                <w:rFonts w:ascii="Calibri" w:hAnsi="Calibri" w:cs="Courier New"/>
                <w:color w:val="3A3A3A"/>
                <w:sz w:val="24"/>
                <w:szCs w:val="20"/>
                <w:shd w:val="clear" w:color="auto" w:fill="BFBFBF" w:themeFill="background1" w:themeFillShade="BF"/>
              </w:rPr>
              <w:t xml:space="preserve"> </w:t>
            </w:r>
            <w:proofErr w:type="spellStart"/>
            <w:r w:rsidRPr="000479F8">
              <w:rPr>
                <w:rFonts w:ascii="Calibri" w:hAnsi="Calibri" w:cs="Courier New"/>
                <w:color w:val="3A3A3A"/>
                <w:sz w:val="24"/>
                <w:szCs w:val="20"/>
                <w:shd w:val="clear" w:color="auto" w:fill="BFBFBF" w:themeFill="background1" w:themeFillShade="BF"/>
              </w:rPr>
              <w:t>repository</w:t>
            </w:r>
            <w:proofErr w:type="spellEnd"/>
            <w:r w:rsidRPr="000479F8">
              <w:rPr>
                <w:rFonts w:ascii="Calibri" w:hAnsi="Calibri" w:cs="Courier New"/>
                <w:color w:val="3A3A3A"/>
                <w:sz w:val="24"/>
                <w:szCs w:val="20"/>
                <w:shd w:val="clear" w:color="auto" w:fill="BFBFBF" w:themeFill="background1" w:themeFillShade="BF"/>
              </w:rPr>
              <w:t xml:space="preserve"> MU. https://is.muni.cz/th/rrz4j/</w:t>
            </w:r>
          </w:p>
        </w:tc>
      </w:tr>
      <w:tr w:rsidR="000479F8" w:rsidRPr="000479F8" w14:paraId="3A969553" w14:textId="77777777" w:rsidTr="000479F8">
        <w:tc>
          <w:tcPr>
            <w:tcW w:w="0" w:type="auto"/>
            <w:vAlign w:val="center"/>
          </w:tcPr>
          <w:p w14:paraId="3D9AB79B" w14:textId="6511BE44" w:rsidR="00CD02AA" w:rsidRPr="00CD02AA" w:rsidRDefault="00CD02AA" w:rsidP="00CD02AA">
            <w:pPr>
              <w:widowControl w:val="0"/>
              <w:shd w:val="clear" w:color="auto" w:fill="FFFFFF"/>
              <w:rPr>
                <w:rFonts w:ascii="Calibri" w:hAnsi="Calibri" w:cs="Arial"/>
                <w:sz w:val="24"/>
                <w:szCs w:val="20"/>
                <w:lang w:val="en-US" w:eastAsia="cs-CZ"/>
              </w:rPr>
            </w:pPr>
            <w:r w:rsidRPr="00CD02AA">
              <w:rPr>
                <w:rFonts w:ascii="Calibri" w:hAnsi="Calibri" w:cs="Arial"/>
                <w:sz w:val="24"/>
                <w:szCs w:val="20"/>
                <w:lang w:val="en-US" w:eastAsia="cs-CZ"/>
              </w:rPr>
              <w:t xml:space="preserve">Define study </w:t>
            </w:r>
            <w:r w:rsidRPr="000479F8">
              <w:rPr>
                <w:rFonts w:ascii="Calibri" w:hAnsi="Calibri" w:cs="Arial"/>
                <w:sz w:val="24"/>
                <w:szCs w:val="20"/>
                <w:lang w:val="en-US" w:eastAsia="cs-CZ"/>
              </w:rPr>
              <w:t xml:space="preserve">problem </w:t>
            </w:r>
            <w:r w:rsidRPr="00CD02AA">
              <w:rPr>
                <w:rFonts w:ascii="Calibri" w:hAnsi="Calibri" w:cs="Arial"/>
                <w:sz w:val="24"/>
                <w:szCs w:val="20"/>
                <w:lang w:val="en-US" w:eastAsia="cs-CZ"/>
              </w:rPr>
              <w:t>(PICO criteria)</w:t>
            </w:r>
          </w:p>
          <w:p w14:paraId="6383CE4D" w14:textId="77777777" w:rsidR="00CD02AA" w:rsidRPr="00CD02AA" w:rsidRDefault="00CD02AA" w:rsidP="00CD02AA">
            <w:pPr>
              <w:widowControl w:val="0"/>
              <w:rPr>
                <w:rFonts w:ascii="Calibri" w:hAnsi="Calibri"/>
                <w:sz w:val="24"/>
                <w:lang w:val="en-US"/>
              </w:rPr>
            </w:pPr>
          </w:p>
        </w:tc>
        <w:tc>
          <w:tcPr>
            <w:tcW w:w="0" w:type="auto"/>
            <w:vAlign w:val="center"/>
          </w:tcPr>
          <w:p w14:paraId="4524D361" w14:textId="77777777" w:rsidR="00CD02AA" w:rsidRPr="00CD02AA" w:rsidRDefault="00CD02AA" w:rsidP="00CD02AA">
            <w:pPr>
              <w:widowControl w:val="0"/>
              <w:numPr>
                <w:ilvl w:val="0"/>
                <w:numId w:val="1"/>
              </w:numPr>
              <w:shd w:val="clear" w:color="auto" w:fill="FFFFFF"/>
              <w:tabs>
                <w:tab w:val="clear" w:pos="360"/>
                <w:tab w:val="num" w:pos="720"/>
              </w:tabs>
              <w:rPr>
                <w:rFonts w:ascii="Calibri" w:hAnsi="Calibri" w:cs="Arial"/>
                <w:sz w:val="24"/>
                <w:szCs w:val="20"/>
                <w:lang w:val="en-US" w:eastAsia="cs-CZ"/>
              </w:rPr>
            </w:pPr>
            <w:r w:rsidRPr="00CD02AA">
              <w:rPr>
                <w:rFonts w:ascii="Calibri" w:hAnsi="Calibri" w:cs="Arial"/>
                <w:b/>
                <w:bCs/>
                <w:sz w:val="24"/>
                <w:szCs w:val="20"/>
                <w:lang w:val="en-US" w:eastAsia="cs-CZ"/>
              </w:rPr>
              <w:t>P (Population)</w:t>
            </w:r>
            <w:r w:rsidRPr="00CD02AA">
              <w:rPr>
                <w:rFonts w:ascii="Calibri" w:hAnsi="Calibri" w:cs="Arial"/>
                <w:sz w:val="24"/>
                <w:szCs w:val="20"/>
                <w:lang w:val="en-US" w:eastAsia="cs-CZ"/>
              </w:rPr>
              <w:t>: The population or patients that the study focuses on. It defines who the study participants are.</w:t>
            </w:r>
          </w:p>
          <w:p w14:paraId="30CDFAA5" w14:textId="77777777" w:rsidR="00CD02AA" w:rsidRPr="00CD02AA" w:rsidRDefault="00CD02AA" w:rsidP="00CD02AA">
            <w:pPr>
              <w:widowControl w:val="0"/>
              <w:numPr>
                <w:ilvl w:val="0"/>
                <w:numId w:val="1"/>
              </w:numPr>
              <w:shd w:val="clear" w:color="auto" w:fill="FFFFFF"/>
              <w:tabs>
                <w:tab w:val="clear" w:pos="360"/>
                <w:tab w:val="num" w:pos="720"/>
              </w:tabs>
              <w:rPr>
                <w:rFonts w:ascii="Calibri" w:hAnsi="Calibri" w:cs="Arial"/>
                <w:sz w:val="24"/>
                <w:szCs w:val="20"/>
                <w:lang w:val="en-US" w:eastAsia="cs-CZ"/>
              </w:rPr>
            </w:pPr>
            <w:r w:rsidRPr="00CD02AA">
              <w:rPr>
                <w:rFonts w:ascii="Calibri" w:hAnsi="Calibri" w:cs="Arial"/>
                <w:b/>
                <w:bCs/>
                <w:sz w:val="24"/>
                <w:szCs w:val="20"/>
                <w:lang w:val="en-US" w:eastAsia="cs-CZ"/>
              </w:rPr>
              <w:t>I (Intervention)</w:t>
            </w:r>
            <w:r w:rsidRPr="00CD02AA">
              <w:rPr>
                <w:rFonts w:ascii="Calibri" w:hAnsi="Calibri" w:cs="Arial"/>
                <w:sz w:val="24"/>
                <w:szCs w:val="20"/>
                <w:lang w:val="en-US" w:eastAsia="cs-CZ"/>
              </w:rPr>
              <w:t>: The intervention being investigated. This can be a medical procedure, drug, diagnostic test or other medical intervention.</w:t>
            </w:r>
          </w:p>
          <w:p w14:paraId="69154D94" w14:textId="77777777" w:rsidR="00CD02AA" w:rsidRPr="00CD02AA" w:rsidRDefault="00CD02AA" w:rsidP="00CD02AA">
            <w:pPr>
              <w:widowControl w:val="0"/>
              <w:numPr>
                <w:ilvl w:val="0"/>
                <w:numId w:val="1"/>
              </w:numPr>
              <w:shd w:val="clear" w:color="auto" w:fill="FFFFFF"/>
              <w:tabs>
                <w:tab w:val="clear" w:pos="360"/>
                <w:tab w:val="num" w:pos="720"/>
              </w:tabs>
              <w:rPr>
                <w:rFonts w:ascii="Calibri" w:hAnsi="Calibri" w:cs="Arial"/>
                <w:sz w:val="24"/>
                <w:szCs w:val="20"/>
                <w:lang w:val="en-US" w:eastAsia="cs-CZ"/>
              </w:rPr>
            </w:pPr>
            <w:r w:rsidRPr="00CD02AA">
              <w:rPr>
                <w:rFonts w:ascii="Calibri" w:hAnsi="Calibri" w:cs="Arial"/>
                <w:b/>
                <w:bCs/>
                <w:sz w:val="24"/>
                <w:szCs w:val="20"/>
                <w:lang w:val="en-US" w:eastAsia="cs-CZ"/>
              </w:rPr>
              <w:t>C (Comparison)</w:t>
            </w:r>
            <w:r w:rsidRPr="00CD02AA">
              <w:rPr>
                <w:rFonts w:ascii="Calibri" w:hAnsi="Calibri" w:cs="Arial"/>
                <w:sz w:val="24"/>
                <w:szCs w:val="20"/>
                <w:lang w:val="en-US" w:eastAsia="cs-CZ"/>
              </w:rPr>
              <w:t>: A comparison or control group that is used to compare the effects of an intervention.</w:t>
            </w:r>
          </w:p>
          <w:p w14:paraId="528E5D1A" w14:textId="6A5E8347" w:rsidR="00CD02AA" w:rsidRPr="00CD02AA" w:rsidRDefault="00CD02AA" w:rsidP="00CD02AA">
            <w:pPr>
              <w:widowControl w:val="0"/>
              <w:numPr>
                <w:ilvl w:val="0"/>
                <w:numId w:val="1"/>
              </w:numPr>
              <w:shd w:val="clear" w:color="auto" w:fill="FFFFFF"/>
              <w:rPr>
                <w:rFonts w:ascii="Calibri" w:hAnsi="Calibri" w:cs="Arial"/>
                <w:sz w:val="24"/>
                <w:szCs w:val="20"/>
                <w:lang w:val="en-US" w:eastAsia="cs-CZ"/>
              </w:rPr>
            </w:pPr>
            <w:r w:rsidRPr="00CD02AA">
              <w:rPr>
                <w:rFonts w:ascii="Calibri" w:hAnsi="Calibri" w:cs="Arial"/>
                <w:b/>
                <w:bCs/>
                <w:sz w:val="24"/>
                <w:szCs w:val="20"/>
                <w:lang w:val="en-US" w:eastAsia="cs-CZ"/>
              </w:rPr>
              <w:t>O (Outcome)</w:t>
            </w:r>
            <w:r w:rsidRPr="00CD02AA">
              <w:rPr>
                <w:rFonts w:ascii="Calibri" w:hAnsi="Calibri" w:cs="Arial"/>
                <w:sz w:val="24"/>
                <w:szCs w:val="20"/>
                <w:lang w:val="en-US" w:eastAsia="cs-CZ"/>
              </w:rPr>
              <w:t>: The outcome or consequence that is measured and investigated in the study.</w:t>
            </w:r>
          </w:p>
        </w:tc>
      </w:tr>
      <w:tr w:rsidR="000479F8" w:rsidRPr="000479F8" w14:paraId="7D8B27EF" w14:textId="77777777" w:rsidTr="000479F8">
        <w:tc>
          <w:tcPr>
            <w:tcW w:w="0" w:type="auto"/>
            <w:vAlign w:val="center"/>
          </w:tcPr>
          <w:p w14:paraId="66C4A882" w14:textId="5A6A5F4B" w:rsidR="00CD02AA" w:rsidRPr="000479F8" w:rsidRDefault="00CD02AA" w:rsidP="00CD02AA">
            <w:pPr>
              <w:widowControl w:val="0"/>
              <w:shd w:val="clear" w:color="auto" w:fill="FFFFFF"/>
              <w:rPr>
                <w:rFonts w:ascii="Calibri" w:hAnsi="Calibri" w:cs="Arial"/>
                <w:sz w:val="24"/>
                <w:szCs w:val="20"/>
                <w:lang w:val="en-US" w:eastAsia="cs-CZ"/>
              </w:rPr>
            </w:pPr>
            <w:r w:rsidRPr="000479F8">
              <w:rPr>
                <w:rFonts w:ascii="Calibri" w:hAnsi="Calibri" w:cs="Arial"/>
                <w:sz w:val="24"/>
                <w:szCs w:val="19"/>
                <w:shd w:val="clear" w:color="auto" w:fill="FFFFFF"/>
                <w:lang w:val="en-US"/>
              </w:rPr>
              <w:t>PRISMA Guideline</w:t>
            </w:r>
          </w:p>
        </w:tc>
        <w:tc>
          <w:tcPr>
            <w:tcW w:w="0" w:type="auto"/>
            <w:vAlign w:val="center"/>
          </w:tcPr>
          <w:p w14:paraId="02AA50D2" w14:textId="77777777" w:rsidR="00CD02AA" w:rsidRPr="00CD02AA" w:rsidRDefault="00CD02AA" w:rsidP="00CD02AA">
            <w:pPr>
              <w:widowControl w:val="0"/>
              <w:numPr>
                <w:ilvl w:val="0"/>
                <w:numId w:val="2"/>
              </w:numPr>
              <w:rPr>
                <w:rFonts w:ascii="Calibri" w:hAnsi="Calibri"/>
                <w:sz w:val="24"/>
                <w:lang w:val="en-US"/>
              </w:rPr>
            </w:pPr>
            <w:r w:rsidRPr="00CD02AA">
              <w:rPr>
                <w:rFonts w:ascii="Calibri" w:hAnsi="Calibri"/>
                <w:sz w:val="24"/>
                <w:lang w:val="en-US"/>
              </w:rPr>
              <w:t>PRISMA (Preferred Reporting Items for Systematic Reviews and Meta-Analyses) is a methodological framework and set of guidelines designed to ensure transparency and quality in the processing of systematic reviews and meta-analyses.</w:t>
            </w:r>
          </w:p>
          <w:p w14:paraId="21816EFA" w14:textId="47ACD498" w:rsidR="00CD02AA" w:rsidRPr="000479F8" w:rsidRDefault="00CD02AA" w:rsidP="00CD02AA">
            <w:pPr>
              <w:widowControl w:val="0"/>
              <w:numPr>
                <w:ilvl w:val="0"/>
                <w:numId w:val="2"/>
              </w:numPr>
              <w:rPr>
                <w:rFonts w:ascii="Calibri" w:hAnsi="Calibri"/>
                <w:sz w:val="24"/>
                <w:lang w:val="en-US"/>
              </w:rPr>
            </w:pPr>
            <w:r w:rsidRPr="00CD02AA">
              <w:rPr>
                <w:rFonts w:ascii="Calibri" w:hAnsi="Calibri"/>
                <w:sz w:val="24"/>
                <w:lang w:val="en-US"/>
              </w:rPr>
              <w:t>The purpose of PRISMA is to increase transparency and facilitate the critical evaluation and reproduction of systematic reviews and meta-analyses.</w:t>
            </w:r>
          </w:p>
        </w:tc>
      </w:tr>
      <w:tr w:rsidR="000479F8" w:rsidRPr="000479F8" w14:paraId="7E2EE8CB" w14:textId="77777777" w:rsidTr="000479F8">
        <w:tc>
          <w:tcPr>
            <w:tcW w:w="0" w:type="auto"/>
            <w:vAlign w:val="center"/>
          </w:tcPr>
          <w:p w14:paraId="6EB289A5" w14:textId="35C930B2" w:rsidR="00CD02AA" w:rsidRPr="000479F8" w:rsidRDefault="00CD02AA" w:rsidP="00CD02AA">
            <w:pPr>
              <w:widowControl w:val="0"/>
              <w:shd w:val="clear" w:color="auto" w:fill="FFFFFF"/>
              <w:rPr>
                <w:rFonts w:ascii="Calibri" w:hAnsi="Calibri" w:cs="Arial"/>
                <w:sz w:val="24"/>
                <w:szCs w:val="19"/>
                <w:shd w:val="clear" w:color="auto" w:fill="FFFFFF"/>
                <w:lang w:val="en-US"/>
              </w:rPr>
            </w:pPr>
            <w:r w:rsidRPr="000479F8">
              <w:rPr>
                <w:rFonts w:ascii="Calibri" w:hAnsi="Calibri" w:cs="Arial"/>
                <w:sz w:val="24"/>
                <w:szCs w:val="19"/>
                <w:shd w:val="clear" w:color="auto" w:fill="FFFFFF"/>
                <w:lang w:val="en-US"/>
              </w:rPr>
              <w:t>Database search</w:t>
            </w:r>
          </w:p>
        </w:tc>
        <w:tc>
          <w:tcPr>
            <w:tcW w:w="0" w:type="auto"/>
            <w:vAlign w:val="center"/>
          </w:tcPr>
          <w:p w14:paraId="0D972171" w14:textId="48298F9A" w:rsidR="00CD02AA" w:rsidRPr="000479F8" w:rsidRDefault="00CD02AA" w:rsidP="00CD02AA">
            <w:pPr>
              <w:widowControl w:val="0"/>
              <w:rPr>
                <w:rFonts w:ascii="Calibri" w:hAnsi="Calibri"/>
                <w:color w:val="FF0000"/>
                <w:sz w:val="24"/>
                <w:lang w:val="en-US"/>
              </w:rPr>
            </w:pPr>
            <w:r w:rsidRPr="000479F8">
              <w:rPr>
                <w:lang w:val="en-US"/>
              </w:rPr>
              <w:t xml:space="preserve">Databases MEDLINE, </w:t>
            </w:r>
            <w:proofErr w:type="spellStart"/>
            <w:r w:rsidRPr="000479F8">
              <w:rPr>
                <w:lang w:val="en-US"/>
              </w:rPr>
              <w:t>SportDiscus</w:t>
            </w:r>
            <w:proofErr w:type="spellEnd"/>
            <w:r w:rsidRPr="000479F8">
              <w:rPr>
                <w:lang w:val="en-US"/>
              </w:rPr>
              <w:t>, IEEE Xplore Digital Library and Web of Science</w:t>
            </w:r>
            <w:r w:rsidRPr="000479F8">
              <w:rPr>
                <w:lang w:val="en-US"/>
              </w:rPr>
              <w:t>, …</w:t>
            </w:r>
          </w:p>
          <w:p w14:paraId="392D6D42" w14:textId="77777777" w:rsidR="00CD02AA" w:rsidRPr="000479F8" w:rsidRDefault="00CD02AA" w:rsidP="00CD02AA">
            <w:pPr>
              <w:widowControl w:val="0"/>
              <w:rPr>
                <w:rFonts w:ascii="Calibri" w:hAnsi="Calibri"/>
                <w:color w:val="FF0000"/>
                <w:sz w:val="24"/>
                <w:lang w:val="en-US"/>
              </w:rPr>
            </w:pPr>
          </w:p>
          <w:p w14:paraId="5257679E" w14:textId="79EAA0F2" w:rsidR="00CD02AA" w:rsidRPr="000479F8" w:rsidRDefault="00CD02AA" w:rsidP="00CD02AA">
            <w:pPr>
              <w:widowControl w:val="0"/>
              <w:rPr>
                <w:rFonts w:ascii="Calibri" w:hAnsi="Calibri"/>
                <w:i/>
                <w:iCs/>
                <w:sz w:val="24"/>
                <w:lang w:val="en-US"/>
              </w:rPr>
            </w:pPr>
            <w:r w:rsidRPr="000479F8">
              <w:rPr>
                <w:rFonts w:ascii="Calibri" w:hAnsi="Calibri"/>
                <w:i/>
                <w:iCs/>
                <w:color w:val="FF0000"/>
                <w:sz w:val="24"/>
                <w:lang w:val="en-US"/>
              </w:rPr>
              <w:t>(</w:t>
            </w:r>
            <w:proofErr w:type="spellStart"/>
            <w:r w:rsidRPr="000479F8">
              <w:rPr>
                <w:rFonts w:ascii="Calibri" w:hAnsi="Calibri"/>
                <w:i/>
                <w:iCs/>
                <w:color w:val="FF0000"/>
                <w:sz w:val="24"/>
                <w:lang w:val="en-US"/>
              </w:rPr>
              <w:t>esport</w:t>
            </w:r>
            <w:proofErr w:type="spellEnd"/>
            <w:r w:rsidRPr="000479F8">
              <w:rPr>
                <w:rFonts w:ascii="Calibri" w:hAnsi="Calibri"/>
                <w:i/>
                <w:iCs/>
                <w:color w:val="FF0000"/>
                <w:sz w:val="24"/>
                <w:lang w:val="en-US"/>
              </w:rPr>
              <w:t>* OR e-sport* OR "digital sport*" OR "electronic sport*" OR "online sport*" OR "virtual sport*")</w:t>
            </w:r>
            <w:r w:rsidRPr="000479F8">
              <w:rPr>
                <w:rFonts w:ascii="Calibri" w:hAnsi="Calibri"/>
                <w:i/>
                <w:iCs/>
                <w:sz w:val="24"/>
                <w:lang w:val="en-US"/>
              </w:rPr>
              <w:t xml:space="preserve"> AND </w:t>
            </w:r>
            <w:r w:rsidRPr="000479F8">
              <w:rPr>
                <w:rFonts w:ascii="Calibri" w:hAnsi="Calibri"/>
                <w:i/>
                <w:iCs/>
                <w:color w:val="00B050"/>
                <w:sz w:val="24"/>
                <w:lang w:val="en-US"/>
              </w:rPr>
              <w:t>(advancements OR assets OR advantage OR benefit OR bonus OR favors OR gain OR merits OR perks OR plus OR positive OR profit OR provision OR privilege OR profits OR reward)</w:t>
            </w:r>
          </w:p>
        </w:tc>
      </w:tr>
      <w:tr w:rsidR="000479F8" w:rsidRPr="000479F8" w14:paraId="28D81544" w14:textId="77777777" w:rsidTr="000479F8">
        <w:tc>
          <w:tcPr>
            <w:tcW w:w="0" w:type="auto"/>
            <w:vAlign w:val="center"/>
          </w:tcPr>
          <w:p w14:paraId="126CBF2E" w14:textId="1F2C43D0" w:rsidR="00CD02AA" w:rsidRPr="00CD02AA" w:rsidRDefault="00CD02AA" w:rsidP="00CD02AA">
            <w:pPr>
              <w:widowControl w:val="0"/>
              <w:shd w:val="clear" w:color="auto" w:fill="FFFFFF"/>
              <w:rPr>
                <w:rFonts w:ascii="Calibri" w:hAnsi="Calibri" w:cs="Arial"/>
                <w:sz w:val="24"/>
                <w:szCs w:val="19"/>
                <w:lang w:val="en-US" w:eastAsia="cs-CZ"/>
              </w:rPr>
            </w:pPr>
            <w:r w:rsidRPr="00CD02AA">
              <w:rPr>
                <w:rFonts w:ascii="Calibri" w:hAnsi="Calibri" w:cs="Arial"/>
                <w:sz w:val="24"/>
                <w:szCs w:val="19"/>
                <w:lang w:val="en-US" w:eastAsia="cs-CZ"/>
              </w:rPr>
              <w:t>Selection process</w:t>
            </w:r>
            <w:r w:rsidRPr="000479F8">
              <w:rPr>
                <w:rFonts w:ascii="Calibri" w:hAnsi="Calibri" w:cs="Arial"/>
                <w:sz w:val="24"/>
                <w:szCs w:val="19"/>
                <w:lang w:val="en-US" w:eastAsia="cs-CZ"/>
              </w:rPr>
              <w:t xml:space="preserve"> </w:t>
            </w:r>
            <w:r w:rsidRPr="00CD02AA">
              <w:rPr>
                <w:rFonts w:ascii="Calibri" w:hAnsi="Calibri" w:cs="Arial"/>
                <w:sz w:val="24"/>
                <w:szCs w:val="19"/>
                <w:lang w:val="en-US" w:eastAsia="cs-CZ"/>
              </w:rPr>
              <w:t>(using software Rayyan)</w:t>
            </w:r>
          </w:p>
          <w:p w14:paraId="5F0F253E" w14:textId="303BAEDE" w:rsidR="00CD02AA" w:rsidRPr="000479F8" w:rsidRDefault="00CD02AA" w:rsidP="00CD02AA">
            <w:pPr>
              <w:widowControl w:val="0"/>
              <w:shd w:val="clear" w:color="auto" w:fill="FFFFFF"/>
              <w:rPr>
                <w:rFonts w:ascii="Calibri" w:hAnsi="Calibri" w:cs="Arial"/>
                <w:sz w:val="24"/>
                <w:szCs w:val="19"/>
                <w:shd w:val="clear" w:color="auto" w:fill="FFFFFF"/>
                <w:lang w:val="en-US"/>
              </w:rPr>
            </w:pPr>
          </w:p>
        </w:tc>
        <w:tc>
          <w:tcPr>
            <w:tcW w:w="0" w:type="auto"/>
            <w:vAlign w:val="center"/>
          </w:tcPr>
          <w:p w14:paraId="63149D01" w14:textId="79F4C76F" w:rsidR="00CD02AA" w:rsidRPr="000479F8" w:rsidRDefault="00CD02AA" w:rsidP="00CD02AA">
            <w:pPr>
              <w:widowControl w:val="0"/>
              <w:rPr>
                <w:rFonts w:ascii="Calibri" w:hAnsi="Calibri"/>
                <w:sz w:val="24"/>
                <w:lang w:val="en-US"/>
              </w:rPr>
            </w:pPr>
            <w:r w:rsidRPr="000479F8">
              <w:rPr>
                <w:rFonts w:ascii="Calibri" w:hAnsi="Calibri"/>
                <w:noProof/>
                <w:sz w:val="24"/>
                <w:lang w:val="en-US"/>
              </w:rPr>
              <w:drawing>
                <wp:inline distT="0" distB="0" distL="0" distR="0" wp14:anchorId="3E93D6C0" wp14:editId="178BD291">
                  <wp:extent cx="4933950" cy="4219679"/>
                  <wp:effectExtent l="0" t="0" r="0" b="9525"/>
                  <wp:docPr id="5" name="Obrázek 4">
                    <a:extLst xmlns:a="http://schemas.openxmlformats.org/drawingml/2006/main">
                      <a:ext uri="{FF2B5EF4-FFF2-40B4-BE49-F238E27FC236}">
                        <a16:creationId xmlns:a16="http://schemas.microsoft.com/office/drawing/2014/main" id="{329C40DF-5BDB-4D73-8C7E-4B28CD9824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329C40DF-5BDB-4D73-8C7E-4B28CD98243E}"/>
                              </a:ext>
                            </a:extLst>
                          </pic:cNvPr>
                          <pic:cNvPicPr>
                            <a:picLocks noChangeAspect="1"/>
                          </pic:cNvPicPr>
                        </pic:nvPicPr>
                        <pic:blipFill>
                          <a:blip r:embed="rId6"/>
                          <a:stretch>
                            <a:fillRect/>
                          </a:stretch>
                        </pic:blipFill>
                        <pic:spPr>
                          <a:xfrm>
                            <a:off x="0" y="0"/>
                            <a:ext cx="4966640" cy="4247637"/>
                          </a:xfrm>
                          <a:prstGeom prst="rect">
                            <a:avLst/>
                          </a:prstGeom>
                        </pic:spPr>
                      </pic:pic>
                    </a:graphicData>
                  </a:graphic>
                </wp:inline>
              </w:drawing>
            </w:r>
          </w:p>
        </w:tc>
      </w:tr>
      <w:tr w:rsidR="000479F8" w:rsidRPr="000479F8" w14:paraId="405D2E66" w14:textId="77777777" w:rsidTr="000479F8">
        <w:tc>
          <w:tcPr>
            <w:tcW w:w="0" w:type="auto"/>
            <w:vAlign w:val="center"/>
          </w:tcPr>
          <w:p w14:paraId="3D6CDEFD" w14:textId="1D698047" w:rsidR="00CD02AA" w:rsidRPr="000479F8" w:rsidRDefault="00CD02AA" w:rsidP="00CD02AA">
            <w:pPr>
              <w:widowControl w:val="0"/>
              <w:shd w:val="clear" w:color="auto" w:fill="FFFFFF"/>
              <w:rPr>
                <w:rFonts w:ascii="Calibri" w:hAnsi="Calibri" w:cs="Arial"/>
                <w:sz w:val="24"/>
                <w:szCs w:val="19"/>
                <w:lang w:val="en-US" w:eastAsia="cs-CZ"/>
              </w:rPr>
            </w:pPr>
            <w:r w:rsidRPr="000479F8">
              <w:rPr>
                <w:rFonts w:ascii="Calibri" w:hAnsi="Calibri" w:cs="Arial"/>
                <w:sz w:val="24"/>
                <w:szCs w:val="20"/>
                <w:shd w:val="clear" w:color="auto" w:fill="FFFFFF"/>
                <w:lang w:val="en-US"/>
              </w:rPr>
              <w:t>Study Qualit</w:t>
            </w:r>
            <w:r w:rsidRPr="000479F8">
              <w:rPr>
                <w:rFonts w:ascii="Calibri" w:hAnsi="Calibri" w:cs="Arial"/>
                <w:sz w:val="24"/>
                <w:szCs w:val="20"/>
                <w:shd w:val="clear" w:color="auto" w:fill="FFFFFF"/>
                <w:lang w:val="en-US"/>
              </w:rPr>
              <w:t>y</w:t>
            </w:r>
          </w:p>
        </w:tc>
        <w:tc>
          <w:tcPr>
            <w:tcW w:w="0" w:type="auto"/>
            <w:vAlign w:val="center"/>
          </w:tcPr>
          <w:p w14:paraId="0114DD13" w14:textId="77777777" w:rsidR="00CD02AA" w:rsidRPr="00CD02AA" w:rsidRDefault="00CD02AA" w:rsidP="000479F8">
            <w:pPr>
              <w:keepNext/>
              <w:widowControl w:val="0"/>
              <w:rPr>
                <w:rFonts w:ascii="Calibri" w:hAnsi="Calibri"/>
                <w:sz w:val="24"/>
                <w:lang w:val="en-US"/>
              </w:rPr>
            </w:pPr>
            <w:r w:rsidRPr="00CD02AA">
              <w:rPr>
                <w:rFonts w:ascii="Calibri" w:hAnsi="Calibri"/>
                <w:b/>
                <w:bCs/>
                <w:sz w:val="24"/>
                <w:lang w:val="en-US"/>
              </w:rPr>
              <w:t>Evaluation of the quality of studies according to criteria</w:t>
            </w:r>
          </w:p>
          <w:p w14:paraId="675370BB" w14:textId="77777777" w:rsidR="00CD02AA" w:rsidRPr="000479F8" w:rsidRDefault="00CD02AA" w:rsidP="000479F8">
            <w:pPr>
              <w:keepNext/>
              <w:widowControl w:val="0"/>
              <w:rPr>
                <w:rFonts w:ascii="Calibri" w:hAnsi="Calibri"/>
                <w:sz w:val="24"/>
                <w:lang w:val="en-US"/>
              </w:rPr>
            </w:pPr>
            <w:r w:rsidRPr="000479F8">
              <w:rPr>
                <w:rFonts w:ascii="Calibri" w:hAnsi="Calibri"/>
                <w:sz w:val="24"/>
                <w:lang w:val="en-US"/>
              </w:rPr>
              <w:t xml:space="preserve">Downs, S. H., &amp; Black, N. (1998). The feasibility of creating a checklist for the assessment </w:t>
            </w:r>
            <w:r w:rsidRPr="000479F8">
              <w:rPr>
                <w:rFonts w:ascii="Calibri" w:hAnsi="Calibri"/>
                <w:sz w:val="24"/>
                <w:lang w:val="en-US"/>
              </w:rPr>
              <w:lastRenderedPageBreak/>
              <w:t xml:space="preserve">of the methodological quality both of </w:t>
            </w:r>
            <w:proofErr w:type="spellStart"/>
            <w:r w:rsidRPr="000479F8">
              <w:rPr>
                <w:rFonts w:ascii="Calibri" w:hAnsi="Calibri"/>
                <w:sz w:val="24"/>
                <w:lang w:val="en-US"/>
              </w:rPr>
              <w:t>randomised</w:t>
            </w:r>
            <w:proofErr w:type="spellEnd"/>
            <w:r w:rsidRPr="000479F8">
              <w:rPr>
                <w:rFonts w:ascii="Calibri" w:hAnsi="Calibri"/>
                <w:sz w:val="24"/>
                <w:lang w:val="en-US"/>
              </w:rPr>
              <w:t xml:space="preserve"> and non-</w:t>
            </w:r>
            <w:proofErr w:type="spellStart"/>
            <w:r w:rsidRPr="000479F8">
              <w:rPr>
                <w:rFonts w:ascii="Calibri" w:hAnsi="Calibri"/>
                <w:sz w:val="24"/>
                <w:lang w:val="en-US"/>
              </w:rPr>
              <w:t>randomised</w:t>
            </w:r>
            <w:proofErr w:type="spellEnd"/>
            <w:r w:rsidRPr="000479F8">
              <w:rPr>
                <w:rFonts w:ascii="Calibri" w:hAnsi="Calibri"/>
                <w:sz w:val="24"/>
                <w:lang w:val="en-US"/>
              </w:rPr>
              <w:t xml:space="preserve"> studies of health care interventions. </w:t>
            </w:r>
            <w:r w:rsidRPr="000479F8">
              <w:rPr>
                <w:rFonts w:ascii="Calibri" w:hAnsi="Calibri"/>
                <w:i/>
                <w:iCs/>
                <w:sz w:val="24"/>
                <w:lang w:val="en-US"/>
              </w:rPr>
              <w:t>Journal of Epidemiology &amp; Community Health</w:t>
            </w:r>
            <w:r w:rsidRPr="000479F8">
              <w:rPr>
                <w:rFonts w:ascii="Calibri" w:hAnsi="Calibri"/>
                <w:sz w:val="24"/>
                <w:lang w:val="en-US"/>
              </w:rPr>
              <w:t xml:space="preserve">, </w:t>
            </w:r>
            <w:r w:rsidRPr="000479F8">
              <w:rPr>
                <w:rFonts w:ascii="Calibri" w:hAnsi="Calibri"/>
                <w:i/>
                <w:iCs/>
                <w:sz w:val="24"/>
                <w:lang w:val="en-US"/>
              </w:rPr>
              <w:t>52(6)</w:t>
            </w:r>
            <w:r w:rsidRPr="000479F8">
              <w:rPr>
                <w:rFonts w:ascii="Calibri" w:hAnsi="Calibri"/>
                <w:sz w:val="24"/>
                <w:lang w:val="en-US"/>
              </w:rPr>
              <w:t xml:space="preserve">, 377–384. </w:t>
            </w:r>
            <w:hyperlink r:id="rId7" w:history="1">
              <w:r w:rsidRPr="000479F8">
                <w:rPr>
                  <w:rStyle w:val="Hypertextovodkaz"/>
                  <w:rFonts w:ascii="Calibri" w:hAnsi="Calibri"/>
                  <w:sz w:val="24"/>
                  <w:lang w:val="en-US"/>
                </w:rPr>
                <w:t>https://doi.org/10.1136/jech.52.6.377</w:t>
              </w:r>
            </w:hyperlink>
          </w:p>
          <w:p w14:paraId="5A244D7B" w14:textId="77777777" w:rsidR="00CD02AA" w:rsidRPr="000479F8" w:rsidRDefault="00CD02AA" w:rsidP="00CD02AA">
            <w:pPr>
              <w:widowControl w:val="0"/>
              <w:rPr>
                <w:rFonts w:ascii="Calibri" w:hAnsi="Calibri"/>
                <w:sz w:val="24"/>
                <w:lang w:val="en-US"/>
              </w:rPr>
            </w:pPr>
          </w:p>
          <w:p w14:paraId="14B35F56" w14:textId="70976880" w:rsidR="00CD02AA" w:rsidRPr="000479F8" w:rsidRDefault="00CD02AA" w:rsidP="00CD02AA">
            <w:pPr>
              <w:widowControl w:val="0"/>
              <w:rPr>
                <w:rFonts w:ascii="Calibri" w:hAnsi="Calibri"/>
                <w:sz w:val="24"/>
                <w:lang w:val="en-US"/>
              </w:rPr>
            </w:pPr>
            <w:r w:rsidRPr="00CD02AA">
              <w:rPr>
                <w:rFonts w:ascii="Calibri" w:hAnsi="Calibri"/>
                <w:sz w:val="24"/>
                <w:lang w:val="en-US"/>
              </w:rPr>
              <w:t>Final scores were converted to percentages and methodological quality was classified as follows: &lt;45.4% “poor” methodological quality; 45.4–61.0%, “fair” methodological quality; &gt;61.0%, “good” methodological quality</w:t>
            </w:r>
          </w:p>
        </w:tc>
      </w:tr>
      <w:tr w:rsidR="000479F8" w:rsidRPr="000479F8" w14:paraId="397C6939" w14:textId="77777777" w:rsidTr="000479F8">
        <w:tc>
          <w:tcPr>
            <w:tcW w:w="0" w:type="auto"/>
            <w:vAlign w:val="center"/>
          </w:tcPr>
          <w:p w14:paraId="14780E8E" w14:textId="77777777" w:rsidR="00CD02AA" w:rsidRPr="00CD02AA" w:rsidRDefault="00CD02AA" w:rsidP="00CD02AA">
            <w:pPr>
              <w:widowControl w:val="0"/>
              <w:shd w:val="clear" w:color="auto" w:fill="FFFFFF"/>
              <w:rPr>
                <w:rFonts w:ascii="Calibri" w:hAnsi="Calibri" w:cs="Arial"/>
                <w:sz w:val="24"/>
                <w:szCs w:val="19"/>
                <w:lang w:val="en-US" w:eastAsia="cs-CZ"/>
              </w:rPr>
            </w:pPr>
            <w:r w:rsidRPr="00CD02AA">
              <w:rPr>
                <w:rFonts w:ascii="Calibri" w:hAnsi="Calibri" w:cs="Arial"/>
                <w:sz w:val="24"/>
                <w:szCs w:val="19"/>
                <w:lang w:val="en-US" w:eastAsia="cs-CZ"/>
              </w:rPr>
              <w:lastRenderedPageBreak/>
              <w:t>Describe the Results</w:t>
            </w:r>
          </w:p>
          <w:p w14:paraId="5CD30FC9" w14:textId="77777777" w:rsidR="00CD02AA" w:rsidRPr="00CD02AA" w:rsidRDefault="00CD02AA" w:rsidP="00CD02AA">
            <w:pPr>
              <w:widowControl w:val="0"/>
              <w:shd w:val="clear" w:color="auto" w:fill="FFFFFF"/>
              <w:rPr>
                <w:rFonts w:ascii="Calibri" w:hAnsi="Calibri" w:cs="Arial"/>
                <w:sz w:val="24"/>
                <w:szCs w:val="19"/>
                <w:lang w:val="en-US" w:eastAsia="cs-CZ"/>
              </w:rPr>
            </w:pPr>
            <w:r w:rsidRPr="00CD02AA">
              <w:rPr>
                <w:rFonts w:ascii="Calibri" w:hAnsi="Calibri" w:cs="Arial"/>
                <w:sz w:val="24"/>
                <w:szCs w:val="19"/>
                <w:lang w:val="en-US" w:eastAsia="cs-CZ"/>
              </w:rPr>
              <w:t>(Data analysis)</w:t>
            </w:r>
          </w:p>
          <w:p w14:paraId="32D87527" w14:textId="77777777" w:rsidR="00CD02AA" w:rsidRPr="000479F8" w:rsidRDefault="00CD02AA" w:rsidP="00CD02AA">
            <w:pPr>
              <w:widowControl w:val="0"/>
              <w:shd w:val="clear" w:color="auto" w:fill="FFFFFF"/>
              <w:rPr>
                <w:rFonts w:ascii="Calibri" w:hAnsi="Calibri" w:cs="Arial"/>
                <w:sz w:val="24"/>
                <w:szCs w:val="20"/>
                <w:shd w:val="clear" w:color="auto" w:fill="FFFFFF"/>
                <w:lang w:val="en-US"/>
              </w:rPr>
            </w:pPr>
          </w:p>
        </w:tc>
        <w:tc>
          <w:tcPr>
            <w:tcW w:w="0" w:type="auto"/>
            <w:vMerge w:val="restart"/>
            <w:vAlign w:val="center"/>
          </w:tcPr>
          <w:p w14:paraId="17994D49" w14:textId="77777777" w:rsidR="00CD02AA" w:rsidRPr="00CD02AA" w:rsidRDefault="00CD02AA" w:rsidP="00CD02AA">
            <w:pPr>
              <w:widowControl w:val="0"/>
              <w:numPr>
                <w:ilvl w:val="0"/>
                <w:numId w:val="3"/>
              </w:numPr>
              <w:rPr>
                <w:rFonts w:ascii="Calibri" w:hAnsi="Calibri"/>
                <w:sz w:val="24"/>
                <w:lang w:val="en-US"/>
              </w:rPr>
            </w:pPr>
            <w:r w:rsidRPr="00CD02AA">
              <w:rPr>
                <w:rFonts w:ascii="Calibri" w:hAnsi="Calibri"/>
                <w:sz w:val="24"/>
                <w:lang w:val="en-US"/>
              </w:rPr>
              <w:t>General interpretation of results in the context of other evidence</w:t>
            </w:r>
          </w:p>
          <w:p w14:paraId="6F3696EC" w14:textId="77777777" w:rsidR="00CD02AA" w:rsidRPr="00CD02AA" w:rsidRDefault="00CD02AA" w:rsidP="00CD02AA">
            <w:pPr>
              <w:widowControl w:val="0"/>
              <w:numPr>
                <w:ilvl w:val="0"/>
                <w:numId w:val="3"/>
              </w:numPr>
              <w:rPr>
                <w:rFonts w:ascii="Calibri" w:hAnsi="Calibri"/>
                <w:sz w:val="24"/>
                <w:lang w:val="en-US"/>
              </w:rPr>
            </w:pPr>
            <w:r w:rsidRPr="00CD02AA">
              <w:rPr>
                <w:rFonts w:ascii="Calibri" w:hAnsi="Calibri"/>
                <w:sz w:val="24"/>
                <w:lang w:val="en-US"/>
              </w:rPr>
              <w:t>Implications for practice, the field, and future research</w:t>
            </w:r>
          </w:p>
          <w:p w14:paraId="1C48DEC9" w14:textId="77777777" w:rsidR="00CD02AA" w:rsidRPr="00CD02AA" w:rsidRDefault="00CD02AA" w:rsidP="00CD02AA">
            <w:pPr>
              <w:widowControl w:val="0"/>
              <w:numPr>
                <w:ilvl w:val="0"/>
                <w:numId w:val="3"/>
              </w:numPr>
              <w:rPr>
                <w:rFonts w:ascii="Calibri" w:hAnsi="Calibri"/>
                <w:sz w:val="24"/>
                <w:lang w:val="en-US"/>
              </w:rPr>
            </w:pPr>
            <w:r w:rsidRPr="00CD02AA">
              <w:rPr>
                <w:rFonts w:ascii="Calibri" w:hAnsi="Calibri"/>
                <w:sz w:val="24"/>
                <w:lang w:val="en-US"/>
              </w:rPr>
              <w:t>Limits of the studies included in the research</w:t>
            </w:r>
          </w:p>
          <w:p w14:paraId="06A4371B" w14:textId="77777777" w:rsidR="00CD02AA" w:rsidRPr="000479F8" w:rsidRDefault="00CD02AA" w:rsidP="00CD02AA">
            <w:pPr>
              <w:widowControl w:val="0"/>
              <w:numPr>
                <w:ilvl w:val="0"/>
                <w:numId w:val="3"/>
              </w:numPr>
              <w:rPr>
                <w:rFonts w:ascii="Calibri" w:hAnsi="Calibri"/>
                <w:sz w:val="24"/>
                <w:lang w:val="en-US"/>
              </w:rPr>
            </w:pPr>
            <w:r w:rsidRPr="00CD02AA">
              <w:rPr>
                <w:rFonts w:ascii="Calibri" w:hAnsi="Calibri"/>
                <w:sz w:val="24"/>
                <w:lang w:val="en-US"/>
              </w:rPr>
              <w:t>Limits of the systematic review procedure</w:t>
            </w:r>
          </w:p>
          <w:p w14:paraId="2FB25DF6" w14:textId="77777777" w:rsidR="000479F8" w:rsidRPr="000479F8" w:rsidRDefault="000479F8" w:rsidP="000479F8">
            <w:pPr>
              <w:widowControl w:val="0"/>
              <w:rPr>
                <w:rFonts w:ascii="Calibri" w:hAnsi="Calibri"/>
                <w:sz w:val="24"/>
                <w:lang w:val="en-US"/>
              </w:rPr>
            </w:pPr>
          </w:p>
          <w:p w14:paraId="5A9DB18E" w14:textId="77777777" w:rsidR="000479F8" w:rsidRPr="000479F8" w:rsidRDefault="000479F8" w:rsidP="000479F8">
            <w:pPr>
              <w:pStyle w:val="Odstavecseseznamem"/>
              <w:widowControl w:val="0"/>
              <w:numPr>
                <w:ilvl w:val="0"/>
                <w:numId w:val="4"/>
              </w:numPr>
              <w:rPr>
                <w:i/>
                <w:iCs/>
                <w:lang w:val="en-US"/>
              </w:rPr>
            </w:pPr>
            <w:r w:rsidRPr="000479F8">
              <w:rPr>
                <w:b/>
                <w:bCs/>
                <w:i/>
                <w:iCs/>
                <w:lang w:val="en-US"/>
              </w:rPr>
              <w:t>Cognitive &amp; psychological benefits</w:t>
            </w:r>
            <w:r w:rsidRPr="000479F8">
              <w:rPr>
                <w:i/>
                <w:iCs/>
                <w:lang w:val="en-US"/>
              </w:rPr>
              <w:t>.</w:t>
            </w:r>
            <w:r w:rsidRPr="000479F8">
              <w:rPr>
                <w:i/>
                <w:iCs/>
                <w:lang w:val="en-US"/>
              </w:rPr>
              <w:t xml:space="preserve"> </w:t>
            </w:r>
            <w:proofErr w:type="spellStart"/>
            <w:r w:rsidRPr="000479F8">
              <w:rPr>
                <w:i/>
                <w:iCs/>
                <w:lang w:val="en-US"/>
              </w:rPr>
              <w:t>Esport’s</w:t>
            </w:r>
            <w:proofErr w:type="spellEnd"/>
            <w:r w:rsidRPr="000479F8">
              <w:rPr>
                <w:i/>
                <w:iCs/>
                <w:lang w:val="en-US"/>
              </w:rPr>
              <w:t xml:space="preserve"> cognitive and psychological benefits were the primary focus of most studies analyzed, with 23 (see Tables 13-17) addressing these benefits. The overall findings suggest a positive influence on various cognitive functions including attention, speed of information processing, and decision -making abilities. Additionally, other frequently reported benefits include visual spatial memory (Benoit et al., 2020; Campbell et al., 2018; </w:t>
            </w:r>
            <w:proofErr w:type="spellStart"/>
            <w:r w:rsidRPr="000479F8">
              <w:rPr>
                <w:i/>
                <w:iCs/>
                <w:lang w:val="en-US"/>
              </w:rPr>
              <w:t>Grushko</w:t>
            </w:r>
            <w:proofErr w:type="spellEnd"/>
            <w:r w:rsidRPr="000479F8">
              <w:rPr>
                <w:i/>
                <w:iCs/>
                <w:lang w:val="en-US"/>
              </w:rPr>
              <w:t xml:space="preserve"> et al., 2021; Wechsler et al., 2021), Pleasure or enjoyment (Abbasi </w:t>
            </w:r>
            <w:proofErr w:type="spellStart"/>
            <w:r w:rsidRPr="000479F8">
              <w:rPr>
                <w:i/>
                <w:iCs/>
                <w:lang w:val="en-US"/>
              </w:rPr>
              <w:t>etl</w:t>
            </w:r>
            <w:proofErr w:type="spellEnd"/>
            <w:r w:rsidRPr="000479F8">
              <w:rPr>
                <w:i/>
                <w:iCs/>
                <w:lang w:val="en-US"/>
              </w:rPr>
              <w:t xml:space="preserve">., 2023; </w:t>
            </w:r>
            <w:proofErr w:type="spellStart"/>
            <w:r w:rsidRPr="000479F8">
              <w:rPr>
                <w:i/>
                <w:iCs/>
                <w:lang w:val="en-US"/>
              </w:rPr>
              <w:t>Baltezarević</w:t>
            </w:r>
            <w:proofErr w:type="spellEnd"/>
            <w:r w:rsidRPr="000479F8">
              <w:rPr>
                <w:i/>
                <w:iCs/>
                <w:lang w:val="en-US"/>
              </w:rPr>
              <w:t xml:space="preserve"> &amp; </w:t>
            </w:r>
            <w:proofErr w:type="spellStart"/>
            <w:r w:rsidRPr="000479F8">
              <w:rPr>
                <w:i/>
                <w:iCs/>
                <w:lang w:val="en-US"/>
              </w:rPr>
              <w:t>Baltezarević</w:t>
            </w:r>
            <w:proofErr w:type="spellEnd"/>
            <w:r w:rsidRPr="000479F8">
              <w:rPr>
                <w:i/>
                <w:iCs/>
                <w:lang w:val="en-US"/>
              </w:rPr>
              <w:t xml:space="preserve">, 2019; </w:t>
            </w:r>
            <w:proofErr w:type="spellStart"/>
            <w:r w:rsidRPr="000479F8">
              <w:rPr>
                <w:i/>
                <w:iCs/>
                <w:lang w:val="en-US"/>
              </w:rPr>
              <w:t>Carboine</w:t>
            </w:r>
            <w:proofErr w:type="spellEnd"/>
            <w:r w:rsidRPr="000479F8">
              <w:rPr>
                <w:i/>
                <w:iCs/>
                <w:lang w:val="en-US"/>
              </w:rPr>
              <w:t xml:space="preserve"> et al., 2018; Guo et al., 2020; Leung &amp; Chu, 2023; </w:t>
            </w:r>
            <w:proofErr w:type="spellStart"/>
            <w:r w:rsidRPr="000479F8">
              <w:rPr>
                <w:i/>
                <w:iCs/>
                <w:lang w:val="en-US"/>
              </w:rPr>
              <w:t>Onishi</w:t>
            </w:r>
            <w:proofErr w:type="spellEnd"/>
            <w:r w:rsidRPr="000479F8">
              <w:rPr>
                <w:i/>
                <w:iCs/>
                <w:lang w:val="en-US"/>
              </w:rPr>
              <w:t xml:space="preserve"> et al., 2022). Furthermore, Campbell (2018) reported that esports also offer numerous benefits to children with dyslexia such as enhancing word recognition and reading efficiency. </w:t>
            </w:r>
          </w:p>
          <w:p w14:paraId="298ED0A6" w14:textId="6EB16F66" w:rsidR="000479F8" w:rsidRPr="000479F8" w:rsidRDefault="000479F8" w:rsidP="000479F8">
            <w:pPr>
              <w:pStyle w:val="Odstavecseseznamem"/>
              <w:widowControl w:val="0"/>
              <w:numPr>
                <w:ilvl w:val="0"/>
                <w:numId w:val="4"/>
              </w:numPr>
              <w:rPr>
                <w:i/>
                <w:iCs/>
                <w:lang w:val="en-US"/>
              </w:rPr>
            </w:pPr>
            <w:r w:rsidRPr="000479F8">
              <w:rPr>
                <w:b/>
                <w:bCs/>
                <w:i/>
                <w:iCs/>
                <w:lang w:val="en-US"/>
              </w:rPr>
              <w:t>Social Benefits</w:t>
            </w:r>
            <w:r w:rsidRPr="000479F8">
              <w:rPr>
                <w:i/>
                <w:iCs/>
                <w:lang w:val="en-US"/>
              </w:rPr>
              <w:t xml:space="preserve"> Out of 49 research projects, 25 (see Tables 18-22) evaluated the positive effects on society. The results revealed three main advantages: enhancement of social relationships and community cohesion, stronger interpersonal connections, and better communication abilities. Communication was identified as the most cited benefit (40% of studies). Notably, </w:t>
            </w:r>
            <w:proofErr w:type="spellStart"/>
            <w:r w:rsidRPr="000479F8">
              <w:rPr>
                <w:i/>
                <w:iCs/>
                <w:lang w:val="en-US"/>
              </w:rPr>
              <w:t>Tabacof</w:t>
            </w:r>
            <w:proofErr w:type="spellEnd"/>
            <w:r w:rsidRPr="000479F8">
              <w:rPr>
                <w:i/>
                <w:iCs/>
                <w:lang w:val="en-US"/>
              </w:rPr>
              <w:t xml:space="preserve"> (2021) conducted a study that concentrated on individuals with spinal cord injuries and examined the influence of </w:t>
            </w:r>
            <w:proofErr w:type="spellStart"/>
            <w:r w:rsidRPr="000479F8">
              <w:rPr>
                <w:i/>
                <w:iCs/>
                <w:lang w:val="en-US"/>
              </w:rPr>
              <w:t>esport</w:t>
            </w:r>
            <w:proofErr w:type="spellEnd"/>
            <w:r w:rsidRPr="000479F8">
              <w:rPr>
                <w:i/>
                <w:iCs/>
                <w:lang w:val="en-US"/>
              </w:rPr>
              <w:t xml:space="preserve"> activities on their social well-being. The findings indicated that following participation in these activities, patients experienced an increased sense of belonging within their social circles and reduced feelings of isolation. </w:t>
            </w:r>
          </w:p>
          <w:p w14:paraId="68A37E3C" w14:textId="77777777" w:rsidR="000479F8" w:rsidRPr="000479F8" w:rsidRDefault="000479F8" w:rsidP="000479F8">
            <w:pPr>
              <w:pStyle w:val="Odstavecseseznamem"/>
              <w:widowControl w:val="0"/>
              <w:numPr>
                <w:ilvl w:val="0"/>
                <w:numId w:val="4"/>
              </w:numPr>
              <w:rPr>
                <w:i/>
                <w:iCs/>
                <w:lang w:val="en-US"/>
              </w:rPr>
            </w:pPr>
            <w:r w:rsidRPr="000479F8">
              <w:rPr>
                <w:b/>
                <w:bCs/>
                <w:i/>
                <w:iCs/>
                <w:lang w:val="en-US"/>
              </w:rPr>
              <w:t>Educational and career benefits</w:t>
            </w:r>
            <w:r w:rsidRPr="000479F8">
              <w:rPr>
                <w:i/>
                <w:iCs/>
                <w:lang w:val="en-US"/>
              </w:rPr>
              <w:t xml:space="preserve"> Among the 10 (see Tables 23, 24) research studies that investigated the educational and career advantages of esports, one highlighted the potential for improvement in academic performance (</w:t>
            </w:r>
            <w:proofErr w:type="spellStart"/>
            <w:r w:rsidRPr="000479F8">
              <w:rPr>
                <w:i/>
                <w:iCs/>
                <w:lang w:val="en-US"/>
              </w:rPr>
              <w:t>Delello</w:t>
            </w:r>
            <w:proofErr w:type="spellEnd"/>
            <w:r w:rsidRPr="000479F8">
              <w:rPr>
                <w:i/>
                <w:iCs/>
                <w:lang w:val="en-US"/>
              </w:rPr>
              <w:t xml:space="preserve"> et al., 2021). Another pair of studies demonstrated how esports could serve as an effective learning tool (Bisht et al., 2022; Wong et al., 2011), while four other studies focused on career prospects and financial autonomy achievable through participation in esports (Harris et al., 2022; Lu et al., 2010; </w:t>
            </w:r>
            <w:proofErr w:type="spellStart"/>
            <w:r w:rsidRPr="000479F8">
              <w:rPr>
                <w:i/>
                <w:iCs/>
                <w:lang w:val="en-US"/>
              </w:rPr>
              <w:t>Keskin</w:t>
            </w:r>
            <w:proofErr w:type="spellEnd"/>
            <w:r w:rsidRPr="000479F8">
              <w:rPr>
                <w:i/>
                <w:iCs/>
                <w:lang w:val="en-US"/>
              </w:rPr>
              <w:t xml:space="preserve"> &amp; Aral, 2021; </w:t>
            </w:r>
            <w:proofErr w:type="spellStart"/>
            <w:r w:rsidRPr="000479F8">
              <w:rPr>
                <w:i/>
                <w:iCs/>
                <w:lang w:val="en-US"/>
              </w:rPr>
              <w:t>Shynkaruk</w:t>
            </w:r>
            <w:proofErr w:type="spellEnd"/>
            <w:r w:rsidRPr="000479F8">
              <w:rPr>
                <w:i/>
                <w:iCs/>
                <w:lang w:val="en-US"/>
              </w:rPr>
              <w:t xml:space="preserve"> et al., 2021; Willis &amp; </w:t>
            </w:r>
            <w:proofErr w:type="spellStart"/>
            <w:r w:rsidRPr="000479F8">
              <w:rPr>
                <w:i/>
                <w:iCs/>
                <w:lang w:val="en-US"/>
              </w:rPr>
              <w:t>Manik</w:t>
            </w:r>
            <w:proofErr w:type="spellEnd"/>
            <w:r w:rsidRPr="000479F8">
              <w:rPr>
                <w:i/>
                <w:iCs/>
                <w:lang w:val="en-US"/>
              </w:rPr>
              <w:t>, 2022). These opportunities included skills development such as coding (</w:t>
            </w:r>
            <w:proofErr w:type="spellStart"/>
            <w:r w:rsidRPr="000479F8">
              <w:rPr>
                <w:i/>
                <w:iCs/>
                <w:lang w:val="en-US"/>
              </w:rPr>
              <w:t>Keskin</w:t>
            </w:r>
            <w:proofErr w:type="spellEnd"/>
            <w:r w:rsidRPr="000479F8">
              <w:rPr>
                <w:i/>
                <w:iCs/>
                <w:lang w:val="en-US"/>
              </w:rPr>
              <w:t xml:space="preserve"> &amp; Aral, 2021) or media production expertise (Harris et al., 2022). Lastly </w:t>
            </w:r>
            <w:proofErr w:type="spellStart"/>
            <w:r w:rsidRPr="000479F8">
              <w:rPr>
                <w:i/>
                <w:iCs/>
                <w:lang w:val="en-US"/>
              </w:rPr>
              <w:t>Türkay</w:t>
            </w:r>
            <w:proofErr w:type="spellEnd"/>
            <w:r w:rsidRPr="000479F8">
              <w:rPr>
                <w:i/>
                <w:iCs/>
                <w:lang w:val="en-US"/>
              </w:rPr>
              <w:t xml:space="preserve"> et al. (2021) suggested that VR sports have future potential for use in medical team training. RESULTS 40 </w:t>
            </w:r>
          </w:p>
          <w:p w14:paraId="35131E41" w14:textId="5B911A1C" w:rsidR="000479F8" w:rsidRPr="000479F8" w:rsidRDefault="000479F8" w:rsidP="000479F8">
            <w:pPr>
              <w:pStyle w:val="Odstavecseseznamem"/>
              <w:widowControl w:val="0"/>
              <w:numPr>
                <w:ilvl w:val="0"/>
                <w:numId w:val="4"/>
              </w:numPr>
              <w:rPr>
                <w:rFonts w:ascii="Calibri" w:hAnsi="Calibri"/>
                <w:i/>
                <w:iCs/>
                <w:sz w:val="24"/>
                <w:lang w:val="en-US"/>
              </w:rPr>
            </w:pPr>
            <w:r w:rsidRPr="000479F8">
              <w:rPr>
                <w:b/>
                <w:bCs/>
                <w:i/>
                <w:iCs/>
                <w:lang w:val="en-US"/>
              </w:rPr>
              <w:t>Physical Benefits</w:t>
            </w:r>
            <w:r w:rsidRPr="000479F8">
              <w:rPr>
                <w:i/>
                <w:iCs/>
                <w:lang w:val="en-US"/>
              </w:rPr>
              <w:t xml:space="preserve"> The physical benefits were examined in 9 studies (see Tables 25, 26) and on the results showed that playing </w:t>
            </w:r>
            <w:proofErr w:type="spellStart"/>
            <w:r w:rsidRPr="000479F8">
              <w:rPr>
                <w:i/>
                <w:iCs/>
                <w:lang w:val="en-US"/>
              </w:rPr>
              <w:t>esport</w:t>
            </w:r>
            <w:proofErr w:type="spellEnd"/>
            <w:r w:rsidRPr="000479F8">
              <w:rPr>
                <w:i/>
                <w:iCs/>
                <w:lang w:val="en-US"/>
              </w:rPr>
              <w:t xml:space="preserve"> reduces the risk of obesity in children and adolescents due to the increased motivation in physical sports and real-world exercising (Fletcher et al., 2020; </w:t>
            </w:r>
            <w:proofErr w:type="spellStart"/>
            <w:r w:rsidRPr="000479F8">
              <w:rPr>
                <w:i/>
                <w:iCs/>
                <w:lang w:val="en-US"/>
              </w:rPr>
              <w:t>Ketelhut</w:t>
            </w:r>
            <w:proofErr w:type="spellEnd"/>
            <w:r w:rsidRPr="000479F8">
              <w:rPr>
                <w:i/>
                <w:iCs/>
                <w:lang w:val="en-US"/>
              </w:rPr>
              <w:t xml:space="preserve"> et al., 2021; </w:t>
            </w:r>
            <w:proofErr w:type="spellStart"/>
            <w:r w:rsidRPr="000479F8">
              <w:rPr>
                <w:i/>
                <w:iCs/>
                <w:lang w:val="en-US"/>
              </w:rPr>
              <w:t>Ningning</w:t>
            </w:r>
            <w:proofErr w:type="spellEnd"/>
            <w:r w:rsidRPr="000479F8">
              <w:rPr>
                <w:i/>
                <w:iCs/>
                <w:lang w:val="en-US"/>
              </w:rPr>
              <w:t xml:space="preserve"> &amp; </w:t>
            </w:r>
            <w:proofErr w:type="spellStart"/>
            <w:r w:rsidRPr="000479F8">
              <w:rPr>
                <w:i/>
                <w:iCs/>
                <w:lang w:val="en-US"/>
              </w:rPr>
              <w:t>Wenguang</w:t>
            </w:r>
            <w:proofErr w:type="spellEnd"/>
            <w:r w:rsidRPr="000479F8">
              <w:rPr>
                <w:i/>
                <w:iCs/>
                <w:lang w:val="en-US"/>
              </w:rPr>
              <w:t>, 2023; Ruth et al., 2022). Two studies (</w:t>
            </w:r>
            <w:proofErr w:type="spellStart"/>
            <w:r w:rsidRPr="000479F8">
              <w:rPr>
                <w:i/>
                <w:iCs/>
                <w:lang w:val="en-US"/>
              </w:rPr>
              <w:t>Ersin</w:t>
            </w:r>
            <w:proofErr w:type="spellEnd"/>
            <w:r w:rsidRPr="000479F8">
              <w:rPr>
                <w:i/>
                <w:iCs/>
                <w:lang w:val="en-US"/>
              </w:rPr>
              <w:t xml:space="preserve"> et al., 2022; </w:t>
            </w:r>
            <w:proofErr w:type="spellStart"/>
            <w:r w:rsidRPr="000479F8">
              <w:rPr>
                <w:i/>
                <w:iCs/>
                <w:lang w:val="en-US"/>
              </w:rPr>
              <w:t>Onishi</w:t>
            </w:r>
            <w:proofErr w:type="spellEnd"/>
            <w:r w:rsidRPr="000479F8">
              <w:rPr>
                <w:i/>
                <w:iCs/>
                <w:lang w:val="en-US"/>
              </w:rPr>
              <w:t xml:space="preserve"> et al., 2022) found, that by playing </w:t>
            </w:r>
            <w:proofErr w:type="spellStart"/>
            <w:r w:rsidRPr="000479F8">
              <w:rPr>
                <w:i/>
                <w:iCs/>
                <w:lang w:val="en-US"/>
              </w:rPr>
              <w:t>esport</w:t>
            </w:r>
            <w:proofErr w:type="spellEnd"/>
            <w:r w:rsidRPr="000479F8">
              <w:rPr>
                <w:i/>
                <w:iCs/>
                <w:lang w:val="en-US"/>
              </w:rPr>
              <w:t xml:space="preserve"> your heart rate and energy expenditure is higher than during the sitting. </w:t>
            </w:r>
            <w:proofErr w:type="spellStart"/>
            <w:r w:rsidRPr="000479F8">
              <w:rPr>
                <w:i/>
                <w:iCs/>
                <w:lang w:val="en-US"/>
              </w:rPr>
              <w:t>Ersin</w:t>
            </w:r>
            <w:proofErr w:type="spellEnd"/>
            <w:r w:rsidRPr="000479F8">
              <w:rPr>
                <w:i/>
                <w:iCs/>
                <w:lang w:val="en-US"/>
              </w:rPr>
              <w:t xml:space="preserve"> et al. (2022) highlighted the improvement of hand-eye coordination as in his study, the professional athletes had comparable reaction times as professional </w:t>
            </w:r>
            <w:proofErr w:type="spellStart"/>
            <w:r w:rsidRPr="000479F8">
              <w:rPr>
                <w:i/>
                <w:iCs/>
                <w:lang w:val="en-US"/>
              </w:rPr>
              <w:t>esport</w:t>
            </w:r>
            <w:proofErr w:type="spellEnd"/>
            <w:r w:rsidRPr="000479F8">
              <w:rPr>
                <w:i/>
                <w:iCs/>
                <w:lang w:val="en-US"/>
              </w:rPr>
              <w:t xml:space="preserve"> athletes. One study found, that VR sports are considered as a physical activity and have health benefits (</w:t>
            </w:r>
            <w:proofErr w:type="spellStart"/>
            <w:r w:rsidRPr="000479F8">
              <w:rPr>
                <w:i/>
                <w:iCs/>
                <w:lang w:val="en-US"/>
              </w:rPr>
              <w:t>Türkay</w:t>
            </w:r>
            <w:proofErr w:type="spellEnd"/>
            <w:r w:rsidRPr="000479F8">
              <w:rPr>
                <w:i/>
                <w:iCs/>
                <w:lang w:val="en-US"/>
              </w:rPr>
              <w:t xml:space="preserve"> et al. 2021). Lastly, </w:t>
            </w:r>
            <w:proofErr w:type="spellStart"/>
            <w:r w:rsidRPr="000479F8">
              <w:rPr>
                <w:i/>
                <w:iCs/>
                <w:lang w:val="en-US"/>
              </w:rPr>
              <w:t>Rossoni</w:t>
            </w:r>
            <w:proofErr w:type="spellEnd"/>
            <w:r w:rsidRPr="000479F8">
              <w:rPr>
                <w:i/>
                <w:iCs/>
                <w:lang w:val="en-US"/>
              </w:rPr>
              <w:t xml:space="preserve"> et al. (2022) mentions the possible injury prevention strategies and programs.</w:t>
            </w:r>
          </w:p>
        </w:tc>
      </w:tr>
      <w:tr w:rsidR="000479F8" w:rsidRPr="000479F8" w14:paraId="27600F69" w14:textId="77777777" w:rsidTr="000479F8">
        <w:tc>
          <w:tcPr>
            <w:tcW w:w="0" w:type="auto"/>
            <w:vAlign w:val="center"/>
          </w:tcPr>
          <w:p w14:paraId="23BFBD78" w14:textId="335C0D62" w:rsidR="00CD02AA" w:rsidRPr="000479F8" w:rsidRDefault="00CD02AA" w:rsidP="000479F8">
            <w:pPr>
              <w:widowControl w:val="0"/>
              <w:shd w:val="clear" w:color="auto" w:fill="FFFFFF"/>
              <w:rPr>
                <w:rFonts w:ascii="Calibri" w:hAnsi="Calibri" w:cs="Arial"/>
                <w:sz w:val="24"/>
                <w:szCs w:val="19"/>
                <w:lang w:val="en-US" w:eastAsia="cs-CZ"/>
              </w:rPr>
            </w:pPr>
            <w:r w:rsidRPr="00CD02AA">
              <w:rPr>
                <w:rFonts w:ascii="Calibri" w:hAnsi="Calibri" w:cs="Arial"/>
                <w:sz w:val="24"/>
                <w:szCs w:val="19"/>
                <w:lang w:val="en-US" w:eastAsia="cs-CZ"/>
              </w:rPr>
              <w:t>Summarize the findings</w:t>
            </w:r>
            <w:r w:rsidR="000479F8" w:rsidRPr="000479F8">
              <w:rPr>
                <w:rFonts w:ascii="Calibri" w:hAnsi="Calibri" w:cs="Arial"/>
                <w:sz w:val="24"/>
                <w:szCs w:val="19"/>
                <w:lang w:val="en-US" w:eastAsia="cs-CZ"/>
              </w:rPr>
              <w:t xml:space="preserve">, </w:t>
            </w:r>
            <w:r w:rsidRPr="00CD02AA">
              <w:rPr>
                <w:rFonts w:ascii="Calibri" w:hAnsi="Calibri" w:cs="Arial"/>
                <w:sz w:val="24"/>
                <w:szCs w:val="19"/>
                <w:lang w:val="en-US" w:eastAsia="cs-CZ"/>
              </w:rPr>
              <w:t>discussion</w:t>
            </w:r>
            <w:r w:rsidR="000479F8" w:rsidRPr="000479F8">
              <w:rPr>
                <w:rFonts w:ascii="Calibri" w:hAnsi="Calibri" w:cs="Arial"/>
                <w:sz w:val="24"/>
                <w:szCs w:val="19"/>
                <w:lang w:val="en-US" w:eastAsia="cs-CZ"/>
              </w:rPr>
              <w:t xml:space="preserve">, </w:t>
            </w:r>
            <w:r w:rsidRPr="00CD02AA">
              <w:rPr>
                <w:rFonts w:ascii="Calibri" w:hAnsi="Calibri" w:cs="Arial"/>
                <w:sz w:val="24"/>
                <w:szCs w:val="19"/>
                <w:lang w:val="en-US" w:eastAsia="cs-CZ"/>
              </w:rPr>
              <w:t>conclusion</w:t>
            </w:r>
            <w:r w:rsidRPr="000479F8">
              <w:rPr>
                <w:rFonts w:ascii="Calibri" w:hAnsi="Calibri" w:cs="Arial"/>
                <w:sz w:val="24"/>
                <w:szCs w:val="19"/>
                <w:lang w:val="en-US" w:eastAsia="cs-CZ"/>
              </w:rPr>
              <w:t>)</w:t>
            </w:r>
          </w:p>
        </w:tc>
        <w:tc>
          <w:tcPr>
            <w:tcW w:w="0" w:type="auto"/>
            <w:vMerge/>
            <w:vAlign w:val="center"/>
          </w:tcPr>
          <w:p w14:paraId="0DD45F7E" w14:textId="77777777" w:rsidR="00CD02AA" w:rsidRPr="000479F8" w:rsidRDefault="00CD02AA" w:rsidP="00CD02AA">
            <w:pPr>
              <w:widowControl w:val="0"/>
              <w:rPr>
                <w:rFonts w:ascii="Calibri" w:hAnsi="Calibri"/>
                <w:sz w:val="24"/>
                <w:lang w:val="en-US"/>
              </w:rPr>
            </w:pPr>
          </w:p>
        </w:tc>
      </w:tr>
    </w:tbl>
    <w:p w14:paraId="7E9123C6" w14:textId="77777777" w:rsidR="004E62CC" w:rsidRPr="000479F8" w:rsidRDefault="004E62CC" w:rsidP="00CD02AA">
      <w:pPr>
        <w:widowControl w:val="0"/>
        <w:spacing w:after="0" w:line="240" w:lineRule="auto"/>
        <w:rPr>
          <w:rFonts w:ascii="Calibri" w:hAnsi="Calibri"/>
          <w:sz w:val="24"/>
          <w:lang w:val="en-US"/>
        </w:rPr>
      </w:pPr>
    </w:p>
    <w:sectPr w:rsidR="004E62CC" w:rsidRPr="000479F8" w:rsidSect="00CD02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306"/>
    <w:multiLevelType w:val="hybridMultilevel"/>
    <w:tmpl w:val="02303802"/>
    <w:lvl w:ilvl="0" w:tplc="36966862">
      <w:start w:val="1"/>
      <w:numFmt w:val="bullet"/>
      <w:lvlText w:val="•"/>
      <w:lvlJc w:val="left"/>
      <w:pPr>
        <w:tabs>
          <w:tab w:val="num" w:pos="360"/>
        </w:tabs>
        <w:ind w:left="360" w:hanging="360"/>
      </w:pPr>
      <w:rPr>
        <w:rFonts w:ascii="Arial" w:hAnsi="Arial" w:hint="default"/>
      </w:rPr>
    </w:lvl>
    <w:lvl w:ilvl="1" w:tplc="DE9CC7FA" w:tentative="1">
      <w:start w:val="1"/>
      <w:numFmt w:val="bullet"/>
      <w:lvlText w:val="•"/>
      <w:lvlJc w:val="left"/>
      <w:pPr>
        <w:tabs>
          <w:tab w:val="num" w:pos="1080"/>
        </w:tabs>
        <w:ind w:left="1080" w:hanging="360"/>
      </w:pPr>
      <w:rPr>
        <w:rFonts w:ascii="Arial" w:hAnsi="Arial" w:hint="default"/>
      </w:rPr>
    </w:lvl>
    <w:lvl w:ilvl="2" w:tplc="3FE6A586" w:tentative="1">
      <w:start w:val="1"/>
      <w:numFmt w:val="bullet"/>
      <w:lvlText w:val="•"/>
      <w:lvlJc w:val="left"/>
      <w:pPr>
        <w:tabs>
          <w:tab w:val="num" w:pos="1800"/>
        </w:tabs>
        <w:ind w:left="1800" w:hanging="360"/>
      </w:pPr>
      <w:rPr>
        <w:rFonts w:ascii="Arial" w:hAnsi="Arial" w:hint="default"/>
      </w:rPr>
    </w:lvl>
    <w:lvl w:ilvl="3" w:tplc="9F647136" w:tentative="1">
      <w:start w:val="1"/>
      <w:numFmt w:val="bullet"/>
      <w:lvlText w:val="•"/>
      <w:lvlJc w:val="left"/>
      <w:pPr>
        <w:tabs>
          <w:tab w:val="num" w:pos="2520"/>
        </w:tabs>
        <w:ind w:left="2520" w:hanging="360"/>
      </w:pPr>
      <w:rPr>
        <w:rFonts w:ascii="Arial" w:hAnsi="Arial" w:hint="default"/>
      </w:rPr>
    </w:lvl>
    <w:lvl w:ilvl="4" w:tplc="9ED623A8" w:tentative="1">
      <w:start w:val="1"/>
      <w:numFmt w:val="bullet"/>
      <w:lvlText w:val="•"/>
      <w:lvlJc w:val="left"/>
      <w:pPr>
        <w:tabs>
          <w:tab w:val="num" w:pos="3240"/>
        </w:tabs>
        <w:ind w:left="3240" w:hanging="360"/>
      </w:pPr>
      <w:rPr>
        <w:rFonts w:ascii="Arial" w:hAnsi="Arial" w:hint="default"/>
      </w:rPr>
    </w:lvl>
    <w:lvl w:ilvl="5" w:tplc="2E086E16" w:tentative="1">
      <w:start w:val="1"/>
      <w:numFmt w:val="bullet"/>
      <w:lvlText w:val="•"/>
      <w:lvlJc w:val="left"/>
      <w:pPr>
        <w:tabs>
          <w:tab w:val="num" w:pos="3960"/>
        </w:tabs>
        <w:ind w:left="3960" w:hanging="360"/>
      </w:pPr>
      <w:rPr>
        <w:rFonts w:ascii="Arial" w:hAnsi="Arial" w:hint="default"/>
      </w:rPr>
    </w:lvl>
    <w:lvl w:ilvl="6" w:tplc="AF9EE6D2" w:tentative="1">
      <w:start w:val="1"/>
      <w:numFmt w:val="bullet"/>
      <w:lvlText w:val="•"/>
      <w:lvlJc w:val="left"/>
      <w:pPr>
        <w:tabs>
          <w:tab w:val="num" w:pos="4680"/>
        </w:tabs>
        <w:ind w:left="4680" w:hanging="360"/>
      </w:pPr>
      <w:rPr>
        <w:rFonts w:ascii="Arial" w:hAnsi="Arial" w:hint="default"/>
      </w:rPr>
    </w:lvl>
    <w:lvl w:ilvl="7" w:tplc="977ABD76" w:tentative="1">
      <w:start w:val="1"/>
      <w:numFmt w:val="bullet"/>
      <w:lvlText w:val="•"/>
      <w:lvlJc w:val="left"/>
      <w:pPr>
        <w:tabs>
          <w:tab w:val="num" w:pos="5400"/>
        </w:tabs>
        <w:ind w:left="5400" w:hanging="360"/>
      </w:pPr>
      <w:rPr>
        <w:rFonts w:ascii="Arial" w:hAnsi="Arial" w:hint="default"/>
      </w:rPr>
    </w:lvl>
    <w:lvl w:ilvl="8" w:tplc="FFC01FF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4CB4158"/>
    <w:multiLevelType w:val="hybridMultilevel"/>
    <w:tmpl w:val="1F2EA782"/>
    <w:lvl w:ilvl="0" w:tplc="CF326AD4">
      <w:start w:val="1"/>
      <w:numFmt w:val="bullet"/>
      <w:lvlText w:val="•"/>
      <w:lvlJc w:val="left"/>
      <w:pPr>
        <w:tabs>
          <w:tab w:val="num" w:pos="720"/>
        </w:tabs>
        <w:ind w:left="720" w:hanging="360"/>
      </w:pPr>
      <w:rPr>
        <w:rFonts w:ascii="Arial" w:hAnsi="Arial" w:hint="default"/>
      </w:rPr>
    </w:lvl>
    <w:lvl w:ilvl="1" w:tplc="C7767742" w:tentative="1">
      <w:start w:val="1"/>
      <w:numFmt w:val="bullet"/>
      <w:lvlText w:val="•"/>
      <w:lvlJc w:val="left"/>
      <w:pPr>
        <w:tabs>
          <w:tab w:val="num" w:pos="1440"/>
        </w:tabs>
        <w:ind w:left="1440" w:hanging="360"/>
      </w:pPr>
      <w:rPr>
        <w:rFonts w:ascii="Arial" w:hAnsi="Arial" w:hint="default"/>
      </w:rPr>
    </w:lvl>
    <w:lvl w:ilvl="2" w:tplc="936C194A" w:tentative="1">
      <w:start w:val="1"/>
      <w:numFmt w:val="bullet"/>
      <w:lvlText w:val="•"/>
      <w:lvlJc w:val="left"/>
      <w:pPr>
        <w:tabs>
          <w:tab w:val="num" w:pos="2160"/>
        </w:tabs>
        <w:ind w:left="2160" w:hanging="360"/>
      </w:pPr>
      <w:rPr>
        <w:rFonts w:ascii="Arial" w:hAnsi="Arial" w:hint="default"/>
      </w:rPr>
    </w:lvl>
    <w:lvl w:ilvl="3" w:tplc="8D42932C" w:tentative="1">
      <w:start w:val="1"/>
      <w:numFmt w:val="bullet"/>
      <w:lvlText w:val="•"/>
      <w:lvlJc w:val="left"/>
      <w:pPr>
        <w:tabs>
          <w:tab w:val="num" w:pos="2880"/>
        </w:tabs>
        <w:ind w:left="2880" w:hanging="360"/>
      </w:pPr>
      <w:rPr>
        <w:rFonts w:ascii="Arial" w:hAnsi="Arial" w:hint="default"/>
      </w:rPr>
    </w:lvl>
    <w:lvl w:ilvl="4" w:tplc="6F3A993E" w:tentative="1">
      <w:start w:val="1"/>
      <w:numFmt w:val="bullet"/>
      <w:lvlText w:val="•"/>
      <w:lvlJc w:val="left"/>
      <w:pPr>
        <w:tabs>
          <w:tab w:val="num" w:pos="3600"/>
        </w:tabs>
        <w:ind w:left="3600" w:hanging="360"/>
      </w:pPr>
      <w:rPr>
        <w:rFonts w:ascii="Arial" w:hAnsi="Arial" w:hint="default"/>
      </w:rPr>
    </w:lvl>
    <w:lvl w:ilvl="5" w:tplc="74E84B10" w:tentative="1">
      <w:start w:val="1"/>
      <w:numFmt w:val="bullet"/>
      <w:lvlText w:val="•"/>
      <w:lvlJc w:val="left"/>
      <w:pPr>
        <w:tabs>
          <w:tab w:val="num" w:pos="4320"/>
        </w:tabs>
        <w:ind w:left="4320" w:hanging="360"/>
      </w:pPr>
      <w:rPr>
        <w:rFonts w:ascii="Arial" w:hAnsi="Arial" w:hint="default"/>
      </w:rPr>
    </w:lvl>
    <w:lvl w:ilvl="6" w:tplc="13FAD60A" w:tentative="1">
      <w:start w:val="1"/>
      <w:numFmt w:val="bullet"/>
      <w:lvlText w:val="•"/>
      <w:lvlJc w:val="left"/>
      <w:pPr>
        <w:tabs>
          <w:tab w:val="num" w:pos="5040"/>
        </w:tabs>
        <w:ind w:left="5040" w:hanging="360"/>
      </w:pPr>
      <w:rPr>
        <w:rFonts w:ascii="Arial" w:hAnsi="Arial" w:hint="default"/>
      </w:rPr>
    </w:lvl>
    <w:lvl w:ilvl="7" w:tplc="ECFE51E8" w:tentative="1">
      <w:start w:val="1"/>
      <w:numFmt w:val="bullet"/>
      <w:lvlText w:val="•"/>
      <w:lvlJc w:val="left"/>
      <w:pPr>
        <w:tabs>
          <w:tab w:val="num" w:pos="5760"/>
        </w:tabs>
        <w:ind w:left="5760" w:hanging="360"/>
      </w:pPr>
      <w:rPr>
        <w:rFonts w:ascii="Arial" w:hAnsi="Arial" w:hint="default"/>
      </w:rPr>
    </w:lvl>
    <w:lvl w:ilvl="8" w:tplc="8FB0DB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A70CBE"/>
    <w:multiLevelType w:val="hybridMultilevel"/>
    <w:tmpl w:val="1B3AEAD8"/>
    <w:lvl w:ilvl="0" w:tplc="E92280FE">
      <w:start w:val="1"/>
      <w:numFmt w:val="bullet"/>
      <w:lvlText w:val="•"/>
      <w:lvlJc w:val="left"/>
      <w:pPr>
        <w:tabs>
          <w:tab w:val="num" w:pos="360"/>
        </w:tabs>
        <w:ind w:left="360" w:hanging="360"/>
      </w:pPr>
      <w:rPr>
        <w:rFonts w:ascii="Arial" w:hAnsi="Arial" w:hint="default"/>
      </w:rPr>
    </w:lvl>
    <w:lvl w:ilvl="1" w:tplc="38520D08" w:tentative="1">
      <w:start w:val="1"/>
      <w:numFmt w:val="bullet"/>
      <w:lvlText w:val="•"/>
      <w:lvlJc w:val="left"/>
      <w:pPr>
        <w:tabs>
          <w:tab w:val="num" w:pos="1080"/>
        </w:tabs>
        <w:ind w:left="1080" w:hanging="360"/>
      </w:pPr>
      <w:rPr>
        <w:rFonts w:ascii="Arial" w:hAnsi="Arial" w:hint="default"/>
      </w:rPr>
    </w:lvl>
    <w:lvl w:ilvl="2" w:tplc="5D84FB24" w:tentative="1">
      <w:start w:val="1"/>
      <w:numFmt w:val="bullet"/>
      <w:lvlText w:val="•"/>
      <w:lvlJc w:val="left"/>
      <w:pPr>
        <w:tabs>
          <w:tab w:val="num" w:pos="1800"/>
        </w:tabs>
        <w:ind w:left="1800" w:hanging="360"/>
      </w:pPr>
      <w:rPr>
        <w:rFonts w:ascii="Arial" w:hAnsi="Arial" w:hint="default"/>
      </w:rPr>
    </w:lvl>
    <w:lvl w:ilvl="3" w:tplc="2CBED612" w:tentative="1">
      <w:start w:val="1"/>
      <w:numFmt w:val="bullet"/>
      <w:lvlText w:val="•"/>
      <w:lvlJc w:val="left"/>
      <w:pPr>
        <w:tabs>
          <w:tab w:val="num" w:pos="2520"/>
        </w:tabs>
        <w:ind w:left="2520" w:hanging="360"/>
      </w:pPr>
      <w:rPr>
        <w:rFonts w:ascii="Arial" w:hAnsi="Arial" w:hint="default"/>
      </w:rPr>
    </w:lvl>
    <w:lvl w:ilvl="4" w:tplc="F2983C50" w:tentative="1">
      <w:start w:val="1"/>
      <w:numFmt w:val="bullet"/>
      <w:lvlText w:val="•"/>
      <w:lvlJc w:val="left"/>
      <w:pPr>
        <w:tabs>
          <w:tab w:val="num" w:pos="3240"/>
        </w:tabs>
        <w:ind w:left="3240" w:hanging="360"/>
      </w:pPr>
      <w:rPr>
        <w:rFonts w:ascii="Arial" w:hAnsi="Arial" w:hint="default"/>
      </w:rPr>
    </w:lvl>
    <w:lvl w:ilvl="5" w:tplc="5B38F17E" w:tentative="1">
      <w:start w:val="1"/>
      <w:numFmt w:val="bullet"/>
      <w:lvlText w:val="•"/>
      <w:lvlJc w:val="left"/>
      <w:pPr>
        <w:tabs>
          <w:tab w:val="num" w:pos="3960"/>
        </w:tabs>
        <w:ind w:left="3960" w:hanging="360"/>
      </w:pPr>
      <w:rPr>
        <w:rFonts w:ascii="Arial" w:hAnsi="Arial" w:hint="default"/>
      </w:rPr>
    </w:lvl>
    <w:lvl w:ilvl="6" w:tplc="1ECCCA50" w:tentative="1">
      <w:start w:val="1"/>
      <w:numFmt w:val="bullet"/>
      <w:lvlText w:val="•"/>
      <w:lvlJc w:val="left"/>
      <w:pPr>
        <w:tabs>
          <w:tab w:val="num" w:pos="4680"/>
        </w:tabs>
        <w:ind w:left="4680" w:hanging="360"/>
      </w:pPr>
      <w:rPr>
        <w:rFonts w:ascii="Arial" w:hAnsi="Arial" w:hint="default"/>
      </w:rPr>
    </w:lvl>
    <w:lvl w:ilvl="7" w:tplc="D638A4B6" w:tentative="1">
      <w:start w:val="1"/>
      <w:numFmt w:val="bullet"/>
      <w:lvlText w:val="•"/>
      <w:lvlJc w:val="left"/>
      <w:pPr>
        <w:tabs>
          <w:tab w:val="num" w:pos="5400"/>
        </w:tabs>
        <w:ind w:left="5400" w:hanging="360"/>
      </w:pPr>
      <w:rPr>
        <w:rFonts w:ascii="Arial" w:hAnsi="Arial" w:hint="default"/>
      </w:rPr>
    </w:lvl>
    <w:lvl w:ilvl="8" w:tplc="7C52D9C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32D104A"/>
    <w:multiLevelType w:val="hybridMultilevel"/>
    <w:tmpl w:val="4C5CE6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AA"/>
    <w:rsid w:val="000479F8"/>
    <w:rsid w:val="004E62CC"/>
    <w:rsid w:val="00CD0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AF52"/>
  <w15:chartTrackingRefBased/>
  <w15:docId w15:val="{2C09345F-A09F-4BD7-8E48-23C05022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D02A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02AA"/>
    <w:rPr>
      <w:color w:val="0563C1" w:themeColor="hyperlink"/>
      <w:u w:val="single"/>
    </w:rPr>
  </w:style>
  <w:style w:type="character" w:styleId="Nevyeenzmnka">
    <w:name w:val="Unresolved Mention"/>
    <w:basedOn w:val="Standardnpsmoodstavce"/>
    <w:uiPriority w:val="99"/>
    <w:semiHidden/>
    <w:unhideWhenUsed/>
    <w:rsid w:val="00CD02AA"/>
    <w:rPr>
      <w:color w:val="605E5C"/>
      <w:shd w:val="clear" w:color="auto" w:fill="E1DFDD"/>
    </w:rPr>
  </w:style>
  <w:style w:type="paragraph" w:styleId="Odstavecseseznamem">
    <w:name w:val="List Paragraph"/>
    <w:basedOn w:val="Normln"/>
    <w:uiPriority w:val="34"/>
    <w:qFormat/>
    <w:rsid w:val="00047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054">
      <w:bodyDiv w:val="1"/>
      <w:marLeft w:val="0"/>
      <w:marRight w:val="0"/>
      <w:marTop w:val="0"/>
      <w:marBottom w:val="0"/>
      <w:divBdr>
        <w:top w:val="none" w:sz="0" w:space="0" w:color="auto"/>
        <w:left w:val="none" w:sz="0" w:space="0" w:color="auto"/>
        <w:bottom w:val="none" w:sz="0" w:space="0" w:color="auto"/>
        <w:right w:val="none" w:sz="0" w:space="0" w:color="auto"/>
      </w:divBdr>
      <w:divsChild>
        <w:div w:id="630327655">
          <w:marLeft w:val="0"/>
          <w:marRight w:val="0"/>
          <w:marTop w:val="0"/>
          <w:marBottom w:val="0"/>
          <w:divBdr>
            <w:top w:val="none" w:sz="0" w:space="0" w:color="auto"/>
            <w:left w:val="none" w:sz="0" w:space="0" w:color="auto"/>
            <w:bottom w:val="none" w:sz="0" w:space="0" w:color="auto"/>
            <w:right w:val="none" w:sz="0" w:space="0" w:color="auto"/>
          </w:divBdr>
        </w:div>
        <w:div w:id="1065252248">
          <w:marLeft w:val="0"/>
          <w:marRight w:val="0"/>
          <w:marTop w:val="0"/>
          <w:marBottom w:val="0"/>
          <w:divBdr>
            <w:top w:val="none" w:sz="0" w:space="0" w:color="auto"/>
            <w:left w:val="none" w:sz="0" w:space="0" w:color="auto"/>
            <w:bottom w:val="none" w:sz="0" w:space="0" w:color="auto"/>
            <w:right w:val="none" w:sz="0" w:space="0" w:color="auto"/>
          </w:divBdr>
        </w:div>
      </w:divsChild>
    </w:div>
    <w:div w:id="351036141">
      <w:bodyDiv w:val="1"/>
      <w:marLeft w:val="0"/>
      <w:marRight w:val="0"/>
      <w:marTop w:val="0"/>
      <w:marBottom w:val="0"/>
      <w:divBdr>
        <w:top w:val="none" w:sz="0" w:space="0" w:color="auto"/>
        <w:left w:val="none" w:sz="0" w:space="0" w:color="auto"/>
        <w:bottom w:val="none" w:sz="0" w:space="0" w:color="auto"/>
        <w:right w:val="none" w:sz="0" w:space="0" w:color="auto"/>
      </w:divBdr>
      <w:divsChild>
        <w:div w:id="442462948">
          <w:marLeft w:val="446"/>
          <w:marRight w:val="0"/>
          <w:marTop w:val="0"/>
          <w:marBottom w:val="0"/>
          <w:divBdr>
            <w:top w:val="none" w:sz="0" w:space="0" w:color="auto"/>
            <w:left w:val="none" w:sz="0" w:space="0" w:color="auto"/>
            <w:bottom w:val="none" w:sz="0" w:space="0" w:color="auto"/>
            <w:right w:val="none" w:sz="0" w:space="0" w:color="auto"/>
          </w:divBdr>
        </w:div>
        <w:div w:id="2132747854">
          <w:marLeft w:val="446"/>
          <w:marRight w:val="0"/>
          <w:marTop w:val="0"/>
          <w:marBottom w:val="0"/>
          <w:divBdr>
            <w:top w:val="none" w:sz="0" w:space="0" w:color="auto"/>
            <w:left w:val="none" w:sz="0" w:space="0" w:color="auto"/>
            <w:bottom w:val="none" w:sz="0" w:space="0" w:color="auto"/>
            <w:right w:val="none" w:sz="0" w:space="0" w:color="auto"/>
          </w:divBdr>
        </w:div>
      </w:divsChild>
    </w:div>
    <w:div w:id="688799380">
      <w:bodyDiv w:val="1"/>
      <w:marLeft w:val="0"/>
      <w:marRight w:val="0"/>
      <w:marTop w:val="0"/>
      <w:marBottom w:val="0"/>
      <w:divBdr>
        <w:top w:val="none" w:sz="0" w:space="0" w:color="auto"/>
        <w:left w:val="none" w:sz="0" w:space="0" w:color="auto"/>
        <w:bottom w:val="none" w:sz="0" w:space="0" w:color="auto"/>
        <w:right w:val="none" w:sz="0" w:space="0" w:color="auto"/>
      </w:divBdr>
    </w:div>
    <w:div w:id="692535837">
      <w:bodyDiv w:val="1"/>
      <w:marLeft w:val="0"/>
      <w:marRight w:val="0"/>
      <w:marTop w:val="0"/>
      <w:marBottom w:val="0"/>
      <w:divBdr>
        <w:top w:val="none" w:sz="0" w:space="0" w:color="auto"/>
        <w:left w:val="none" w:sz="0" w:space="0" w:color="auto"/>
        <w:bottom w:val="none" w:sz="0" w:space="0" w:color="auto"/>
        <w:right w:val="none" w:sz="0" w:space="0" w:color="auto"/>
      </w:divBdr>
      <w:divsChild>
        <w:div w:id="331182160">
          <w:marLeft w:val="0"/>
          <w:marRight w:val="0"/>
          <w:marTop w:val="0"/>
          <w:marBottom w:val="0"/>
          <w:divBdr>
            <w:top w:val="none" w:sz="0" w:space="0" w:color="auto"/>
            <w:left w:val="none" w:sz="0" w:space="0" w:color="auto"/>
            <w:bottom w:val="none" w:sz="0" w:space="0" w:color="auto"/>
            <w:right w:val="none" w:sz="0" w:space="0" w:color="auto"/>
          </w:divBdr>
        </w:div>
        <w:div w:id="1292053982">
          <w:marLeft w:val="0"/>
          <w:marRight w:val="0"/>
          <w:marTop w:val="0"/>
          <w:marBottom w:val="0"/>
          <w:divBdr>
            <w:top w:val="none" w:sz="0" w:space="0" w:color="auto"/>
            <w:left w:val="none" w:sz="0" w:space="0" w:color="auto"/>
            <w:bottom w:val="none" w:sz="0" w:space="0" w:color="auto"/>
            <w:right w:val="none" w:sz="0" w:space="0" w:color="auto"/>
          </w:divBdr>
        </w:div>
      </w:divsChild>
    </w:div>
    <w:div w:id="910890074">
      <w:bodyDiv w:val="1"/>
      <w:marLeft w:val="0"/>
      <w:marRight w:val="0"/>
      <w:marTop w:val="0"/>
      <w:marBottom w:val="0"/>
      <w:divBdr>
        <w:top w:val="none" w:sz="0" w:space="0" w:color="auto"/>
        <w:left w:val="none" w:sz="0" w:space="0" w:color="auto"/>
        <w:bottom w:val="none" w:sz="0" w:space="0" w:color="auto"/>
        <w:right w:val="none" w:sz="0" w:space="0" w:color="auto"/>
      </w:divBdr>
      <w:divsChild>
        <w:div w:id="1941067034">
          <w:marLeft w:val="0"/>
          <w:marRight w:val="0"/>
          <w:marTop w:val="15"/>
          <w:marBottom w:val="0"/>
          <w:divBdr>
            <w:top w:val="single" w:sz="48" w:space="0" w:color="auto"/>
            <w:left w:val="single" w:sz="48" w:space="0" w:color="auto"/>
            <w:bottom w:val="single" w:sz="48" w:space="0" w:color="auto"/>
            <w:right w:val="single" w:sz="48" w:space="0" w:color="auto"/>
          </w:divBdr>
          <w:divsChild>
            <w:div w:id="582373388">
              <w:marLeft w:val="0"/>
              <w:marRight w:val="0"/>
              <w:marTop w:val="0"/>
              <w:marBottom w:val="0"/>
              <w:divBdr>
                <w:top w:val="none" w:sz="0" w:space="0" w:color="auto"/>
                <w:left w:val="none" w:sz="0" w:space="0" w:color="auto"/>
                <w:bottom w:val="none" w:sz="0" w:space="0" w:color="auto"/>
                <w:right w:val="none" w:sz="0" w:space="0" w:color="auto"/>
              </w:divBdr>
              <w:divsChild>
                <w:div w:id="1550848189">
                  <w:marLeft w:val="0"/>
                  <w:marRight w:val="0"/>
                  <w:marTop w:val="0"/>
                  <w:marBottom w:val="0"/>
                  <w:divBdr>
                    <w:top w:val="none" w:sz="0" w:space="0" w:color="auto"/>
                    <w:left w:val="none" w:sz="0" w:space="0" w:color="auto"/>
                    <w:bottom w:val="none" w:sz="0" w:space="0" w:color="auto"/>
                    <w:right w:val="none" w:sz="0" w:space="0" w:color="auto"/>
                  </w:divBdr>
                </w:div>
                <w:div w:id="984428408">
                  <w:marLeft w:val="0"/>
                  <w:marRight w:val="0"/>
                  <w:marTop w:val="0"/>
                  <w:marBottom w:val="0"/>
                  <w:divBdr>
                    <w:top w:val="none" w:sz="0" w:space="0" w:color="auto"/>
                    <w:left w:val="none" w:sz="0" w:space="0" w:color="auto"/>
                    <w:bottom w:val="none" w:sz="0" w:space="0" w:color="auto"/>
                    <w:right w:val="none" w:sz="0" w:space="0" w:color="auto"/>
                  </w:divBdr>
                </w:div>
                <w:div w:id="853543737">
                  <w:marLeft w:val="0"/>
                  <w:marRight w:val="0"/>
                  <w:marTop w:val="0"/>
                  <w:marBottom w:val="0"/>
                  <w:divBdr>
                    <w:top w:val="none" w:sz="0" w:space="0" w:color="auto"/>
                    <w:left w:val="none" w:sz="0" w:space="0" w:color="auto"/>
                    <w:bottom w:val="none" w:sz="0" w:space="0" w:color="auto"/>
                    <w:right w:val="none" w:sz="0" w:space="0" w:color="auto"/>
                  </w:divBdr>
                </w:div>
                <w:div w:id="591282960">
                  <w:marLeft w:val="0"/>
                  <w:marRight w:val="0"/>
                  <w:marTop w:val="0"/>
                  <w:marBottom w:val="0"/>
                  <w:divBdr>
                    <w:top w:val="none" w:sz="0" w:space="0" w:color="auto"/>
                    <w:left w:val="none" w:sz="0" w:space="0" w:color="auto"/>
                    <w:bottom w:val="none" w:sz="0" w:space="0" w:color="auto"/>
                    <w:right w:val="none" w:sz="0" w:space="0" w:color="auto"/>
                  </w:divBdr>
                </w:div>
                <w:div w:id="1195727356">
                  <w:marLeft w:val="0"/>
                  <w:marRight w:val="0"/>
                  <w:marTop w:val="0"/>
                  <w:marBottom w:val="0"/>
                  <w:divBdr>
                    <w:top w:val="none" w:sz="0" w:space="0" w:color="auto"/>
                    <w:left w:val="none" w:sz="0" w:space="0" w:color="auto"/>
                    <w:bottom w:val="none" w:sz="0" w:space="0" w:color="auto"/>
                    <w:right w:val="none" w:sz="0" w:space="0" w:color="auto"/>
                  </w:divBdr>
                </w:div>
                <w:div w:id="924994087">
                  <w:marLeft w:val="0"/>
                  <w:marRight w:val="0"/>
                  <w:marTop w:val="0"/>
                  <w:marBottom w:val="0"/>
                  <w:divBdr>
                    <w:top w:val="none" w:sz="0" w:space="0" w:color="auto"/>
                    <w:left w:val="none" w:sz="0" w:space="0" w:color="auto"/>
                    <w:bottom w:val="none" w:sz="0" w:space="0" w:color="auto"/>
                    <w:right w:val="none" w:sz="0" w:space="0" w:color="auto"/>
                  </w:divBdr>
                </w:div>
                <w:div w:id="1325821830">
                  <w:marLeft w:val="0"/>
                  <w:marRight w:val="0"/>
                  <w:marTop w:val="0"/>
                  <w:marBottom w:val="0"/>
                  <w:divBdr>
                    <w:top w:val="none" w:sz="0" w:space="0" w:color="auto"/>
                    <w:left w:val="none" w:sz="0" w:space="0" w:color="auto"/>
                    <w:bottom w:val="none" w:sz="0" w:space="0" w:color="auto"/>
                    <w:right w:val="none" w:sz="0" w:space="0" w:color="auto"/>
                  </w:divBdr>
                </w:div>
                <w:div w:id="447237723">
                  <w:marLeft w:val="0"/>
                  <w:marRight w:val="0"/>
                  <w:marTop w:val="0"/>
                  <w:marBottom w:val="0"/>
                  <w:divBdr>
                    <w:top w:val="none" w:sz="0" w:space="0" w:color="auto"/>
                    <w:left w:val="none" w:sz="0" w:space="0" w:color="auto"/>
                    <w:bottom w:val="none" w:sz="0" w:space="0" w:color="auto"/>
                    <w:right w:val="none" w:sz="0" w:space="0" w:color="auto"/>
                  </w:divBdr>
                </w:div>
                <w:div w:id="324356054">
                  <w:marLeft w:val="0"/>
                  <w:marRight w:val="0"/>
                  <w:marTop w:val="0"/>
                  <w:marBottom w:val="0"/>
                  <w:divBdr>
                    <w:top w:val="none" w:sz="0" w:space="0" w:color="auto"/>
                    <w:left w:val="none" w:sz="0" w:space="0" w:color="auto"/>
                    <w:bottom w:val="none" w:sz="0" w:space="0" w:color="auto"/>
                    <w:right w:val="none" w:sz="0" w:space="0" w:color="auto"/>
                  </w:divBdr>
                </w:div>
                <w:div w:id="1887637498">
                  <w:marLeft w:val="0"/>
                  <w:marRight w:val="0"/>
                  <w:marTop w:val="0"/>
                  <w:marBottom w:val="0"/>
                  <w:divBdr>
                    <w:top w:val="none" w:sz="0" w:space="0" w:color="auto"/>
                    <w:left w:val="none" w:sz="0" w:space="0" w:color="auto"/>
                    <w:bottom w:val="none" w:sz="0" w:space="0" w:color="auto"/>
                    <w:right w:val="none" w:sz="0" w:space="0" w:color="auto"/>
                  </w:divBdr>
                </w:div>
                <w:div w:id="1684286819">
                  <w:marLeft w:val="0"/>
                  <w:marRight w:val="0"/>
                  <w:marTop w:val="0"/>
                  <w:marBottom w:val="0"/>
                  <w:divBdr>
                    <w:top w:val="none" w:sz="0" w:space="0" w:color="auto"/>
                    <w:left w:val="none" w:sz="0" w:space="0" w:color="auto"/>
                    <w:bottom w:val="none" w:sz="0" w:space="0" w:color="auto"/>
                    <w:right w:val="none" w:sz="0" w:space="0" w:color="auto"/>
                  </w:divBdr>
                </w:div>
                <w:div w:id="1109279466">
                  <w:marLeft w:val="0"/>
                  <w:marRight w:val="0"/>
                  <w:marTop w:val="0"/>
                  <w:marBottom w:val="0"/>
                  <w:divBdr>
                    <w:top w:val="none" w:sz="0" w:space="0" w:color="auto"/>
                    <w:left w:val="none" w:sz="0" w:space="0" w:color="auto"/>
                    <w:bottom w:val="none" w:sz="0" w:space="0" w:color="auto"/>
                    <w:right w:val="none" w:sz="0" w:space="0" w:color="auto"/>
                  </w:divBdr>
                </w:div>
                <w:div w:id="453444540">
                  <w:marLeft w:val="0"/>
                  <w:marRight w:val="0"/>
                  <w:marTop w:val="0"/>
                  <w:marBottom w:val="0"/>
                  <w:divBdr>
                    <w:top w:val="none" w:sz="0" w:space="0" w:color="auto"/>
                    <w:left w:val="none" w:sz="0" w:space="0" w:color="auto"/>
                    <w:bottom w:val="none" w:sz="0" w:space="0" w:color="auto"/>
                    <w:right w:val="none" w:sz="0" w:space="0" w:color="auto"/>
                  </w:divBdr>
                </w:div>
                <w:div w:id="1088891747">
                  <w:marLeft w:val="0"/>
                  <w:marRight w:val="0"/>
                  <w:marTop w:val="0"/>
                  <w:marBottom w:val="0"/>
                  <w:divBdr>
                    <w:top w:val="none" w:sz="0" w:space="0" w:color="auto"/>
                    <w:left w:val="none" w:sz="0" w:space="0" w:color="auto"/>
                    <w:bottom w:val="none" w:sz="0" w:space="0" w:color="auto"/>
                    <w:right w:val="none" w:sz="0" w:space="0" w:color="auto"/>
                  </w:divBdr>
                </w:div>
                <w:div w:id="41709776">
                  <w:marLeft w:val="0"/>
                  <w:marRight w:val="0"/>
                  <w:marTop w:val="0"/>
                  <w:marBottom w:val="0"/>
                  <w:divBdr>
                    <w:top w:val="none" w:sz="0" w:space="0" w:color="auto"/>
                    <w:left w:val="none" w:sz="0" w:space="0" w:color="auto"/>
                    <w:bottom w:val="none" w:sz="0" w:space="0" w:color="auto"/>
                    <w:right w:val="none" w:sz="0" w:space="0" w:color="auto"/>
                  </w:divBdr>
                </w:div>
                <w:div w:id="266277037">
                  <w:marLeft w:val="0"/>
                  <w:marRight w:val="0"/>
                  <w:marTop w:val="0"/>
                  <w:marBottom w:val="0"/>
                  <w:divBdr>
                    <w:top w:val="none" w:sz="0" w:space="0" w:color="auto"/>
                    <w:left w:val="none" w:sz="0" w:space="0" w:color="auto"/>
                    <w:bottom w:val="none" w:sz="0" w:space="0" w:color="auto"/>
                    <w:right w:val="none" w:sz="0" w:space="0" w:color="auto"/>
                  </w:divBdr>
                </w:div>
                <w:div w:id="1220244795">
                  <w:marLeft w:val="0"/>
                  <w:marRight w:val="0"/>
                  <w:marTop w:val="0"/>
                  <w:marBottom w:val="0"/>
                  <w:divBdr>
                    <w:top w:val="none" w:sz="0" w:space="0" w:color="auto"/>
                    <w:left w:val="none" w:sz="0" w:space="0" w:color="auto"/>
                    <w:bottom w:val="none" w:sz="0" w:space="0" w:color="auto"/>
                    <w:right w:val="none" w:sz="0" w:space="0" w:color="auto"/>
                  </w:divBdr>
                </w:div>
                <w:div w:id="296490115">
                  <w:marLeft w:val="0"/>
                  <w:marRight w:val="0"/>
                  <w:marTop w:val="0"/>
                  <w:marBottom w:val="0"/>
                  <w:divBdr>
                    <w:top w:val="none" w:sz="0" w:space="0" w:color="auto"/>
                    <w:left w:val="none" w:sz="0" w:space="0" w:color="auto"/>
                    <w:bottom w:val="none" w:sz="0" w:space="0" w:color="auto"/>
                    <w:right w:val="none" w:sz="0" w:space="0" w:color="auto"/>
                  </w:divBdr>
                </w:div>
                <w:div w:id="1982612307">
                  <w:marLeft w:val="0"/>
                  <w:marRight w:val="0"/>
                  <w:marTop w:val="0"/>
                  <w:marBottom w:val="0"/>
                  <w:divBdr>
                    <w:top w:val="none" w:sz="0" w:space="0" w:color="auto"/>
                    <w:left w:val="none" w:sz="0" w:space="0" w:color="auto"/>
                    <w:bottom w:val="none" w:sz="0" w:space="0" w:color="auto"/>
                    <w:right w:val="none" w:sz="0" w:space="0" w:color="auto"/>
                  </w:divBdr>
                </w:div>
                <w:div w:id="1417634136">
                  <w:marLeft w:val="0"/>
                  <w:marRight w:val="0"/>
                  <w:marTop w:val="0"/>
                  <w:marBottom w:val="0"/>
                  <w:divBdr>
                    <w:top w:val="none" w:sz="0" w:space="0" w:color="auto"/>
                    <w:left w:val="none" w:sz="0" w:space="0" w:color="auto"/>
                    <w:bottom w:val="none" w:sz="0" w:space="0" w:color="auto"/>
                    <w:right w:val="none" w:sz="0" w:space="0" w:color="auto"/>
                  </w:divBdr>
                </w:div>
                <w:div w:id="2130079592">
                  <w:marLeft w:val="0"/>
                  <w:marRight w:val="0"/>
                  <w:marTop w:val="0"/>
                  <w:marBottom w:val="0"/>
                  <w:divBdr>
                    <w:top w:val="none" w:sz="0" w:space="0" w:color="auto"/>
                    <w:left w:val="none" w:sz="0" w:space="0" w:color="auto"/>
                    <w:bottom w:val="none" w:sz="0" w:space="0" w:color="auto"/>
                    <w:right w:val="none" w:sz="0" w:space="0" w:color="auto"/>
                  </w:divBdr>
                </w:div>
                <w:div w:id="59136931">
                  <w:marLeft w:val="0"/>
                  <w:marRight w:val="0"/>
                  <w:marTop w:val="0"/>
                  <w:marBottom w:val="0"/>
                  <w:divBdr>
                    <w:top w:val="none" w:sz="0" w:space="0" w:color="auto"/>
                    <w:left w:val="none" w:sz="0" w:space="0" w:color="auto"/>
                    <w:bottom w:val="none" w:sz="0" w:space="0" w:color="auto"/>
                    <w:right w:val="none" w:sz="0" w:space="0" w:color="auto"/>
                  </w:divBdr>
                </w:div>
                <w:div w:id="7289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1616">
      <w:bodyDiv w:val="1"/>
      <w:marLeft w:val="0"/>
      <w:marRight w:val="0"/>
      <w:marTop w:val="0"/>
      <w:marBottom w:val="0"/>
      <w:divBdr>
        <w:top w:val="none" w:sz="0" w:space="0" w:color="auto"/>
        <w:left w:val="none" w:sz="0" w:space="0" w:color="auto"/>
        <w:bottom w:val="none" w:sz="0" w:space="0" w:color="auto"/>
        <w:right w:val="none" w:sz="0" w:space="0" w:color="auto"/>
      </w:divBdr>
      <w:divsChild>
        <w:div w:id="1845320855">
          <w:marLeft w:val="0"/>
          <w:marRight w:val="0"/>
          <w:marTop w:val="0"/>
          <w:marBottom w:val="0"/>
          <w:divBdr>
            <w:top w:val="none" w:sz="0" w:space="0" w:color="auto"/>
            <w:left w:val="none" w:sz="0" w:space="0" w:color="auto"/>
            <w:bottom w:val="none" w:sz="0" w:space="0" w:color="auto"/>
            <w:right w:val="none" w:sz="0" w:space="0" w:color="auto"/>
          </w:divBdr>
        </w:div>
        <w:div w:id="1052853471">
          <w:marLeft w:val="0"/>
          <w:marRight w:val="0"/>
          <w:marTop w:val="0"/>
          <w:marBottom w:val="0"/>
          <w:divBdr>
            <w:top w:val="none" w:sz="0" w:space="0" w:color="auto"/>
            <w:left w:val="none" w:sz="0" w:space="0" w:color="auto"/>
            <w:bottom w:val="none" w:sz="0" w:space="0" w:color="auto"/>
            <w:right w:val="none" w:sz="0" w:space="0" w:color="auto"/>
          </w:divBdr>
        </w:div>
      </w:divsChild>
    </w:div>
    <w:div w:id="1269313024">
      <w:bodyDiv w:val="1"/>
      <w:marLeft w:val="0"/>
      <w:marRight w:val="0"/>
      <w:marTop w:val="0"/>
      <w:marBottom w:val="0"/>
      <w:divBdr>
        <w:top w:val="none" w:sz="0" w:space="0" w:color="auto"/>
        <w:left w:val="none" w:sz="0" w:space="0" w:color="auto"/>
        <w:bottom w:val="none" w:sz="0" w:space="0" w:color="auto"/>
        <w:right w:val="none" w:sz="0" w:space="0" w:color="auto"/>
      </w:divBdr>
      <w:divsChild>
        <w:div w:id="151525075">
          <w:marLeft w:val="446"/>
          <w:marRight w:val="0"/>
          <w:marTop w:val="0"/>
          <w:marBottom w:val="0"/>
          <w:divBdr>
            <w:top w:val="none" w:sz="0" w:space="0" w:color="auto"/>
            <w:left w:val="none" w:sz="0" w:space="0" w:color="auto"/>
            <w:bottom w:val="none" w:sz="0" w:space="0" w:color="auto"/>
            <w:right w:val="none" w:sz="0" w:space="0" w:color="auto"/>
          </w:divBdr>
        </w:div>
        <w:div w:id="221992077">
          <w:marLeft w:val="446"/>
          <w:marRight w:val="0"/>
          <w:marTop w:val="0"/>
          <w:marBottom w:val="0"/>
          <w:divBdr>
            <w:top w:val="none" w:sz="0" w:space="0" w:color="auto"/>
            <w:left w:val="none" w:sz="0" w:space="0" w:color="auto"/>
            <w:bottom w:val="none" w:sz="0" w:space="0" w:color="auto"/>
            <w:right w:val="none" w:sz="0" w:space="0" w:color="auto"/>
          </w:divBdr>
        </w:div>
        <w:div w:id="1121075050">
          <w:marLeft w:val="446"/>
          <w:marRight w:val="0"/>
          <w:marTop w:val="0"/>
          <w:marBottom w:val="0"/>
          <w:divBdr>
            <w:top w:val="none" w:sz="0" w:space="0" w:color="auto"/>
            <w:left w:val="none" w:sz="0" w:space="0" w:color="auto"/>
            <w:bottom w:val="none" w:sz="0" w:space="0" w:color="auto"/>
            <w:right w:val="none" w:sz="0" w:space="0" w:color="auto"/>
          </w:divBdr>
        </w:div>
        <w:div w:id="101534347">
          <w:marLeft w:val="446"/>
          <w:marRight w:val="0"/>
          <w:marTop w:val="0"/>
          <w:marBottom w:val="0"/>
          <w:divBdr>
            <w:top w:val="none" w:sz="0" w:space="0" w:color="auto"/>
            <w:left w:val="none" w:sz="0" w:space="0" w:color="auto"/>
            <w:bottom w:val="none" w:sz="0" w:space="0" w:color="auto"/>
            <w:right w:val="none" w:sz="0" w:space="0" w:color="auto"/>
          </w:divBdr>
        </w:div>
      </w:divsChild>
    </w:div>
    <w:div w:id="1756853745">
      <w:bodyDiv w:val="1"/>
      <w:marLeft w:val="0"/>
      <w:marRight w:val="0"/>
      <w:marTop w:val="0"/>
      <w:marBottom w:val="0"/>
      <w:divBdr>
        <w:top w:val="none" w:sz="0" w:space="0" w:color="auto"/>
        <w:left w:val="none" w:sz="0" w:space="0" w:color="auto"/>
        <w:bottom w:val="none" w:sz="0" w:space="0" w:color="auto"/>
        <w:right w:val="none" w:sz="0" w:space="0" w:color="auto"/>
      </w:divBdr>
    </w:div>
    <w:div w:id="1917326168">
      <w:bodyDiv w:val="1"/>
      <w:marLeft w:val="0"/>
      <w:marRight w:val="0"/>
      <w:marTop w:val="0"/>
      <w:marBottom w:val="0"/>
      <w:divBdr>
        <w:top w:val="none" w:sz="0" w:space="0" w:color="auto"/>
        <w:left w:val="none" w:sz="0" w:space="0" w:color="auto"/>
        <w:bottom w:val="none" w:sz="0" w:space="0" w:color="auto"/>
        <w:right w:val="none" w:sz="0" w:space="0" w:color="auto"/>
      </w:divBdr>
      <w:divsChild>
        <w:div w:id="515271164">
          <w:marLeft w:val="0"/>
          <w:marRight w:val="0"/>
          <w:marTop w:val="0"/>
          <w:marBottom w:val="0"/>
          <w:divBdr>
            <w:top w:val="none" w:sz="0" w:space="0" w:color="auto"/>
            <w:left w:val="none" w:sz="0" w:space="0" w:color="auto"/>
            <w:bottom w:val="none" w:sz="0" w:space="0" w:color="auto"/>
            <w:right w:val="none" w:sz="0" w:space="0" w:color="auto"/>
          </w:divBdr>
        </w:div>
        <w:div w:id="2110537598">
          <w:marLeft w:val="0"/>
          <w:marRight w:val="0"/>
          <w:marTop w:val="0"/>
          <w:marBottom w:val="0"/>
          <w:divBdr>
            <w:top w:val="none" w:sz="0" w:space="0" w:color="auto"/>
            <w:left w:val="none" w:sz="0" w:space="0" w:color="auto"/>
            <w:bottom w:val="none" w:sz="0" w:space="0" w:color="auto"/>
            <w:right w:val="none" w:sz="0" w:space="0" w:color="auto"/>
          </w:divBdr>
        </w:div>
      </w:divsChild>
    </w:div>
    <w:div w:id="20860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36/jech.52.6.3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E416-CA60-4708-A4E1-CF43A028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868</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Sebera</dc:creator>
  <cp:keywords/>
  <dc:description/>
  <cp:lastModifiedBy>Martin Sebera</cp:lastModifiedBy>
  <cp:revision>1</cp:revision>
  <dcterms:created xsi:type="dcterms:W3CDTF">2024-11-11T12:09:00Z</dcterms:created>
  <dcterms:modified xsi:type="dcterms:W3CDTF">2024-11-11T12:27:00Z</dcterms:modified>
</cp:coreProperties>
</file>