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6B" w:rsidRDefault="0080796B" w:rsidP="0080796B">
      <w:pPr>
        <w:pageBreakBefore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Odpovědi (téma 11)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Pr="00370890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1.1 Testuje, zda mediány dvou vzorků jsou totožné. Jinými slovy, zda oba vzorky pochází z jedné populace. </w:t>
      </w:r>
      <w:r w:rsidRPr="00370890">
        <w:rPr>
          <w:rFonts w:ascii="Arial" w:hAnsi="Arial"/>
          <w:i/>
          <w:sz w:val="20"/>
          <w:szCs w:val="20"/>
        </w:rPr>
        <w:t>H</w:t>
      </w:r>
      <w:r w:rsidRPr="00370890">
        <w:rPr>
          <w:rFonts w:ascii="Arial" w:hAnsi="Arial"/>
          <w:i/>
          <w:sz w:val="20"/>
          <w:szCs w:val="20"/>
          <w:vertAlign w:val="subscript"/>
        </w:rPr>
        <w:t>0</w:t>
      </w:r>
      <w:r w:rsidRPr="00370890">
        <w:rPr>
          <w:rFonts w:ascii="Arial" w:hAnsi="Arial"/>
          <w:sz w:val="20"/>
          <w:szCs w:val="20"/>
        </w:rPr>
        <w:t>: ~</w:t>
      </w:r>
      <w:r w:rsidRPr="00370890">
        <w:rPr>
          <w:rFonts w:ascii="Arial" w:hAnsi="Arial" w:cs="Tahoma"/>
          <w:sz w:val="20"/>
          <w:szCs w:val="20"/>
        </w:rPr>
        <w:t>μ</w:t>
      </w:r>
      <w:r w:rsidRPr="00370890">
        <w:rPr>
          <w:rFonts w:ascii="Arial" w:hAnsi="Arial" w:cs="Tahoma"/>
          <w:sz w:val="20"/>
          <w:szCs w:val="20"/>
          <w:vertAlign w:val="subscript"/>
        </w:rPr>
        <w:t>1</w:t>
      </w:r>
      <w:r w:rsidRPr="00370890">
        <w:rPr>
          <w:rFonts w:ascii="Arial" w:hAnsi="Arial" w:cs="Tahoma"/>
          <w:sz w:val="20"/>
          <w:szCs w:val="20"/>
        </w:rPr>
        <w:t xml:space="preserve"> </w:t>
      </w:r>
      <w:r w:rsidRPr="00370890">
        <w:rPr>
          <w:rFonts w:ascii="Arial" w:hAnsi="Arial"/>
          <w:sz w:val="20"/>
          <w:szCs w:val="20"/>
        </w:rPr>
        <w:t>= ~</w:t>
      </w:r>
      <w:r w:rsidRPr="00370890">
        <w:rPr>
          <w:rFonts w:ascii="Arial" w:hAnsi="Arial" w:cs="Tahoma"/>
          <w:sz w:val="20"/>
          <w:szCs w:val="20"/>
        </w:rPr>
        <w:t>μ</w:t>
      </w:r>
      <w:r w:rsidRPr="00370890">
        <w:rPr>
          <w:rFonts w:ascii="Arial" w:hAnsi="Arial" w:cs="Tahoma"/>
          <w:sz w:val="20"/>
          <w:szCs w:val="20"/>
          <w:vertAlign w:val="subscript"/>
        </w:rPr>
        <w:t>2</w:t>
      </w:r>
      <w:r>
        <w:rPr>
          <w:rFonts w:ascii="Arial" w:hAnsi="Arial" w:cs="Tahoma"/>
          <w:sz w:val="20"/>
          <w:szCs w:val="20"/>
        </w:rPr>
        <w:t xml:space="preserve">. 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Default="0080796B" w:rsidP="0080796B">
      <w:pPr>
        <w:rPr>
          <w:rFonts w:ascii="Arial" w:hAnsi="Arial" w:cs="Tahoma"/>
          <w:sz w:val="20"/>
          <w:szCs w:val="20"/>
          <w:shd w:val="clear" w:color="auto" w:fill="FF6633"/>
        </w:rPr>
      </w:pPr>
      <w:r w:rsidRPr="00370890">
        <w:rPr>
          <w:rFonts w:ascii="Arial" w:hAnsi="Arial"/>
          <w:sz w:val="20"/>
          <w:szCs w:val="20"/>
        </w:rPr>
        <w:t xml:space="preserve">1.2 </w:t>
      </w:r>
      <w:r>
        <w:rPr>
          <w:rFonts w:ascii="Arial" w:hAnsi="Arial"/>
          <w:sz w:val="20"/>
          <w:szCs w:val="20"/>
        </w:rPr>
        <w:t>Testuje, z</w:t>
      </w:r>
      <w:r w:rsidRPr="00370890">
        <w:rPr>
          <w:rFonts w:ascii="Arial" w:hAnsi="Arial"/>
          <w:sz w:val="20"/>
          <w:szCs w:val="20"/>
        </w:rPr>
        <w:t xml:space="preserve">da se populační medián (parametr) rovná zvolené hodnotě </w:t>
      </w:r>
      <w:r w:rsidRPr="00370890">
        <w:rPr>
          <w:rFonts w:ascii="Arial" w:hAnsi="Arial"/>
          <w:i/>
          <w:sz w:val="20"/>
          <w:szCs w:val="20"/>
        </w:rPr>
        <w:t>k</w:t>
      </w:r>
      <w:r w:rsidRPr="00370890">
        <w:rPr>
          <w:rFonts w:ascii="Arial" w:hAnsi="Arial"/>
          <w:sz w:val="20"/>
          <w:szCs w:val="20"/>
        </w:rPr>
        <w:t xml:space="preserve"> (často 0). </w:t>
      </w:r>
      <w:r w:rsidRPr="00370890">
        <w:rPr>
          <w:rFonts w:ascii="Arial" w:hAnsi="Arial"/>
          <w:i/>
          <w:sz w:val="20"/>
          <w:szCs w:val="20"/>
        </w:rPr>
        <w:t>H</w:t>
      </w:r>
      <w:r w:rsidRPr="00370890">
        <w:rPr>
          <w:rFonts w:ascii="Arial" w:hAnsi="Arial"/>
          <w:i/>
          <w:sz w:val="20"/>
          <w:szCs w:val="20"/>
          <w:vertAlign w:val="subscript"/>
        </w:rPr>
        <w:t>0</w:t>
      </w:r>
      <w:r w:rsidRPr="00370890">
        <w:rPr>
          <w:rFonts w:ascii="Arial" w:hAnsi="Arial"/>
          <w:sz w:val="20"/>
          <w:szCs w:val="20"/>
        </w:rPr>
        <w:t xml:space="preserve">: </w:t>
      </w:r>
      <w:proofErr w:type="gramStart"/>
      <w:r w:rsidRPr="00370890">
        <w:rPr>
          <w:rFonts w:ascii="Arial" w:hAnsi="Arial"/>
          <w:sz w:val="20"/>
          <w:szCs w:val="20"/>
        </w:rPr>
        <w:t>~</w:t>
      </w:r>
      <w:r w:rsidRPr="00370890">
        <w:rPr>
          <w:rFonts w:ascii="Arial" w:hAnsi="Arial" w:cs="Tahoma"/>
          <w:sz w:val="20"/>
          <w:szCs w:val="20"/>
        </w:rPr>
        <w:t xml:space="preserve">μ </w:t>
      </w:r>
      <w:r w:rsidRPr="00370890">
        <w:rPr>
          <w:rFonts w:ascii="Arial" w:hAnsi="Arial"/>
          <w:sz w:val="20"/>
          <w:szCs w:val="20"/>
        </w:rPr>
        <w:t xml:space="preserve">= </w:t>
      </w:r>
      <w:r w:rsidRPr="00370890">
        <w:rPr>
          <w:rFonts w:ascii="Arial" w:hAnsi="Arial"/>
          <w:i/>
          <w:sz w:val="20"/>
          <w:szCs w:val="20"/>
        </w:rPr>
        <w:t>k</w:t>
      </w:r>
      <w:r w:rsidRPr="00370890">
        <w:rPr>
          <w:rFonts w:ascii="Arial" w:hAnsi="Arial"/>
          <w:sz w:val="20"/>
          <w:szCs w:val="20"/>
        </w:rPr>
        <w:t xml:space="preserve">  (~</w:t>
      </w:r>
      <w:r w:rsidRPr="00370890">
        <w:rPr>
          <w:rFonts w:ascii="Arial" w:hAnsi="Arial" w:cs="Tahoma"/>
          <w:sz w:val="20"/>
          <w:szCs w:val="20"/>
        </w:rPr>
        <w:t xml:space="preserve">μ </w:t>
      </w:r>
      <w:r>
        <w:rPr>
          <w:rFonts w:ascii="Arial" w:hAnsi="Arial" w:cs="Tahoma"/>
          <w:sz w:val="20"/>
          <w:szCs w:val="20"/>
        </w:rPr>
        <w:t>je</w:t>
      </w:r>
      <w:proofErr w:type="gramEnd"/>
      <w:r w:rsidRPr="00370890">
        <w:rPr>
          <w:rFonts w:ascii="Arial" w:hAnsi="Arial" w:cs="Tahoma"/>
          <w:sz w:val="20"/>
          <w:szCs w:val="20"/>
        </w:rPr>
        <w:t xml:space="preserve"> populační medián</w:t>
      </w:r>
      <w:r>
        <w:rPr>
          <w:rFonts w:ascii="Arial" w:hAnsi="Arial" w:cs="Tahoma"/>
          <w:sz w:val="20"/>
          <w:szCs w:val="20"/>
        </w:rPr>
        <w:t xml:space="preserve">, </w:t>
      </w:r>
      <w:r w:rsidRPr="00370890">
        <w:rPr>
          <w:rFonts w:ascii="Arial" w:hAnsi="Arial" w:cs="Tahoma"/>
          <w:i/>
          <w:sz w:val="20"/>
          <w:szCs w:val="20"/>
        </w:rPr>
        <w:t>k</w:t>
      </w:r>
      <w:r>
        <w:rPr>
          <w:rFonts w:ascii="Arial" w:hAnsi="Arial" w:cs="Tahoma"/>
          <w:sz w:val="20"/>
          <w:szCs w:val="20"/>
        </w:rPr>
        <w:t> je zvolená hodnota, konstanta</w:t>
      </w:r>
      <w:r w:rsidRPr="00370890">
        <w:rPr>
          <w:rFonts w:ascii="Arial" w:hAnsi="Arial" w:cs="Tahoma"/>
          <w:sz w:val="20"/>
          <w:szCs w:val="20"/>
        </w:rPr>
        <w:t>)</w:t>
      </w:r>
      <w:r>
        <w:rPr>
          <w:rFonts w:ascii="Arial" w:hAnsi="Arial" w:cs="Tahoma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b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2.1 všechny čtyři, a-d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2.2 b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2.3 b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2.4 c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2.5 c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2.6 ano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2.7 b</w:t>
      </w:r>
    </w:p>
    <w:p w:rsidR="0080796B" w:rsidRDefault="0080796B" w:rsidP="0080796B"/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2.8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6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7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14,07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2.9 Ne, p </w:t>
      </w:r>
      <w:r>
        <w:rPr>
          <w:rFonts w:ascii="Arial" w:hAnsi="Arial"/>
          <w:sz w:val="20"/>
          <w:szCs w:val="20"/>
          <w:lang w:val="en-US"/>
        </w:rPr>
        <w:t xml:space="preserve">&gt; 0,05;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5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4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9,49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3.1 0,5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3.2 0,05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3.3 cca u 2% průzkumů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3.4 0,08</w:t>
      </w:r>
      <w:r>
        <w:rPr>
          <w:rFonts w:ascii="Arial" w:hAnsi="Arial"/>
          <w:sz w:val="20"/>
          <w:szCs w:val="20"/>
        </w:rPr>
        <w:tab/>
        <w:t>; 0,04; 0,02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3.5 Vzroste-li velikost vzorku 4x, směrodatná chyba relativní četnosti klesne na polovinu.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4.1 (0,4; 0,6)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4.2 c</w:t>
      </w:r>
    </w:p>
    <w:p w:rsidR="0080796B" w:rsidRDefault="0080796B" w:rsidP="0080796B">
      <w:pPr>
        <w:spacing w:line="100" w:lineRule="atLeast"/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5.1 Pokud počet sourozenců považujeme za poměrovou škálu, můžeme ke srovnání vlastníků s </w:t>
      </w:r>
      <w:proofErr w:type="spellStart"/>
      <w:r>
        <w:rPr>
          <w:rFonts w:ascii="Arial" w:eastAsia="SimSun" w:hAnsi="Arial" w:cs="Arial"/>
          <w:sz w:val="20"/>
          <w:szCs w:val="20"/>
        </w:rPr>
        <w:t>nevlastníky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 titulu použít t-test pro nezávislé skupiny. </w:t>
      </w:r>
      <w:r>
        <w:rPr>
          <w:rFonts w:ascii="Arial" w:hAnsi="Arial"/>
          <w:sz w:val="20"/>
          <w:szCs w:val="20"/>
        </w:rPr>
        <w:t>Pokud si uvědomíme vysoké pozitivní zešikmení rozložení počtu sourozenců, můžeme se na malém vzorku přiklonit k </w:t>
      </w:r>
      <w:proofErr w:type="spellStart"/>
      <w:r>
        <w:rPr>
          <w:rFonts w:ascii="Arial" w:hAnsi="Arial"/>
          <w:sz w:val="20"/>
          <w:szCs w:val="20"/>
        </w:rPr>
        <w:t>neparametrickému</w:t>
      </w:r>
      <w:proofErr w:type="spellEnd"/>
      <w:r>
        <w:rPr>
          <w:rFonts w:ascii="Arial" w:hAnsi="Arial"/>
          <w:sz w:val="20"/>
          <w:szCs w:val="20"/>
        </w:rPr>
        <w:t xml:space="preserve"> testu pro srovnání dvou nezávislých skupin – Mann-</w:t>
      </w:r>
      <w:proofErr w:type="spellStart"/>
      <w:r>
        <w:rPr>
          <w:rFonts w:ascii="Arial" w:hAnsi="Arial"/>
          <w:sz w:val="20"/>
          <w:szCs w:val="20"/>
        </w:rPr>
        <w:t>Whitney</w:t>
      </w:r>
      <w:proofErr w:type="spellEnd"/>
      <w:r>
        <w:rPr>
          <w:rFonts w:ascii="Arial" w:hAnsi="Arial"/>
          <w:sz w:val="20"/>
          <w:szCs w:val="20"/>
        </w:rPr>
        <w:t xml:space="preserve"> U. Pokud bychom brali proměnnou počet sourozenců přesně tak, jak je v zadání, tj. kategoriální proměnnou s 5 kategoriemi: „0“, „1“, „2“, „3“ a „4 a více“, pak bychom použili chí-kvadrát test nezávislosti.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5.2 Úroveň dosaženého vzdělání je obvykle ordinální proměnná. Pohlaví je dichotomická – dává 2 porovnávané nezávislé skupiny. Takže M-W U. Pokud vaše zdůvodněné soudy přisuzovaly proměnné úroveň dosaženého vzdělání jinou úroveň měření, akceptovali jsme to.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6.1 0,25</w:t>
      </w:r>
    </w:p>
    <w:p w:rsidR="0080796B" w:rsidRDefault="0080796B" w:rsidP="0080796B">
      <w:pPr>
        <w:spacing w:line="100" w:lineRule="atLeast"/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6.2 </w:t>
      </w:r>
      <w:r>
        <w:rPr>
          <w:rFonts w:ascii="Arial" w:hAnsi="Arial"/>
          <w:sz w:val="20"/>
          <w:szCs w:val="20"/>
          <w:vertAlign w:val="subscript"/>
        </w:rPr>
        <w:t>0,95</w:t>
      </w:r>
      <w:r>
        <w:rPr>
          <w:rFonts w:ascii="Arial" w:hAnsi="Arial"/>
          <w:i/>
          <w:position w:val="6"/>
          <w:sz w:val="20"/>
          <w:szCs w:val="20"/>
        </w:rPr>
        <w:t>χ</w:t>
      </w:r>
      <w:r>
        <w:rPr>
          <w:rFonts w:ascii="Arial" w:hAnsi="Arial"/>
          <w:sz w:val="20"/>
          <w:szCs w:val="20"/>
          <w:vertAlign w:val="subscript"/>
        </w:rPr>
        <w:t>3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 xml:space="preserve"> = 7,82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6.3 ano, ano, ne</w:t>
      </w:r>
    </w:p>
    <w:p w:rsidR="0080796B" w:rsidRDefault="0080796B" w:rsidP="0080796B">
      <w:pPr>
        <w:spacing w:line="100" w:lineRule="atLeast"/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7.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2857500" cy="581025"/>
            <wp:effectExtent l="0" t="0" r="0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8.1 – 8.4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685800" cy="5715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9.1 Ho: Není vztah mezi typem nálepky a zastavením policistou.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H1: Proměnné jsou ve vztahu (nejsou nezávislé)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9.2 – 9.4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3100070" cy="2882265"/>
            <wp:effectExtent l="0" t="0" r="5080" b="0"/>
            <wp:wrapTopAndBottom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882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imSun" w:hAnsi="Arial" w:cs="Arial"/>
          <w:sz w:val="20"/>
          <w:szCs w:val="20"/>
        </w:rPr>
        <w:t xml:space="preserve">Řidiči s nálepkami o brutalitě jsou zastavování </w:t>
      </w:r>
      <w:proofErr w:type="gramStart"/>
      <w:r>
        <w:rPr>
          <w:rFonts w:ascii="Arial" w:eastAsia="SimSun" w:hAnsi="Arial" w:cs="Arial"/>
          <w:sz w:val="20"/>
          <w:szCs w:val="20"/>
        </w:rPr>
        <w:t>signifikantně více častěji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 než ti, co mají nálepky s usmíváním χ</w:t>
      </w:r>
      <w:r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SimSun" w:hAnsi="Arial" w:cs="Arial"/>
          <w:sz w:val="20"/>
          <w:szCs w:val="20"/>
        </w:rPr>
        <w:t xml:space="preserve">(1, N = 50) = 13,60, p &lt; 0,05.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10.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0</wp:posOffset>
            </wp:positionV>
            <wp:extent cx="3195320" cy="1865630"/>
            <wp:effectExtent l="0" t="0" r="5080" b="1270"/>
            <wp:wrapTopAndBottom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865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2114550</wp:posOffset>
            </wp:positionV>
            <wp:extent cx="1813560" cy="1654175"/>
            <wp:effectExtent l="0" t="0" r="0" b="3175"/>
            <wp:wrapTopAndBottom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5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  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11.</w:t>
      </w:r>
    </w:p>
    <w:p w:rsidR="0080796B" w:rsidRDefault="0080796B" w:rsidP="0080796B"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4572000" cy="6762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514600" cy="15049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1933575" cy="47625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12. Ne. Porušeny jsou předpoklady nezávislosti pozorování, neboť některé subjekty jsou reprezentovány ve více než jednom políčku.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Pr="00930579" w:rsidRDefault="0080796B" w:rsidP="0080796B">
      <w:pPr>
        <w:rPr>
          <w:rFonts w:ascii="Calibri" w:eastAsia="Times New Roman" w:hAnsi="Calibri"/>
          <w:color w:val="000000"/>
          <w:kern w:val="0"/>
          <w:sz w:val="22"/>
          <w:szCs w:val="22"/>
          <w:lang w:eastAsia="cs-CZ"/>
        </w:rPr>
      </w:pPr>
      <w:r w:rsidRPr="00370890">
        <w:rPr>
          <w:rFonts w:ascii="Arial" w:eastAsia="SimSun" w:hAnsi="Arial" w:cs="Arial"/>
          <w:sz w:val="20"/>
          <w:szCs w:val="20"/>
        </w:rPr>
        <w:t xml:space="preserve">13. Existuje asociace mezi diabetem a prodlouženým hojením ran, neboť </w:t>
      </w:r>
      <w:r>
        <w:rPr>
          <w:rFonts w:ascii="Arial" w:eastAsia="SimSun" w:hAnsi="Arial" w:cs="Arial"/>
          <w:sz w:val="20"/>
          <w:szCs w:val="20"/>
        </w:rPr>
        <w:t xml:space="preserve">u </w:t>
      </w:r>
      <w:r w:rsidRPr="00370890">
        <w:rPr>
          <w:rFonts w:ascii="Arial" w:eastAsia="SimSun" w:hAnsi="Arial" w:cs="Arial"/>
          <w:sz w:val="20"/>
          <w:szCs w:val="20"/>
        </w:rPr>
        <w:t>diabeti</w:t>
      </w:r>
      <w:r>
        <w:rPr>
          <w:rFonts w:ascii="Arial" w:eastAsia="SimSun" w:hAnsi="Arial" w:cs="Arial"/>
          <w:sz w:val="20"/>
          <w:szCs w:val="20"/>
        </w:rPr>
        <w:t>ků se častěji vyskytuje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>protrahované</w:t>
      </w:r>
      <w:r w:rsidRPr="00370890">
        <w:rPr>
          <w:rFonts w:ascii="Arial" w:eastAsia="SimSun" w:hAnsi="Arial" w:cs="Arial"/>
          <w:sz w:val="20"/>
          <w:szCs w:val="20"/>
        </w:rPr>
        <w:t xml:space="preserve"> hojení</w:t>
      </w:r>
      <w:r>
        <w:rPr>
          <w:rFonts w:ascii="Arial" w:eastAsia="SimSun" w:hAnsi="Arial" w:cs="Arial"/>
          <w:sz w:val="20"/>
          <w:szCs w:val="20"/>
        </w:rPr>
        <w:t>,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 w:rsidRPr="005B3666">
        <w:rPr>
          <w:rFonts w:ascii="Symbol" w:eastAsia="SimSun" w:hAnsi="Symbol" w:cs="Arial"/>
          <w:i/>
          <w:sz w:val="20"/>
          <w:szCs w:val="20"/>
        </w:rPr>
        <w:t></w:t>
      </w:r>
      <w:r w:rsidRPr="00370890"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 w:rsidRPr="00370890">
        <w:rPr>
          <w:rFonts w:ascii="Arial" w:eastAsia="SimSun" w:hAnsi="Arial" w:cs="Arial"/>
          <w:sz w:val="20"/>
          <w:szCs w:val="20"/>
        </w:rPr>
        <w:t>(</w:t>
      </w:r>
      <w:proofErr w:type="spellStart"/>
      <w:r>
        <w:rPr>
          <w:rFonts w:ascii="Arial" w:eastAsia="SimSun" w:hAnsi="Arial" w:cs="Arial"/>
          <w:sz w:val="20"/>
          <w:szCs w:val="20"/>
        </w:rPr>
        <w:t>df</w:t>
      </w:r>
      <w:proofErr w:type="spellEnd"/>
      <w:r>
        <w:rPr>
          <w:rFonts w:ascii="Arial" w:eastAsia="SimSun" w:hAnsi="Arial" w:cs="Arial"/>
          <w:sz w:val="20"/>
          <w:szCs w:val="20"/>
        </w:rPr>
        <w:t>=</w:t>
      </w:r>
      <w:r w:rsidRPr="00370890">
        <w:rPr>
          <w:rFonts w:ascii="Arial" w:eastAsia="SimSun" w:hAnsi="Arial" w:cs="Arial"/>
          <w:sz w:val="20"/>
          <w:szCs w:val="20"/>
        </w:rPr>
        <w:t>1</w:t>
      </w:r>
      <w:r>
        <w:rPr>
          <w:rFonts w:ascii="Arial" w:eastAsia="SimSun" w:hAnsi="Arial" w:cs="Arial"/>
          <w:sz w:val="20"/>
          <w:szCs w:val="20"/>
        </w:rPr>
        <w:t xml:space="preserve">) = 137,08, </w:t>
      </w:r>
      <w:r w:rsidRPr="00930579">
        <w:rPr>
          <w:rFonts w:ascii="Arial" w:eastAsia="SimSun" w:hAnsi="Arial" w:cs="Arial"/>
          <w:sz w:val="20"/>
          <w:szCs w:val="20"/>
        </w:rPr>
        <w:t>CHIDIST(137;1)</w:t>
      </w:r>
      <w:r>
        <w:rPr>
          <w:rFonts w:ascii="Arial" w:eastAsia="SimSun" w:hAnsi="Arial" w:cs="Arial"/>
          <w:sz w:val="20"/>
          <w:szCs w:val="20"/>
        </w:rPr>
        <w:t>=</w:t>
      </w:r>
      <w:r w:rsidRPr="00930579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/>
          <w:color w:val="000000"/>
          <w:kern w:val="0"/>
          <w:sz w:val="22"/>
          <w:szCs w:val="22"/>
          <w:lang w:eastAsia="cs-CZ"/>
        </w:rPr>
        <w:t>1,2 . 10</w:t>
      </w:r>
      <w:proofErr w:type="gramEnd"/>
      <w:r w:rsidRPr="00930579">
        <w:rPr>
          <w:rFonts w:ascii="Calibri" w:eastAsia="Times New Roman" w:hAnsi="Calibri"/>
          <w:color w:val="000000"/>
          <w:kern w:val="0"/>
          <w:sz w:val="22"/>
          <w:szCs w:val="22"/>
          <w:vertAlign w:val="superscript"/>
          <w:lang w:eastAsia="cs-CZ"/>
        </w:rPr>
        <w:t>-3</w:t>
      </w:r>
      <w:r>
        <w:rPr>
          <w:rFonts w:ascii="Calibri" w:eastAsia="Times New Roman" w:hAnsi="Calibri"/>
          <w:color w:val="000000"/>
          <w:kern w:val="0"/>
          <w:sz w:val="22"/>
          <w:szCs w:val="22"/>
          <w:vertAlign w:val="superscript"/>
          <w:lang w:eastAsia="cs-CZ"/>
        </w:rPr>
        <w:t>1</w:t>
      </w:r>
      <w:r w:rsidRPr="00370890">
        <w:rPr>
          <w:rFonts w:ascii="Arial" w:eastAsia="SimSun" w:hAnsi="Arial" w:cs="Arial"/>
          <w:sz w:val="20"/>
          <w:szCs w:val="20"/>
        </w:rPr>
        <w:t xml:space="preserve"> </w:t>
      </w:r>
      <w:r>
        <w:rPr>
          <w:rFonts w:ascii="Arial" w:eastAsia="SimSun" w:hAnsi="Arial" w:cs="Arial"/>
          <w:sz w:val="20"/>
          <w:szCs w:val="20"/>
        </w:rPr>
        <w:t xml:space="preserve">,  </w:t>
      </w:r>
      <w:r w:rsidRPr="00370890">
        <w:rPr>
          <w:rFonts w:ascii="Arial" w:eastAsia="SimSun" w:hAnsi="Arial" w:cs="Arial"/>
          <w:sz w:val="20"/>
          <w:szCs w:val="20"/>
        </w:rPr>
        <w:t xml:space="preserve">p &lt; 0,05.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  <w:shd w:val="clear" w:color="auto" w:fill="FF6633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 w:rsidRPr="00852952">
        <w:rPr>
          <w:rFonts w:ascii="Arial" w:eastAsia="SimSun" w:hAnsi="Arial" w:cs="Arial"/>
          <w:sz w:val="20"/>
          <w:szCs w:val="20"/>
        </w:rPr>
        <w:t xml:space="preserve">14.  Není zde žádný odlišující efekt jednotlivých druhů léčby </w:t>
      </w:r>
      <w:r w:rsidRPr="005B3666">
        <w:rPr>
          <w:rFonts w:ascii="Symbol" w:eastAsia="SimSun" w:hAnsi="Symbol" w:cs="Arial"/>
          <w:i/>
          <w:sz w:val="20"/>
          <w:szCs w:val="20"/>
        </w:rPr>
        <w:t></w:t>
      </w:r>
      <w:r w:rsidRPr="00852952">
        <w:rPr>
          <w:rFonts w:ascii="Arial" w:eastAsia="SimSun" w:hAnsi="Arial" w:cs="Arial"/>
          <w:sz w:val="20"/>
          <w:szCs w:val="20"/>
          <w:vertAlign w:val="superscript"/>
        </w:rPr>
        <w:t xml:space="preserve"> 2 </w:t>
      </w:r>
      <w:r w:rsidRPr="00852952">
        <w:rPr>
          <w:rFonts w:ascii="Arial" w:eastAsia="SimSun" w:hAnsi="Arial" w:cs="Arial"/>
          <w:sz w:val="20"/>
          <w:szCs w:val="20"/>
        </w:rPr>
        <w:t>(</w:t>
      </w:r>
      <w:proofErr w:type="spellStart"/>
      <w:r w:rsidRPr="00852952">
        <w:rPr>
          <w:rFonts w:ascii="Arial" w:eastAsia="SimSun" w:hAnsi="Arial" w:cs="Arial"/>
          <w:sz w:val="20"/>
          <w:szCs w:val="20"/>
        </w:rPr>
        <w:t>df</w:t>
      </w:r>
      <w:proofErr w:type="spellEnd"/>
      <w:r w:rsidRPr="00852952">
        <w:rPr>
          <w:rFonts w:ascii="Arial" w:eastAsia="SimSun" w:hAnsi="Arial" w:cs="Arial"/>
          <w:sz w:val="20"/>
          <w:szCs w:val="20"/>
        </w:rPr>
        <w:t xml:space="preserve">=3) = 0,75, </w:t>
      </w:r>
      <w:r w:rsidRPr="00930579">
        <w:rPr>
          <w:rFonts w:ascii="Arial" w:eastAsia="SimSun" w:hAnsi="Arial" w:cs="Arial"/>
          <w:sz w:val="20"/>
          <w:szCs w:val="20"/>
        </w:rPr>
        <w:t>=CHIDIST(</w:t>
      </w:r>
      <w:r>
        <w:rPr>
          <w:rFonts w:ascii="Arial" w:eastAsia="SimSun" w:hAnsi="Arial" w:cs="Arial"/>
          <w:sz w:val="20"/>
          <w:szCs w:val="20"/>
        </w:rPr>
        <w:t>0,75</w:t>
      </w:r>
      <w:r w:rsidRPr="00930579">
        <w:rPr>
          <w:rFonts w:ascii="Arial" w:eastAsia="SimSun" w:hAnsi="Arial" w:cs="Arial"/>
          <w:sz w:val="20"/>
          <w:szCs w:val="20"/>
        </w:rPr>
        <w:t>;1)</w:t>
      </w:r>
      <w:r>
        <w:rPr>
          <w:rFonts w:ascii="Arial" w:eastAsia="SimSun" w:hAnsi="Arial" w:cs="Arial"/>
          <w:sz w:val="20"/>
          <w:szCs w:val="20"/>
        </w:rPr>
        <w:t xml:space="preserve">=0,86, p </w:t>
      </w:r>
      <w:r>
        <w:rPr>
          <w:rFonts w:ascii="Arial" w:eastAsia="SimSun" w:hAnsi="Arial" w:cs="Arial"/>
          <w:sz w:val="20"/>
          <w:szCs w:val="20"/>
          <w:lang w:val="en-US"/>
        </w:rPr>
        <w:t>&gt; 0,05</w:t>
      </w:r>
      <w:r w:rsidRPr="00852952">
        <w:rPr>
          <w:rFonts w:ascii="Arial" w:eastAsia="SimSun" w:hAnsi="Arial" w:cs="Arial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Pr="00852952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15.1 H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KBT</w:t>
      </w:r>
      <w:proofErr w:type="spellEnd"/>
      <w:r>
        <w:rPr>
          <w:rFonts w:ascii="Arial" w:hAnsi="Arial"/>
          <w:sz w:val="20"/>
          <w:szCs w:val="20"/>
        </w:rPr>
        <w:t xml:space="preserve"> =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PA</w:t>
      </w:r>
      <w:proofErr w:type="spellEnd"/>
      <w:r>
        <w:rPr>
          <w:rFonts w:ascii="Arial" w:hAnsi="Arial"/>
          <w:sz w:val="20"/>
          <w:szCs w:val="20"/>
        </w:rPr>
        <w:t xml:space="preserve"> (=6,5) H</w:t>
      </w:r>
      <w:r>
        <w:rPr>
          <w:rFonts w:ascii="Arial" w:hAnsi="Arial"/>
          <w:sz w:val="20"/>
          <w:szCs w:val="20"/>
          <w:vertAlign w:val="subscript"/>
        </w:rPr>
        <w:t>1</w:t>
      </w:r>
      <w:r>
        <w:rPr>
          <w:rFonts w:ascii="Arial" w:hAnsi="Arial"/>
          <w:sz w:val="20"/>
          <w:szCs w:val="20"/>
        </w:rPr>
        <w:t xml:space="preserve">: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KBT</w:t>
      </w:r>
      <w:proofErr w:type="spellEnd"/>
      <w:r>
        <w:rPr>
          <w:rFonts w:ascii="Arial" w:hAnsi="Arial"/>
          <w:sz w:val="20"/>
          <w:szCs w:val="20"/>
        </w:rPr>
        <w:t xml:space="preserve"> ≠ </w:t>
      </w:r>
      <w:proofErr w:type="spellStart"/>
      <w:r>
        <w:rPr>
          <w:rFonts w:ascii="Arial" w:hAnsi="Arial"/>
          <w:i/>
          <w:sz w:val="20"/>
          <w:szCs w:val="20"/>
        </w:rPr>
        <w:t>Md</w:t>
      </w:r>
      <w:r>
        <w:rPr>
          <w:rFonts w:ascii="Arial" w:hAnsi="Arial"/>
          <w:sz w:val="20"/>
          <w:szCs w:val="20"/>
          <w:vertAlign w:val="subscript"/>
        </w:rPr>
        <w:t>PA</w:t>
      </w:r>
      <w:proofErr w:type="spellEnd"/>
      <w:r>
        <w:rPr>
          <w:rFonts w:ascii="Arial" w:hAnsi="Arial"/>
          <w:sz w:val="20"/>
          <w:szCs w:val="20"/>
        </w:rPr>
        <w:t xml:space="preserve">   (</w:t>
      </w:r>
      <w:proofErr w:type="spellStart"/>
      <w:r w:rsidRPr="00852952">
        <w:rPr>
          <w:rFonts w:ascii="Arial" w:hAnsi="Arial"/>
          <w:i/>
          <w:sz w:val="20"/>
          <w:szCs w:val="20"/>
        </w:rPr>
        <w:t>Md</w:t>
      </w:r>
      <w:proofErr w:type="spellEnd"/>
      <w:r>
        <w:rPr>
          <w:rFonts w:ascii="Arial" w:hAnsi="Arial"/>
          <w:sz w:val="20"/>
          <w:szCs w:val="20"/>
        </w:rPr>
        <w:t xml:space="preserve"> je zde parametr)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15.2 Jde o 2 nezávislé skupiny, pořadová data, tj. Mann-</w:t>
      </w:r>
      <w:proofErr w:type="spellStart"/>
      <w:r>
        <w:rPr>
          <w:rFonts w:ascii="Arial" w:hAnsi="Arial"/>
          <w:sz w:val="20"/>
          <w:szCs w:val="20"/>
        </w:rPr>
        <w:t>Whitney</w:t>
      </w:r>
      <w:proofErr w:type="spellEnd"/>
      <w:r>
        <w:rPr>
          <w:rFonts w:ascii="Arial" w:hAnsi="Arial"/>
          <w:sz w:val="20"/>
          <w:szCs w:val="20"/>
        </w:rPr>
        <w:t xml:space="preserve"> U (nebo mediánový test,  </w:t>
      </w:r>
      <w:proofErr w:type="spellStart"/>
      <w:r>
        <w:rPr>
          <w:rFonts w:ascii="Arial" w:hAnsi="Arial"/>
          <w:sz w:val="20"/>
          <w:szCs w:val="20"/>
        </w:rPr>
        <w:t>Wilcoxonův</w:t>
      </w:r>
      <w:proofErr w:type="spellEnd"/>
      <w:r>
        <w:rPr>
          <w:rFonts w:ascii="Arial" w:hAnsi="Arial"/>
          <w:sz w:val="20"/>
          <w:szCs w:val="20"/>
        </w:rPr>
        <w:t xml:space="preserve"> test pro nezávislé výběry)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Výsledky testu Manna-</w:t>
      </w:r>
      <w:proofErr w:type="spellStart"/>
      <w:r>
        <w:rPr>
          <w:rFonts w:ascii="Arial" w:hAnsi="Arial"/>
          <w:sz w:val="20"/>
          <w:szCs w:val="20"/>
        </w:rPr>
        <w:t>Whitneyho</w:t>
      </w:r>
      <w:proofErr w:type="spellEnd"/>
      <w:r>
        <w:rPr>
          <w:rFonts w:ascii="Arial" w:hAnsi="Arial"/>
          <w:sz w:val="20"/>
          <w:szCs w:val="20"/>
        </w:rPr>
        <w:t xml:space="preserve"> v podání SPSS: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828"/>
        <w:gridCol w:w="1209"/>
        <w:gridCol w:w="1510"/>
      </w:tblGrid>
      <w:tr w:rsidR="0080796B" w:rsidTr="009B13E1">
        <w:trPr>
          <w:trHeight w:val="27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Ranks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skupina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Rank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Ranks</w:t>
            </w:r>
            <w:proofErr w:type="spellEnd"/>
          </w:p>
        </w:tc>
      </w:tr>
      <w:tr w:rsidR="0080796B" w:rsidTr="009B13E1">
        <w:trPr>
          <w:trHeight w:val="273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poradi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KBT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51,00</w:t>
            </w:r>
          </w:p>
        </w:tc>
      </w:tr>
      <w:tr w:rsidR="0080796B" w:rsidTr="009B13E1">
        <w:trPr>
          <w:trHeight w:val="273"/>
        </w:trPr>
        <w:tc>
          <w:tcPr>
            <w:tcW w:w="900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/>
        </w:tc>
        <w:tc>
          <w:tcPr>
            <w:tcW w:w="1080" w:type="dxa"/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828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9" w:type="dxa"/>
            <w:tcBorders>
              <w:left w:val="single" w:sz="1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510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</w:tr>
      <w:tr w:rsidR="0080796B" w:rsidTr="009B13E1">
        <w:trPr>
          <w:trHeight w:val="273"/>
        </w:trPr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/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8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0796B" w:rsidRDefault="0080796B" w:rsidP="0080796B">
      <w:pPr>
        <w:tabs>
          <w:tab w:val="center" w:pos="1713"/>
        </w:tabs>
        <w:autoSpaceDE w:val="0"/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700"/>
        <w:gridCol w:w="970"/>
      </w:tblGrid>
      <w:tr w:rsidR="0080796B" w:rsidTr="009B13E1">
        <w:trPr>
          <w:trHeight w:val="27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Statistics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poradi</w:t>
            </w:r>
            <w:proofErr w:type="spellEnd"/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Mann-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Whitney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Wilcoxon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27,000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-1,922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Asymp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. (2-tailed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,055</w:t>
            </w:r>
          </w:p>
        </w:tc>
      </w:tr>
      <w:tr w:rsidR="0080796B" w:rsidTr="009B13E1">
        <w:trPr>
          <w:trHeight w:val="326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[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2*(1-tailed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.)]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,065(a)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. (2-tailed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,065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Exact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(1-tailed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,032</w:t>
            </w:r>
          </w:p>
        </w:tc>
      </w:tr>
      <w:tr w:rsidR="0080796B" w:rsidTr="009B13E1">
        <w:trPr>
          <w:trHeight w:val="273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Point Probability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0796B" w:rsidRDefault="0080796B" w:rsidP="009B13E1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,012</w:t>
            </w:r>
          </w:p>
        </w:tc>
      </w:tr>
    </w:tbl>
    <w:p w:rsidR="0080796B" w:rsidRDefault="0080796B" w:rsidP="0080796B">
      <w:pPr>
        <w:autoSpaceDE w:val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  Not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corrected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ties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80796B" w:rsidRDefault="0080796B" w:rsidP="0080796B">
      <w:pPr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Grouping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Variable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 skupina</w:t>
      </w:r>
    </w:p>
    <w:p w:rsidR="0080796B" w:rsidRDefault="0080796B" w:rsidP="0080796B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15.3 Na 5% hladině významnosti nemůžeme nulovou hypotézu zamítnout, tj. musíme se držet toho, že rozdíl mezi skupinami se nám nepodařilo prokázat. Kdyby mezi typy výcvikových skupin nebyly rozdíly v dovednosti studentů dělat rozhovory, pak ty rozdíly, které nám vyšly (studenti KBT v našem vzorku byli lepší než PA) mohly být způsobeny náhodou (=výběrová chyba) s pravděpodobností 0,055 (nebo 0,065 podle přesnosti určení). Nicméně pravděpodobnost takto extrémního nebo extrémnějšího výsledku je poměrně malá a od zvolené hladiny významnosti se příliš neliší. Proto by bylo dobré pokus zopakovat, ideálně na větším vzorku.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16. 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857500" cy="13239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Vidíme, že je zde více neúspěšných odpovědí na hypnózu, než by bylo očekáváno na základě náhody, χ</w:t>
      </w:r>
      <w:r>
        <w:rPr>
          <w:rFonts w:ascii="Arial" w:eastAsia="SimSun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SimSun" w:hAnsi="Arial" w:cs="Arial"/>
          <w:sz w:val="20"/>
          <w:szCs w:val="20"/>
        </w:rPr>
        <w:t>(2, N = 500) = 8,09. Pole neúspěšná odpověď na hypnózu dává signifikantní přínos k signifikantnímu χ</w:t>
      </w:r>
      <w:r>
        <w:rPr>
          <w:rFonts w:ascii="Arial" w:eastAsia="SimSun" w:hAnsi="Arial" w:cs="Arial"/>
          <w:sz w:val="20"/>
          <w:szCs w:val="20"/>
          <w:vertAlign w:val="superscript"/>
        </w:rPr>
        <w:t>2</w:t>
      </w:r>
      <w:r>
        <w:rPr>
          <w:rFonts w:ascii="Arial" w:eastAsia="SimSun" w:hAnsi="Arial" w:cs="Arial"/>
          <w:sz w:val="20"/>
          <w:szCs w:val="20"/>
        </w:rPr>
        <w:t>.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17.1 </w:t>
      </w:r>
      <w:proofErr w:type="spell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/>
          <w:sz w:val="20"/>
          <w:szCs w:val="20"/>
        </w:rPr>
        <w:t>=√[</w:t>
      </w:r>
      <w:r>
        <w:rPr>
          <w:rFonts w:ascii="Arial" w:hAnsi="Arial"/>
          <w:i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(100-</w:t>
      </w:r>
      <w:r>
        <w:rPr>
          <w:rFonts w:ascii="Arial" w:hAnsi="Arial"/>
          <w:i/>
          <w:sz w:val="20"/>
          <w:szCs w:val="20"/>
        </w:rPr>
        <w:t>10</w:t>
      </w:r>
      <w:r>
        <w:rPr>
          <w:rFonts w:ascii="Arial" w:hAnsi="Arial"/>
          <w:sz w:val="20"/>
          <w:szCs w:val="20"/>
        </w:rPr>
        <w:t>)/</w:t>
      </w:r>
      <w:r>
        <w:rPr>
          <w:rFonts w:ascii="Arial" w:hAnsi="Arial"/>
          <w:i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]= √9=3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(</w:t>
      </w:r>
      <w:proofErr w:type="gramStart"/>
      <w:r>
        <w:rPr>
          <w:rFonts w:ascii="Arial" w:eastAsia="SimSun" w:hAnsi="Arial" w:cs="Arial"/>
          <w:sz w:val="20"/>
          <w:szCs w:val="20"/>
        </w:rPr>
        <w:t>10-normsinv</w:t>
      </w:r>
      <w:proofErr w:type="gramEnd"/>
      <w:r>
        <w:rPr>
          <w:rFonts w:ascii="Arial" w:eastAsia="SimSun" w:hAnsi="Arial" w:cs="Arial"/>
          <w:sz w:val="20"/>
          <w:szCs w:val="20"/>
        </w:rPr>
        <w:t>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; 10+normsinv(0,025)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) = (10-1,96*3; </w:t>
      </w:r>
      <w:proofErr w:type="gramStart"/>
      <w:r>
        <w:rPr>
          <w:rFonts w:ascii="Arial" w:eastAsia="SimSun" w:hAnsi="Arial" w:cs="Arial"/>
          <w:sz w:val="20"/>
          <w:szCs w:val="20"/>
        </w:rPr>
        <w:t>10+1,96*3)=(4;</w:t>
      </w:r>
      <w:proofErr w:type="gramEnd"/>
      <w:r>
        <w:rPr>
          <w:rFonts w:ascii="Arial" w:eastAsia="SimSun" w:hAnsi="Arial" w:cs="Arial"/>
          <w:sz w:val="20"/>
          <w:szCs w:val="20"/>
        </w:rPr>
        <w:t xml:space="preserve"> 16)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17.2 </w:t>
      </w:r>
      <w:proofErr w:type="spellStart"/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/>
          <w:sz w:val="20"/>
          <w:szCs w:val="20"/>
        </w:rPr>
        <w:t>=√[</w:t>
      </w:r>
      <w:r>
        <w:rPr>
          <w:rFonts w:ascii="Arial" w:hAnsi="Arial"/>
          <w:i/>
          <w:sz w:val="20"/>
          <w:szCs w:val="20"/>
        </w:rPr>
        <w:t>90</w:t>
      </w:r>
      <w:r>
        <w:rPr>
          <w:rFonts w:ascii="Arial" w:hAnsi="Arial"/>
          <w:sz w:val="20"/>
          <w:szCs w:val="20"/>
        </w:rPr>
        <w:t>(100-</w:t>
      </w:r>
      <w:r>
        <w:rPr>
          <w:rFonts w:ascii="Arial" w:hAnsi="Arial"/>
          <w:i/>
          <w:sz w:val="20"/>
          <w:szCs w:val="20"/>
        </w:rPr>
        <w:t>90</w:t>
      </w:r>
      <w:r>
        <w:rPr>
          <w:rFonts w:ascii="Arial" w:hAnsi="Arial"/>
          <w:sz w:val="20"/>
          <w:szCs w:val="20"/>
        </w:rPr>
        <w:t>)/</w:t>
      </w:r>
      <w:r>
        <w:rPr>
          <w:rFonts w:ascii="Arial" w:hAnsi="Arial"/>
          <w:i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]= √9=3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(</w:t>
      </w:r>
      <w:proofErr w:type="gramStart"/>
      <w:r>
        <w:rPr>
          <w:rFonts w:ascii="Arial" w:eastAsia="SimSun" w:hAnsi="Arial" w:cs="Arial"/>
          <w:sz w:val="20"/>
          <w:szCs w:val="20"/>
        </w:rPr>
        <w:t>90-normsinv</w:t>
      </w:r>
      <w:proofErr w:type="gramEnd"/>
      <w:r>
        <w:rPr>
          <w:rFonts w:ascii="Arial" w:eastAsia="SimSun" w:hAnsi="Arial" w:cs="Arial"/>
          <w:sz w:val="20"/>
          <w:szCs w:val="20"/>
        </w:rPr>
        <w:t>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>; 90+normsinv(0,025)</w:t>
      </w:r>
      <w:r>
        <w:rPr>
          <w:rFonts w:ascii="Arial" w:eastAsia="SimSun" w:hAnsi="Arial" w:cs="Arial"/>
          <w:sz w:val="20"/>
          <w:szCs w:val="20"/>
          <w:lang w:val="en-US"/>
        </w:rPr>
        <w:t>*</w:t>
      </w:r>
      <w:proofErr w:type="spellStart"/>
      <w:r>
        <w:rPr>
          <w:rFonts w:ascii="Arial" w:eastAsia="SimSun" w:hAnsi="Arial" w:cs="Arial"/>
          <w:sz w:val="20"/>
          <w:szCs w:val="20"/>
        </w:rPr>
        <w:t>s</w:t>
      </w:r>
      <w:r>
        <w:rPr>
          <w:rFonts w:ascii="Arial" w:eastAsia="SimSun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eastAsia="SimSun" w:hAnsi="Arial" w:cs="Arial"/>
          <w:sz w:val="20"/>
          <w:szCs w:val="20"/>
        </w:rPr>
        <w:t xml:space="preserve">) = (90-1,96*3; </w:t>
      </w:r>
      <w:proofErr w:type="gramStart"/>
      <w:r>
        <w:rPr>
          <w:rFonts w:ascii="Arial" w:eastAsia="SimSun" w:hAnsi="Arial" w:cs="Arial"/>
          <w:sz w:val="20"/>
          <w:szCs w:val="20"/>
        </w:rPr>
        <w:t>90+1,96*3)=(84</w:t>
      </w:r>
      <w:proofErr w:type="gramEnd"/>
      <w:r>
        <w:rPr>
          <w:rFonts w:ascii="Arial" w:eastAsia="SimSun" w:hAnsi="Arial" w:cs="Arial"/>
          <w:sz w:val="20"/>
          <w:szCs w:val="20"/>
        </w:rPr>
        <w:t>; 96)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18.1 chí-kvadrát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18.2</w:t>
      </w:r>
    </w:p>
    <w:p w:rsidR="0080796B" w:rsidRDefault="0080796B" w:rsidP="0080796B">
      <w:pPr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A.</w:t>
      </w:r>
      <w:r>
        <w:rPr>
          <w:rFonts w:ascii="Arial" w:eastAsia="SimSun" w:hAnsi="Arial" w:cs="Arial"/>
          <w:sz w:val="20"/>
          <w:szCs w:val="20"/>
        </w:rPr>
        <w:tab/>
        <w:t>f = 40</w:t>
      </w:r>
      <w:r>
        <w:rPr>
          <w:rFonts w:ascii="Arial" w:eastAsia="SimSun" w:hAnsi="Arial" w:cs="Arial"/>
          <w:sz w:val="20"/>
          <w:szCs w:val="20"/>
        </w:rPr>
        <w:tab/>
        <w:t>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 xml:space="preserve"> = 33,3</w:t>
      </w:r>
      <w:r>
        <w:rPr>
          <w:rFonts w:ascii="Arial" w:eastAsia="SimSun" w:hAnsi="Arial" w:cs="Arial"/>
          <w:sz w:val="20"/>
          <w:szCs w:val="20"/>
        </w:rPr>
        <w:tab/>
        <w:t>(f-f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>)</w:t>
      </w:r>
      <w:r>
        <w:rPr>
          <w:rFonts w:ascii="Arial" w:eastAsia="SimSun" w:hAnsi="Arial" w:cs="Arial"/>
          <w:sz w:val="20"/>
          <w:szCs w:val="20"/>
          <w:vertAlign w:val="superscript"/>
        </w:rPr>
        <w:t>2</w:t>
      </w:r>
      <w:r>
        <w:rPr>
          <w:rFonts w:ascii="Arial" w:eastAsia="SimSun" w:hAnsi="Arial" w:cs="Arial"/>
          <w:sz w:val="20"/>
          <w:szCs w:val="20"/>
        </w:rPr>
        <w:t>/f</w:t>
      </w:r>
      <w:r>
        <w:rPr>
          <w:rFonts w:ascii="Arial" w:eastAsia="SimSun" w:hAnsi="Arial" w:cs="Arial"/>
          <w:sz w:val="20"/>
          <w:szCs w:val="20"/>
          <w:vertAlign w:val="subscript"/>
        </w:rPr>
        <w:t>0</w:t>
      </w:r>
      <w:r>
        <w:rPr>
          <w:rFonts w:ascii="Arial" w:eastAsia="SimSun" w:hAnsi="Arial" w:cs="Arial"/>
          <w:sz w:val="20"/>
          <w:szCs w:val="20"/>
        </w:rPr>
        <w:t xml:space="preserve"> = 1,33</w:t>
      </w:r>
    </w:p>
    <w:p w:rsidR="0080796B" w:rsidRDefault="0080796B" w:rsidP="00807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B.</w:t>
      </w:r>
      <w:r>
        <w:rPr>
          <w:rFonts w:ascii="Arial" w:hAnsi="Arial"/>
          <w:sz w:val="20"/>
          <w:szCs w:val="20"/>
        </w:rPr>
        <w:tab/>
        <w:t>f = 32</w:t>
      </w:r>
      <w:r>
        <w:rPr>
          <w:rFonts w:ascii="Arial" w:hAnsi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33,3</w:t>
      </w:r>
      <w:r>
        <w:rPr>
          <w:rFonts w:ascii="Arial" w:hAnsi="Arial"/>
          <w:sz w:val="20"/>
          <w:szCs w:val="20"/>
        </w:rPr>
        <w:tab/>
        <w:t>(f-f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/f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0,05</w:t>
      </w:r>
    </w:p>
    <w:p w:rsidR="0080796B" w:rsidRDefault="0080796B" w:rsidP="0080796B">
      <w:pPr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</w:t>
      </w:r>
      <w:r>
        <w:rPr>
          <w:rFonts w:ascii="Arial" w:hAnsi="Arial"/>
          <w:sz w:val="20"/>
          <w:szCs w:val="20"/>
        </w:rPr>
        <w:tab/>
        <w:t>f = 28</w:t>
      </w:r>
      <w:r>
        <w:rPr>
          <w:rFonts w:ascii="Arial" w:hAnsi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33,3</w:t>
      </w:r>
      <w:r>
        <w:rPr>
          <w:rFonts w:ascii="Arial" w:hAnsi="Arial"/>
          <w:sz w:val="20"/>
          <w:szCs w:val="20"/>
        </w:rPr>
        <w:tab/>
        <w:t>(f-f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  <w:vertAlign w:val="superscript"/>
        </w:rPr>
        <w:t>2</w:t>
      </w:r>
      <w:r>
        <w:rPr>
          <w:rFonts w:ascii="Arial" w:hAnsi="Arial"/>
          <w:sz w:val="20"/>
          <w:szCs w:val="20"/>
        </w:rPr>
        <w:t>/f</w:t>
      </w:r>
      <w:r>
        <w:rPr>
          <w:rFonts w:ascii="Arial" w:hAnsi="Arial"/>
          <w:sz w:val="20"/>
          <w:szCs w:val="20"/>
          <w:vertAlign w:val="subscript"/>
        </w:rPr>
        <w:t>0</w:t>
      </w:r>
      <w:r>
        <w:rPr>
          <w:rFonts w:ascii="Arial" w:hAnsi="Arial"/>
          <w:sz w:val="20"/>
          <w:szCs w:val="20"/>
        </w:rPr>
        <w:t xml:space="preserve"> = 0,85</w:t>
      </w:r>
      <w:r>
        <w:rPr>
          <w:rFonts w:ascii="Arial" w:hAnsi="Arial"/>
          <w:sz w:val="20"/>
          <w:szCs w:val="20"/>
        </w:rPr>
        <w:tab/>
      </w:r>
      <w:r w:rsidRPr="0085295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</w:rPr>
        <w:t xml:space="preserve"> = 2,24</w:t>
      </w:r>
    </w:p>
    <w:p w:rsidR="0080796B" w:rsidRDefault="0080796B" w:rsidP="0080796B">
      <w:pPr>
        <w:rPr>
          <w:rFonts w:ascii="Arial" w:eastAsia="Times New Roman" w:hAnsi="Arial"/>
          <w:sz w:val="20"/>
          <w:szCs w:val="20"/>
        </w:rPr>
      </w:pPr>
      <w:r w:rsidRPr="004B554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  <w:vertAlign w:val="subscript"/>
        </w:rPr>
        <w:t>crit</w:t>
      </w:r>
      <w:r>
        <w:rPr>
          <w:rFonts w:ascii="Arial" w:eastAsia="Times New Roman" w:hAnsi="Arial"/>
          <w:sz w:val="20"/>
          <w:szCs w:val="20"/>
        </w:rPr>
        <w:t xml:space="preserve"> =CHIINV(0,05;2) = 5,99</w:t>
      </w:r>
    </w:p>
    <w:p w:rsidR="0080796B" w:rsidRDefault="0080796B" w:rsidP="0080796B">
      <w:pPr>
        <w:tabs>
          <w:tab w:val="left" w:pos="2805"/>
        </w:tabs>
        <w:rPr>
          <w:rFonts w:ascii="Arial" w:eastAsia="Times New Roman" w:hAnsi="Arial"/>
          <w:sz w:val="20"/>
          <w:szCs w:val="20"/>
        </w:rPr>
      </w:pPr>
      <w:r w:rsidRPr="004B5542">
        <w:rPr>
          <w:rFonts w:ascii="Symbol" w:eastAsia="Times New Roman" w:hAnsi="Symbol"/>
          <w:sz w:val="20"/>
          <w:szCs w:val="20"/>
        </w:rPr>
        <w:t></w:t>
      </w:r>
      <w:r>
        <w:rPr>
          <w:rFonts w:ascii="Arial" w:eastAsia="Times New Roman" w:hAnsi="Arial"/>
          <w:sz w:val="20"/>
          <w:szCs w:val="20"/>
          <w:vertAlign w:val="superscript"/>
        </w:rPr>
        <w:t>2</w:t>
      </w:r>
      <w:r>
        <w:rPr>
          <w:rFonts w:ascii="Arial" w:eastAsia="Times New Roman" w:hAnsi="Arial"/>
          <w:sz w:val="20"/>
          <w:szCs w:val="20"/>
        </w:rPr>
        <w:t>(2) = 2,24; p &gt; 0,05 – nulová hypotéza nebyla zamítnuta, rozdíl mezi kandidáty není na 5% hladině statisticky významný</w:t>
      </w:r>
    </w:p>
    <w:p w:rsidR="0080796B" w:rsidRDefault="0080796B" w:rsidP="0080796B">
      <w:pPr>
        <w:tabs>
          <w:tab w:val="left" w:pos="2805"/>
        </w:tabs>
        <w:rPr>
          <w:rFonts w:ascii="Arial" w:hAnsi="Arial"/>
          <w:sz w:val="20"/>
          <w:szCs w:val="20"/>
        </w:rPr>
      </w:pPr>
    </w:p>
    <w:p w:rsidR="0080796B" w:rsidRDefault="0080796B" w:rsidP="0080796B">
      <w:pPr>
        <w:tabs>
          <w:tab w:val="left" w:pos="2805"/>
        </w:tabs>
        <w:rPr>
          <w:rFonts w:ascii="Arial" w:eastAsia="SimSun" w:hAnsi="Arial" w:cs="Arial"/>
          <w:sz w:val="20"/>
          <w:szCs w:val="20"/>
          <w:shd w:val="clear" w:color="auto" w:fill="FF6633"/>
          <w:vertAlign w:val="subscript"/>
        </w:rPr>
      </w:pPr>
      <w:r w:rsidRPr="00852952">
        <w:rPr>
          <w:rFonts w:ascii="Arial" w:eastAsia="SimSun" w:hAnsi="Arial" w:cs="Arial"/>
          <w:sz w:val="20"/>
          <w:szCs w:val="20"/>
        </w:rPr>
        <w:t>19.1 H</w:t>
      </w:r>
      <w:r w:rsidRPr="00852952">
        <w:rPr>
          <w:rFonts w:ascii="Arial" w:eastAsia="SimSun" w:hAnsi="Arial" w:cs="Arial"/>
          <w:sz w:val="20"/>
          <w:szCs w:val="20"/>
          <w:vertAlign w:val="subscript"/>
        </w:rPr>
        <w:t>0</w:t>
      </w:r>
      <w:r w:rsidRPr="00852952">
        <w:rPr>
          <w:rFonts w:ascii="Arial" w:eastAsia="SimSun" w:hAnsi="Arial" w:cs="Arial"/>
          <w:sz w:val="20"/>
          <w:szCs w:val="20"/>
        </w:rPr>
        <w:t>: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starší</w:t>
      </w:r>
      <w:proofErr w:type="spellEnd"/>
      <w:r w:rsidRPr="00852952">
        <w:rPr>
          <w:rFonts w:ascii="Arial" w:hAnsi="Arial" w:cs="Tahoma"/>
          <w:sz w:val="20"/>
          <w:szCs w:val="20"/>
        </w:rPr>
        <w:t xml:space="preserve"> </w:t>
      </w:r>
      <w:r w:rsidRPr="00852952">
        <w:rPr>
          <w:rFonts w:ascii="Arial" w:eastAsia="SimSun" w:hAnsi="Arial" w:cs="Arial"/>
          <w:sz w:val="20"/>
          <w:szCs w:val="20"/>
        </w:rPr>
        <w:t>=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mladší</w:t>
      </w:r>
      <w:proofErr w:type="spellEnd"/>
      <w:r w:rsidRPr="00852952">
        <w:rPr>
          <w:rFonts w:ascii="Arial" w:eastAsia="SimSun" w:hAnsi="Arial" w:cs="Arial"/>
          <w:sz w:val="20"/>
          <w:szCs w:val="20"/>
        </w:rPr>
        <w:t>;   H: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hAnsi="Arial" w:cs="Tahoma"/>
          <w:sz w:val="20"/>
          <w:szCs w:val="20"/>
          <w:vertAlign w:val="subscript"/>
        </w:rPr>
        <w:t>starší</w:t>
      </w:r>
      <w:proofErr w:type="spellEnd"/>
      <w:r w:rsidRPr="00852952">
        <w:rPr>
          <w:rFonts w:ascii="Arial" w:hAnsi="Arial" w:cs="Tahoma"/>
          <w:sz w:val="20"/>
          <w:szCs w:val="20"/>
        </w:rPr>
        <w:t xml:space="preserve"> </w:t>
      </w:r>
      <w:r w:rsidRPr="00852952">
        <w:rPr>
          <w:rFonts w:ascii="Arial" w:eastAsia="Arial" w:hAnsi="Arial" w:cs="Arial"/>
          <w:sz w:val="20"/>
          <w:szCs w:val="20"/>
        </w:rPr>
        <w:t>≠</w:t>
      </w:r>
      <w:r w:rsidRPr="00852952">
        <w:rPr>
          <w:rFonts w:ascii="Arial" w:eastAsia="SimSun" w:hAnsi="Arial" w:cs="Arial"/>
          <w:sz w:val="20"/>
          <w:szCs w:val="20"/>
        </w:rPr>
        <w:t xml:space="preserve"> ~</w:t>
      </w:r>
      <w:proofErr w:type="spellStart"/>
      <w:r w:rsidRPr="00852952">
        <w:rPr>
          <w:rFonts w:ascii="Arial" w:hAnsi="Arial" w:cs="Tahoma"/>
          <w:sz w:val="20"/>
          <w:szCs w:val="20"/>
        </w:rPr>
        <w:t>μ</w:t>
      </w:r>
      <w:r w:rsidRPr="00852952">
        <w:rPr>
          <w:rFonts w:ascii="Arial" w:eastAsia="SimSun" w:hAnsi="Arial" w:cs="Arial"/>
          <w:sz w:val="20"/>
          <w:szCs w:val="20"/>
          <w:vertAlign w:val="subscript"/>
        </w:rPr>
        <w:t>mladší</w:t>
      </w:r>
      <w:proofErr w:type="spellEnd"/>
    </w:p>
    <w:p w:rsidR="0080796B" w:rsidRDefault="0080796B" w:rsidP="0080796B">
      <w:pPr>
        <w:tabs>
          <w:tab w:val="left" w:pos="2805"/>
        </w:tabs>
        <w:rPr>
          <w:rFonts w:ascii="Arial" w:hAnsi="Arial"/>
          <w:sz w:val="20"/>
          <w:szCs w:val="20"/>
        </w:rPr>
      </w:pPr>
    </w:p>
    <w:p w:rsidR="0080796B" w:rsidRDefault="0080796B" w:rsidP="0080796B">
      <w:pPr>
        <w:tabs>
          <w:tab w:val="left" w:pos="2805"/>
        </w:tabs>
        <w:rPr>
          <w:rFonts w:ascii="Arial" w:eastAsia="SimSun" w:hAnsi="Arial" w:cs="Arial"/>
          <w:sz w:val="20"/>
          <w:szCs w:val="20"/>
          <w:shd w:val="clear" w:color="auto" w:fill="FF6633"/>
        </w:rPr>
      </w:pPr>
      <w:r w:rsidRPr="00D4484E">
        <w:rPr>
          <w:rFonts w:ascii="Arial" w:eastAsia="SimSun" w:hAnsi="Arial" w:cs="Arial"/>
          <w:sz w:val="20"/>
          <w:szCs w:val="20"/>
        </w:rPr>
        <w:t xml:space="preserve">19.2 důvody, proč byl v tomto případě zvolen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neparametrický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Wilcoxonův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test, mohou být v zásadě dva: (1) důvěra ve vztahu s rodi</w:t>
      </w:r>
      <w:r>
        <w:rPr>
          <w:rFonts w:ascii="Arial" w:eastAsia="SimSun" w:hAnsi="Arial" w:cs="Arial"/>
          <w:sz w:val="20"/>
          <w:szCs w:val="20"/>
        </w:rPr>
        <w:t xml:space="preserve">či je výzkumníkem </w:t>
      </w:r>
      <w:r w:rsidRPr="00D4484E">
        <w:rPr>
          <w:rFonts w:ascii="Arial" w:eastAsia="SimSun" w:hAnsi="Arial" w:cs="Arial"/>
          <w:sz w:val="20"/>
          <w:szCs w:val="20"/>
        </w:rPr>
        <w:t>chápána jako ordinální proměnná, (2) pokud byla data sebrána na adolescentech docházejících do terapie, lze očekávat problematické rozložení hodnot (</w:t>
      </w:r>
      <w:r>
        <w:rPr>
          <w:rFonts w:ascii="Arial" w:eastAsia="SimSun" w:hAnsi="Arial" w:cs="Arial"/>
          <w:sz w:val="20"/>
          <w:szCs w:val="20"/>
        </w:rPr>
        <w:t xml:space="preserve">výrazná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nenormalita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</w:t>
      </w:r>
      <w:r w:rsidRPr="00D4484E">
        <w:rPr>
          <w:rFonts w:ascii="Arial" w:eastAsia="SimSun" w:hAnsi="Arial" w:cs="Arial"/>
          <w:sz w:val="20"/>
          <w:szCs w:val="20"/>
        </w:rPr>
        <w:lastRenderedPageBreak/>
        <w:t xml:space="preserve">+ výskyt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outlierů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); variantu pro dva závislé výběry bylo třeba použít, protože porovnávané skupiny na sobě nejsou nezávislé (jde o sourozenecké dvojice); oproti jiným testům v této kategorii (např. znaménkovému testu) má </w:t>
      </w:r>
      <w:proofErr w:type="spellStart"/>
      <w:r w:rsidRPr="00D4484E">
        <w:rPr>
          <w:rFonts w:ascii="Arial" w:eastAsia="SimSun" w:hAnsi="Arial" w:cs="Arial"/>
          <w:sz w:val="20"/>
          <w:szCs w:val="20"/>
        </w:rPr>
        <w:t>Wilcoxonův</w:t>
      </w:r>
      <w:proofErr w:type="spellEnd"/>
      <w:r w:rsidRPr="00D4484E">
        <w:rPr>
          <w:rFonts w:ascii="Arial" w:eastAsia="SimSun" w:hAnsi="Arial" w:cs="Arial"/>
          <w:sz w:val="20"/>
          <w:szCs w:val="20"/>
        </w:rPr>
        <w:t xml:space="preserve"> test větší statistickou sílu</w:t>
      </w:r>
      <w:r>
        <w:rPr>
          <w:rFonts w:ascii="Arial" w:eastAsia="SimSun" w:hAnsi="Arial" w:cs="Arial"/>
          <w:sz w:val="20"/>
          <w:szCs w:val="20"/>
        </w:rPr>
        <w:t>.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pPr>
        <w:rPr>
          <w:rFonts w:ascii="Arial" w:eastAsia="SimSun" w:hAnsi="Arial" w:cs="Arial"/>
          <w:sz w:val="20"/>
          <w:szCs w:val="20"/>
        </w:rPr>
      </w:pPr>
      <w:r w:rsidRPr="00154765">
        <w:rPr>
          <w:rFonts w:ascii="Arial" w:eastAsia="SimSun" w:hAnsi="Arial" w:cs="Arial"/>
          <w:sz w:val="20"/>
          <w:szCs w:val="20"/>
        </w:rPr>
        <w:t xml:space="preserve">19.3 mladší sourozenci mají signifikantně větší důvěru ve vztahu s rodiči než starší 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pPr>
        <w:rPr>
          <w:rFonts w:ascii="Arial" w:eastAsia="SimSun" w:hAnsi="Arial" w:cs="Arial"/>
          <w:sz w:val="20"/>
          <w:szCs w:val="20"/>
        </w:rPr>
      </w:pPr>
      <w:r w:rsidRPr="00154765">
        <w:rPr>
          <w:rFonts w:ascii="Arial" w:eastAsia="SimSun" w:hAnsi="Arial" w:cs="Arial"/>
          <w:sz w:val="20"/>
          <w:szCs w:val="20"/>
        </w:rPr>
        <w:t>19.4 na základě prezentovaných statistik nelze o velikosti případného rozdílu nic určit</w:t>
      </w:r>
    </w:p>
    <w:p w:rsidR="0080796B" w:rsidRPr="00154765" w:rsidRDefault="0080796B" w:rsidP="0080796B">
      <w:pPr>
        <w:rPr>
          <w:rFonts w:ascii="Arial" w:hAnsi="Arial"/>
          <w:sz w:val="20"/>
          <w:szCs w:val="20"/>
        </w:rPr>
      </w:pPr>
    </w:p>
    <w:p w:rsidR="0080796B" w:rsidRPr="00154765" w:rsidRDefault="0080796B" w:rsidP="0080796B">
      <w:r w:rsidRPr="00154765">
        <w:rPr>
          <w:rFonts w:ascii="Arial" w:eastAsia="SimSun" w:hAnsi="Arial" w:cs="Arial"/>
          <w:sz w:val="20"/>
          <w:szCs w:val="20"/>
        </w:rPr>
        <w:t>19.5 lze použít znaménkový test pro dva závislé výběry; pokud bychom chápali důvěru jako intervalovou či poměrovou proměnnou, potom by bylo možné zvážit i použití párového t-testu</w:t>
      </w:r>
    </w:p>
    <w:p w:rsidR="00470A2F" w:rsidRPr="00154765" w:rsidRDefault="00470A2F"/>
    <w:p w:rsidR="0080796B" w:rsidRPr="00154765" w:rsidRDefault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20.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922"/>
        <w:gridCol w:w="1824"/>
        <w:gridCol w:w="1604"/>
      </w:tblGrid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Občasní hráči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Pravidelní hráči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Závislí hráči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Σ</w:t>
            </w:r>
          </w:p>
        </w:tc>
      </w:tr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Skupina 1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=15)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=25)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=20)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154765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Skupina 2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=15)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=25)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10 (</w:t>
            </w: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f</w:t>
            </w:r>
            <w:r w:rsidRPr="00154765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>=30)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0796B" w:rsidRPr="00154765" w:rsidTr="009B13E1"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Σ</w:t>
            </w:r>
          </w:p>
        </w:tc>
        <w:tc>
          <w:tcPr>
            <w:tcW w:w="1856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22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2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04" w:type="dxa"/>
          </w:tcPr>
          <w:p w:rsidR="0080796B" w:rsidRPr="00154765" w:rsidRDefault="0080796B" w:rsidP="009B13E1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</w:tbl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a. </w:t>
      </w:r>
      <w:r w:rsidRPr="00154765">
        <w:rPr>
          <w:rFonts w:ascii="Arial" w:hAnsi="Arial" w:cs="Arial"/>
          <w:i/>
          <w:sz w:val="20"/>
          <w:szCs w:val="20"/>
        </w:rPr>
        <w:t>χ</w:t>
      </w:r>
      <w:r w:rsidRPr="00154765">
        <w:rPr>
          <w:rFonts w:ascii="Arial" w:hAnsi="Arial" w:cs="Arial"/>
          <w:sz w:val="20"/>
          <w:szCs w:val="20"/>
          <w:vertAlign w:val="superscript"/>
        </w:rPr>
        <w:t>2</w:t>
      </w:r>
      <w:r w:rsidRPr="00154765">
        <w:rPr>
          <w:rFonts w:ascii="Arial" w:hAnsi="Arial" w:cs="Arial"/>
          <w:sz w:val="20"/>
          <w:szCs w:val="20"/>
        </w:rPr>
        <w:t xml:space="preserve">=15,33 </w:t>
      </w:r>
      <w:proofErr w:type="spellStart"/>
      <w:r w:rsidRPr="00154765">
        <w:rPr>
          <w:rFonts w:ascii="Arial" w:hAnsi="Arial" w:cs="Arial"/>
          <w:sz w:val="20"/>
          <w:szCs w:val="20"/>
        </w:rPr>
        <w:t>df</w:t>
      </w:r>
      <w:proofErr w:type="spellEnd"/>
      <w:r w:rsidRPr="00154765">
        <w:rPr>
          <w:rFonts w:ascii="Arial" w:hAnsi="Arial" w:cs="Arial"/>
          <w:sz w:val="20"/>
          <w:szCs w:val="20"/>
        </w:rPr>
        <w:t>=2, p=0,000; H</w:t>
      </w:r>
      <w:r w:rsidRPr="00154765">
        <w:rPr>
          <w:rFonts w:ascii="Arial" w:hAnsi="Arial" w:cs="Arial"/>
          <w:sz w:val="20"/>
          <w:szCs w:val="20"/>
          <w:vertAlign w:val="subscript"/>
        </w:rPr>
        <w:t>0</w:t>
      </w:r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zamietame</w:t>
      </w:r>
      <w:proofErr w:type="spellEnd"/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154765">
        <w:rPr>
          <w:rFonts w:ascii="Arial" w:hAnsi="Arial" w:cs="Arial"/>
          <w:sz w:val="20"/>
          <w:szCs w:val="20"/>
        </w:rPr>
        <w:t>Cramerovo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 = 0,357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154765">
        <w:rPr>
          <w:rFonts w:ascii="Arial" w:hAnsi="Arial" w:cs="Arial"/>
          <w:sz w:val="20"/>
          <w:szCs w:val="20"/>
        </w:rPr>
        <w:t>rozdiel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medzi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skupinami </w:t>
      </w:r>
      <w:proofErr w:type="spellStart"/>
      <w:r w:rsidRPr="00154765">
        <w:rPr>
          <w:rFonts w:ascii="Arial" w:hAnsi="Arial" w:cs="Arial"/>
          <w:sz w:val="20"/>
          <w:szCs w:val="20"/>
        </w:rPr>
        <w:t>sa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dal </w:t>
      </w:r>
      <w:proofErr w:type="spellStart"/>
      <w:r w:rsidRPr="00154765">
        <w:rPr>
          <w:rFonts w:ascii="Arial" w:hAnsi="Arial" w:cs="Arial"/>
          <w:sz w:val="20"/>
          <w:szCs w:val="20"/>
        </w:rPr>
        <w:t>spočítať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aj </w:t>
      </w:r>
      <w:proofErr w:type="spellStart"/>
      <w:r w:rsidRPr="00154765">
        <w:rPr>
          <w:rFonts w:ascii="Arial" w:hAnsi="Arial" w:cs="Arial"/>
          <w:sz w:val="20"/>
          <w:szCs w:val="20"/>
        </w:rPr>
        <w:t>neparametrickým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testom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porovnanie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dvoch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nezávislých </w:t>
      </w:r>
      <w:proofErr w:type="spellStart"/>
      <w:r w:rsidRPr="00154765">
        <w:rPr>
          <w:rFonts w:ascii="Arial" w:hAnsi="Arial" w:cs="Arial"/>
          <w:sz w:val="20"/>
          <w:szCs w:val="20"/>
        </w:rPr>
        <w:t>súborov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 jednej </w:t>
      </w:r>
      <w:proofErr w:type="spellStart"/>
      <w:r w:rsidRPr="00154765">
        <w:rPr>
          <w:rFonts w:ascii="Arial" w:hAnsi="Arial" w:cs="Arial"/>
          <w:sz w:val="20"/>
          <w:szCs w:val="20"/>
        </w:rPr>
        <w:t>premennej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a to </w:t>
      </w:r>
      <w:proofErr w:type="spellStart"/>
      <w:r w:rsidRPr="00154765">
        <w:rPr>
          <w:rFonts w:ascii="Arial" w:hAnsi="Arial" w:cs="Arial"/>
          <w:sz w:val="20"/>
          <w:szCs w:val="20"/>
        </w:rPr>
        <w:t>konkrétne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Mann-</w:t>
      </w:r>
      <w:proofErr w:type="spellStart"/>
      <w:r w:rsidRPr="00154765">
        <w:rPr>
          <w:rFonts w:ascii="Arial" w:hAnsi="Arial" w:cs="Arial"/>
          <w:sz w:val="20"/>
          <w:szCs w:val="20"/>
        </w:rPr>
        <w:t>Whitneyho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54765">
        <w:rPr>
          <w:rFonts w:ascii="Arial" w:hAnsi="Arial" w:cs="Arial"/>
          <w:sz w:val="20"/>
          <w:szCs w:val="20"/>
        </w:rPr>
        <w:t>testom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4765">
        <w:rPr>
          <w:rFonts w:ascii="Arial" w:hAnsi="Arial" w:cs="Arial"/>
          <w:sz w:val="20"/>
          <w:szCs w:val="20"/>
        </w:rPr>
        <w:t>nakoľko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kategorizov</w:t>
      </w:r>
      <w:bookmarkStart w:id="0" w:name="_GoBack"/>
      <w:bookmarkEnd w:id="0"/>
      <w:r w:rsidRPr="00154765">
        <w:rPr>
          <w:rFonts w:ascii="Arial" w:hAnsi="Arial" w:cs="Arial"/>
          <w:sz w:val="20"/>
          <w:szCs w:val="20"/>
        </w:rPr>
        <w:t xml:space="preserve">aná </w:t>
      </w:r>
      <w:proofErr w:type="spellStart"/>
      <w:r w:rsidRPr="00154765">
        <w:rPr>
          <w:rFonts w:ascii="Arial" w:hAnsi="Arial" w:cs="Arial"/>
          <w:sz w:val="20"/>
          <w:szCs w:val="20"/>
        </w:rPr>
        <w:t>premenná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 trávený hraním </w:t>
      </w:r>
      <w:proofErr w:type="spellStart"/>
      <w:r w:rsidRPr="00154765">
        <w:rPr>
          <w:rFonts w:ascii="Arial" w:hAnsi="Arial" w:cs="Arial"/>
          <w:sz w:val="20"/>
          <w:szCs w:val="20"/>
        </w:rPr>
        <w:t>hier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predstavuje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ordinálnu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premennú</w:t>
      </w:r>
      <w:proofErr w:type="spellEnd"/>
      <w:r w:rsidRPr="00154765">
        <w:rPr>
          <w:rFonts w:ascii="Arial" w:hAnsi="Arial" w:cs="Arial"/>
          <w:sz w:val="20"/>
          <w:szCs w:val="20"/>
        </w:rPr>
        <w:t>.</w:t>
      </w:r>
    </w:p>
    <w:p w:rsidR="0080796B" w:rsidRPr="00154765" w:rsidRDefault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21. Testujeme, či </w:t>
      </w:r>
      <w:proofErr w:type="spellStart"/>
      <w:r w:rsidRPr="00154765">
        <w:rPr>
          <w:rFonts w:ascii="Arial" w:hAnsi="Arial" w:cs="Arial"/>
          <w:sz w:val="20"/>
          <w:szCs w:val="20"/>
        </w:rPr>
        <w:t>farba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vybranej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farbičky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je volená </w:t>
      </w:r>
      <w:proofErr w:type="spellStart"/>
      <w:r w:rsidRPr="00154765">
        <w:rPr>
          <w:rFonts w:ascii="Arial" w:hAnsi="Arial" w:cs="Arial"/>
          <w:sz w:val="20"/>
          <w:szCs w:val="20"/>
        </w:rPr>
        <w:t>rovnako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často. Použijeme chí kvadrát test </w:t>
      </w:r>
      <w:proofErr w:type="spellStart"/>
      <w:r w:rsidRPr="00154765">
        <w:rPr>
          <w:rFonts w:ascii="Arial" w:hAnsi="Arial" w:cs="Arial"/>
          <w:sz w:val="20"/>
          <w:szCs w:val="20"/>
        </w:rPr>
        <w:t>dobrej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zhody</w:t>
      </w:r>
      <w:proofErr w:type="spellEnd"/>
      <w:r w:rsidRPr="00154765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2"/>
        <w:gridCol w:w="1182"/>
      </w:tblGrid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Červená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</w:tr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Čierna</w:t>
            </w:r>
            <w:proofErr w:type="spellEnd"/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154765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Modrá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80796B" w:rsidRPr="00154765" w:rsidTr="0080796B">
        <w:trPr>
          <w:trHeight w:val="255"/>
        </w:trPr>
        <w:tc>
          <w:tcPr>
            <w:tcW w:w="129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4765">
              <w:rPr>
                <w:rFonts w:ascii="Arial" w:hAnsi="Arial" w:cs="Arial"/>
                <w:sz w:val="20"/>
                <w:szCs w:val="20"/>
              </w:rPr>
              <w:t>Žltá</w:t>
            </w:r>
            <w:proofErr w:type="spellEnd"/>
            <w:r w:rsidRPr="001547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80796B" w:rsidRPr="00154765" w:rsidRDefault="0080796B" w:rsidP="00B373AC">
            <w:pPr>
              <w:rPr>
                <w:rFonts w:ascii="Arial" w:hAnsi="Arial" w:cs="Arial"/>
                <w:sz w:val="20"/>
                <w:szCs w:val="20"/>
              </w:rPr>
            </w:pPr>
            <w:r w:rsidRPr="00154765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</w:tbl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proofErr w:type="spellStart"/>
      <w:r w:rsidRPr="00154765">
        <w:rPr>
          <w:rFonts w:ascii="Arial" w:hAnsi="Arial" w:cs="Arial"/>
          <w:sz w:val="20"/>
          <w:szCs w:val="20"/>
        </w:rPr>
        <w:t>Očakávané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frekvencie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budú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154765">
        <w:rPr>
          <w:rFonts w:ascii="Arial" w:hAnsi="Arial" w:cs="Arial"/>
          <w:sz w:val="20"/>
          <w:szCs w:val="20"/>
        </w:rPr>
        <w:t>danom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prípade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mať hodnotu 250, chí kvadrát bude rovný 17,2 </w:t>
      </w:r>
      <w:proofErr w:type="spellStart"/>
      <w:r w:rsidRPr="00154765">
        <w:rPr>
          <w:rFonts w:ascii="Arial" w:hAnsi="Arial" w:cs="Arial"/>
          <w:sz w:val="20"/>
          <w:szCs w:val="20"/>
        </w:rPr>
        <w:t>pri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154765">
        <w:rPr>
          <w:rFonts w:ascii="Arial" w:hAnsi="Arial" w:cs="Arial"/>
          <w:sz w:val="20"/>
          <w:szCs w:val="20"/>
        </w:rPr>
        <w:t>stupňoch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voľnosti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54765">
        <w:rPr>
          <w:rFonts w:ascii="Arial" w:hAnsi="Arial" w:cs="Arial"/>
          <w:sz w:val="20"/>
          <w:szCs w:val="20"/>
        </w:rPr>
        <w:t>dosiahnutá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signifikancia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bude rovná 0,000643. </w:t>
      </w:r>
      <w:proofErr w:type="spellStart"/>
      <w:r w:rsidRPr="00154765">
        <w:rPr>
          <w:rFonts w:ascii="Arial" w:hAnsi="Arial" w:cs="Arial"/>
          <w:sz w:val="20"/>
          <w:szCs w:val="20"/>
        </w:rPr>
        <w:t>Nulovú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hypotézu </w:t>
      </w:r>
      <w:proofErr w:type="spellStart"/>
      <w:r w:rsidRPr="00154765">
        <w:rPr>
          <w:rFonts w:ascii="Arial" w:hAnsi="Arial" w:cs="Arial"/>
          <w:sz w:val="20"/>
          <w:szCs w:val="20"/>
        </w:rPr>
        <w:t>zamietneme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4765">
        <w:rPr>
          <w:rFonts w:ascii="Arial" w:hAnsi="Arial" w:cs="Arial"/>
          <w:sz w:val="20"/>
          <w:szCs w:val="20"/>
        </w:rPr>
        <w:t>farby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4765">
        <w:rPr>
          <w:rFonts w:ascii="Arial" w:hAnsi="Arial" w:cs="Arial"/>
          <w:sz w:val="20"/>
          <w:szCs w:val="20"/>
        </w:rPr>
        <w:t>nie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sú volené </w:t>
      </w:r>
      <w:proofErr w:type="spellStart"/>
      <w:r w:rsidRPr="00154765">
        <w:rPr>
          <w:rFonts w:ascii="Arial" w:hAnsi="Arial" w:cs="Arial"/>
          <w:sz w:val="20"/>
          <w:szCs w:val="20"/>
        </w:rPr>
        <w:t>rovnako</w:t>
      </w:r>
      <w:proofErr w:type="spellEnd"/>
      <w:r w:rsidRPr="00154765">
        <w:rPr>
          <w:rFonts w:ascii="Arial" w:hAnsi="Arial" w:cs="Arial"/>
          <w:sz w:val="20"/>
          <w:szCs w:val="20"/>
        </w:rPr>
        <w:t xml:space="preserve"> často.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</w:rPr>
        <w:t xml:space="preserve">22. </w:t>
      </w:r>
      <w:r w:rsidRPr="00154765">
        <w:rPr>
          <w:rFonts w:ascii="Arial" w:hAnsi="Arial" w:cs="Arial"/>
          <w:sz w:val="20"/>
          <w:szCs w:val="20"/>
          <w:lang w:val="sk-SK"/>
        </w:rPr>
        <w:t>Čím sú stupne voľnosti vyššie v rozložení χ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, tým sa toto rozloženie bude viac a viac podobať normálnemu rozloženiu. Takže z daných možností bude správna odpoveď d.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</w:rPr>
        <w:t xml:space="preserve">23. </w:t>
      </w:r>
      <w:r w:rsidRPr="00154765">
        <w:rPr>
          <w:rFonts w:ascii="Arial" w:hAnsi="Arial" w:cs="Arial"/>
          <w:sz w:val="20"/>
          <w:szCs w:val="20"/>
          <w:lang w:val="sk-SK"/>
        </w:rPr>
        <w:t>Každá farba predstavuje ¼ z balíčka a potom každá očakávaná (</w:t>
      </w:r>
      <w:proofErr w:type="spellStart"/>
      <w:r w:rsidRPr="00154765">
        <w:rPr>
          <w:rFonts w:ascii="Arial" w:hAnsi="Arial" w:cs="Arial"/>
          <w:sz w:val="20"/>
          <w:szCs w:val="20"/>
          <w:lang w:val="sk-SK"/>
        </w:rPr>
        <w:t>expected</w:t>
      </w:r>
      <w:proofErr w:type="spellEnd"/>
      <w:r w:rsidRPr="00154765">
        <w:rPr>
          <w:rFonts w:ascii="Arial" w:hAnsi="Arial" w:cs="Arial"/>
          <w:sz w:val="20"/>
          <w:szCs w:val="20"/>
          <w:lang w:val="sk-SK"/>
        </w:rPr>
        <w:t>) početnosť každej farby cukríkov je (1/4)*40=10.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</w:rPr>
        <w:t xml:space="preserve">24. </w:t>
      </w:r>
      <w:r w:rsidRPr="00154765">
        <w:rPr>
          <w:rFonts w:ascii="Arial" w:hAnsi="Arial" w:cs="Arial"/>
          <w:sz w:val="20"/>
          <w:szCs w:val="20"/>
          <w:lang w:val="sk-SK"/>
        </w:rPr>
        <w:t>Podľa vzorca: (10-8)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/10 + (10-5)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/10 + (10-12)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/10 + (10-15)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>/10 = 5,8</w:t>
      </w: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</w:p>
    <w:p w:rsidR="0080796B" w:rsidRPr="00154765" w:rsidRDefault="0080796B" w:rsidP="0080796B">
      <w:pPr>
        <w:rPr>
          <w:rFonts w:ascii="Arial" w:hAnsi="Arial" w:cs="Arial"/>
          <w:sz w:val="20"/>
          <w:szCs w:val="20"/>
        </w:rPr>
      </w:pPr>
      <w:r w:rsidRPr="00154765">
        <w:rPr>
          <w:rFonts w:ascii="Arial" w:hAnsi="Arial" w:cs="Arial"/>
          <w:sz w:val="20"/>
          <w:szCs w:val="20"/>
        </w:rPr>
        <w:t xml:space="preserve">25. </w:t>
      </w:r>
    </w:p>
    <w:p w:rsidR="0080796B" w:rsidRPr="00154765" w:rsidRDefault="0080796B" w:rsidP="0080796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sz w:val="20"/>
          <w:szCs w:val="20"/>
          <w:lang w:val="sk-SK"/>
        </w:rPr>
        <w:t>očakávaná početnosť žien v sociálnych vedách je počítaná ako súčin celkového počtu žien a celkového počtu odpovedí v spoločenských vedách delený celkovým počtom respondentov (22*34)/57 = 13,12</w:t>
      </w:r>
    </w:p>
    <w:p w:rsidR="0080796B" w:rsidRPr="00154765" w:rsidRDefault="0080796B" w:rsidP="0080796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154765">
        <w:rPr>
          <w:rFonts w:ascii="Arial" w:hAnsi="Arial" w:cs="Arial"/>
          <w:i/>
          <w:sz w:val="20"/>
          <w:szCs w:val="20"/>
          <w:lang w:val="sk-SK"/>
        </w:rPr>
        <w:t>χ</w:t>
      </w:r>
      <w:r w:rsidRPr="00154765">
        <w:rPr>
          <w:rFonts w:ascii="Arial" w:hAnsi="Arial" w:cs="Arial"/>
          <w:sz w:val="20"/>
          <w:szCs w:val="20"/>
          <w:vertAlign w:val="superscript"/>
          <w:lang w:val="sk-SK"/>
        </w:rPr>
        <w:t>2</w:t>
      </w:r>
      <w:r w:rsidRPr="00154765">
        <w:rPr>
          <w:rFonts w:ascii="Arial" w:hAnsi="Arial" w:cs="Arial"/>
          <w:sz w:val="20"/>
          <w:szCs w:val="20"/>
          <w:lang w:val="sk-SK"/>
        </w:rPr>
        <w:t xml:space="preserve"> = 2,2</w:t>
      </w:r>
    </w:p>
    <w:p w:rsidR="0080796B" w:rsidRPr="0080796B" w:rsidRDefault="0080796B" w:rsidP="0080796B">
      <w:pPr>
        <w:rPr>
          <w:rFonts w:ascii="Arial" w:hAnsi="Arial" w:cs="Arial"/>
          <w:color w:val="FF0000"/>
          <w:sz w:val="20"/>
          <w:szCs w:val="20"/>
        </w:rPr>
      </w:pPr>
    </w:p>
    <w:sectPr w:rsidR="0080796B" w:rsidRPr="0080796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2550C"/>
    <w:multiLevelType w:val="hybridMultilevel"/>
    <w:tmpl w:val="62D27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6B"/>
    <w:rsid w:val="00154765"/>
    <w:rsid w:val="00470A2F"/>
    <w:rsid w:val="0080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2792A-271B-42D3-AF74-AEAB19C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9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796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Standa Ježek</cp:lastModifiedBy>
  <cp:revision>2</cp:revision>
  <dcterms:created xsi:type="dcterms:W3CDTF">2015-05-11T19:04:00Z</dcterms:created>
  <dcterms:modified xsi:type="dcterms:W3CDTF">2015-05-17T19:47:00Z</dcterms:modified>
</cp:coreProperties>
</file>